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출장 관리 지침</w:t>
      </w:r>
    </w:p>
    <w:p>
      <w:pPr>
        <w:pStyle w:val="Heading2"/>
      </w:pPr>
      <w:r>
        <w:t>1. 목적</w:t>
      </w:r>
    </w:p>
    <w:p>
      <w:r>
        <w:t>이 지침은 (주)아지트 임직원의 국내외 출장 신청, 승인, 정산 절차를 정함을</w:t>
      </w:r>
    </w:p>
    <w:p>
      <w:r>
        <w:t>목적으로 한다.</w:t>
      </w:r>
    </w:p>
    <w:p>
      <w:pPr>
        <w:pStyle w:val="Heading2"/>
      </w:pPr>
      <w:r>
        <w:t>2. 출장 신청 절차</w:t>
      </w:r>
    </w:p>
    <w:p>
      <w:r>
        <w:t>1. 출장자는 출장 3영업일 전까지 사내 인사시스템에 출장 신청서를 등록한다.</w:t>
      </w:r>
    </w:p>
    <w:p>
      <w:r>
        <w:t>2. 팀장 승인 후 경영지원팀이 최종 확인한다.</w:t>
      </w:r>
    </w:p>
    <w:p>
      <w:r>
        <w:t>3. 출장 종료 후 5영업일 이내 정산 신청을 완료한다.</w:t>
      </w:r>
    </w:p>
    <w:p>
      <w:pPr>
        <w:pStyle w:val="Heading2"/>
      </w:pPr>
      <w:r>
        <w:t>3. 숙박비 정산</w:t>
      </w:r>
    </w:p>
    <w:p>
      <w:r>
        <w:t>출장 중 숙박이 필요한 경우 아래 지역별 한도 내에서 **숙박비**를 실비</w:t>
      </w:r>
    </w:p>
    <w:p>
      <w:r>
        <w:t>정산한다. 한도를 초과하는 경우 사전 승인이 있어야 초과분을 인정한다.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지역 구분</w:t>
            </w:r>
          </w:p>
        </w:tc>
        <w:tc>
          <w:tcPr>
            <w:tcW w:type="dxa" w:w="4320"/>
          </w:tcPr>
          <w:p>
            <w:r>
              <w:t>1박 한도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서울/수도권</w:t>
            </w:r>
          </w:p>
        </w:tc>
        <w:tc>
          <w:tcPr>
            <w:tcW w:type="dxa" w:w="4320"/>
          </w:tcPr>
          <w:p>
            <w:r>
              <w:t>120,000원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광역시</w:t>
            </w:r>
          </w:p>
        </w:tc>
        <w:tc>
          <w:tcPr>
            <w:tcW w:type="dxa" w:w="4320"/>
          </w:tcPr>
          <w:p>
            <w:r>
              <w:t>100,000원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그 외 지역</w:t>
            </w:r>
          </w:p>
        </w:tc>
        <w:tc>
          <w:tcPr>
            <w:tcW w:type="dxa" w:w="4320"/>
          </w:tcPr>
          <w:p>
            <w:r>
              <w:t>80,000원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해외</w:t>
            </w:r>
          </w:p>
        </w:tc>
        <w:tc>
          <w:tcPr>
            <w:tcW w:type="dxa" w:w="4320"/>
          </w:tcPr>
          <w:p>
            <w:r>
              <w:t>150,000원(USD 환산)</w:t>
            </w:r>
          </w:p>
        </w:tc>
      </w:tr>
    </w:tbl>
    <w:p>
      <w:r>
        <w:t>숙박비 정산 시 숙박업소 영수증(카드매출전표 또는 세금계산서)을 반드시</w:t>
      </w:r>
    </w:p>
    <w:p>
      <w:r>
        <w:t>첨부한다.</w:t>
      </w:r>
    </w:p>
    <w:p>
      <w:pPr>
        <w:pStyle w:val="Heading2"/>
      </w:pPr>
      <w:r>
        <w:t>4. 교통비·식비</w:t>
      </w:r>
    </w:p>
    <w:p>
      <w:r>
        <w:t>출장 중 교통비 및 식비는 이 지침에서 별도로 정하지 않는다. **복무규정 및</w:t>
      </w:r>
    </w:p>
    <w:p>
      <w:r>
        <w:t>인사위원회 의결에 따른다.**</w:t>
      </w:r>
    </w:p>
    <w:p>
      <w:pPr>
        <w:pStyle w:val="Heading2"/>
      </w:pPr>
      <w:r>
        <w:t>5. 시행</w:t>
      </w:r>
    </w:p>
    <w:p>
      <w:r>
        <w:t>이 지침은 공지일로부터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2">
    <w:name w:val="제목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