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9247BA">
      <w:pPr>
        <w:keepNext/>
        <w:spacing w:before="40" w:after="80"/>
        <w:jc w:val="center"/>
      </w:pPr>
      <w:r>
        <w:rPr>
          <w:rFonts w:ascii="微软雅黑" w:hAnsi="微软雅黑" w:eastAsia="微软雅黑"/>
          <w:b/>
          <w:color w:val="111111"/>
          <w:sz w:val="42"/>
        </w:rPr>
        <w:t>课程注册系统全组工作总结</w:t>
      </w:r>
    </w:p>
    <w:p w14:paraId="0CB7AC1D">
      <w:pPr>
        <w:keepLines/>
      </w:pPr>
      <w:r>
        <w:rPr>
          <w:rFonts w:ascii="宋体" w:hAnsi="宋体" w:eastAsia="宋体"/>
          <w:color w:val="222222"/>
          <w:sz w:val="21"/>
        </w:rPr>
        <w:t>整理人：梁成杰（组长）</w:t>
      </w:r>
    </w:p>
    <w:p w14:paraId="11B60669">
      <w:pPr>
        <w:keepLines/>
      </w:pPr>
      <w:r>
        <w:rPr>
          <w:rFonts w:ascii="宋体" w:hAnsi="宋体" w:eastAsia="宋体"/>
          <w:color w:val="222222"/>
          <w:sz w:val="21"/>
        </w:rPr>
        <w:t>工作比例：组长 22%；李皓 24%；诸葛睿 22%；任皓成 16%；崔欣洋屹 16%。</w:t>
      </w:r>
    </w:p>
    <w:p w14:paraId="24CC7863">
      <w:pPr>
        <w:pStyle w:val="3"/>
      </w:pPr>
      <w:r>
        <w:t>一、项目完成情况</w:t>
      </w:r>
    </w:p>
    <w:p w14:paraId="6264DD51">
      <w:pPr>
        <w:keepLines/>
      </w:pPr>
      <w:r>
        <w:rPr>
          <w:rFonts w:ascii="宋体" w:hAnsi="宋体" w:eastAsia="宋体"/>
          <w:color w:val="222222"/>
          <w:sz w:val="21"/>
        </w:rPr>
        <w:t>小组围绕课程设计题目实现了课程注册系统演示版。系统将遗留课程目录和新系统业务数据分开：课程目录由只读 API 提供，真实 Ingres 不可用时以虚拟 JSON 数据模拟；账户、档案、课表、授课选择、成绩、账单和审计由 MySQL 业务库保存。</w:t>
      </w:r>
    </w:p>
    <w:p w14:paraId="5D1A8945">
      <w:pPr>
        <w:keepLines/>
      </w:pPr>
      <w:r>
        <w:rPr>
          <w:rFonts w:ascii="宋体" w:hAnsi="宋体" w:eastAsia="宋体"/>
          <w:color w:val="222222"/>
          <w:sz w:val="21"/>
        </w:rPr>
        <w:t>项目提供学生、教师和注册管理员三个可视化门户，并保留数据库检查页和目录浏览页。学生可浏览课程、选择主选/备选、提交课表、在允许窗口加退选和查看本人历史成绩；教师可选择授课班次、查看本人名册并录入已结束学期成绩；管理员可维护档案与教师资格、查看学期课程情况、关闭或重新开放注册并查看账单队列。</w:t>
      </w:r>
    </w:p>
    <w:p w14:paraId="57F6D71C">
      <w:pPr>
        <w:pStyle w:val="3"/>
      </w:pPr>
      <w:r>
        <w:t>二、团队分工与比例</w:t>
      </w:r>
      <w:bookmarkStart w:id="0" w:name="_GoBack"/>
      <w:bookmarkEnd w:id="0"/>
    </w:p>
    <w:tbl>
      <w:tblPr>
        <w:tblStyle w:val="3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2607D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74C938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成员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6C1D7D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比例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18DF53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auto"/>
                <w:sz w:val="17"/>
              </w:rPr>
              <w:t>分工摘要</w:t>
            </w:r>
          </w:p>
        </w:tc>
      </w:tr>
      <w:tr w14:paraId="09DA68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88CB26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梁成杰（组长）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72A5A8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22%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9FDCC3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需求和架构协调、跨模块集成、注册状态与日期规则协调、验收组织和文档汇总。</w:t>
            </w:r>
          </w:p>
        </w:tc>
      </w:tr>
      <w:tr w14:paraId="716D0E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3BF250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李皓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D785EF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24%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657939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学生选课门户、课表保存/提交、加退选、先修规则、成绩单与学生端测试。</w:t>
            </w:r>
          </w:p>
        </w:tc>
      </w:tr>
      <w:tr w14:paraId="11A98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A23CAC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诸葛睿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6E8814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22%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A8DA98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教师授课选择、资格与冲突、名册、成绩和教师端测试。</w:t>
            </w:r>
          </w:p>
        </w:tc>
      </w:tr>
      <w:tr w14:paraId="5FD19E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24BDB4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任皓成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7D4B5C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16%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0A4AFA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MySQL 结构/连接/迁移、账单队列及幂等重试、部署说明。</w:t>
            </w:r>
          </w:p>
        </w:tc>
      </w:tr>
      <w:tr w14:paraId="1FAC13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DF19E4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崔欣洋屹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F21860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16%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5714E3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管理员人员和授课资格页面、学期课程情况、注册管理交互与相应测试。</w:t>
            </w:r>
          </w:p>
        </w:tc>
      </w:tr>
      <w:tr w14:paraId="79692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619FB8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合计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8513A3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100%</w:t>
            </w:r>
          </w:p>
        </w:tc>
        <w:tc>
          <w:tcPr>
            <w:tcW w:w="3118" w:type="dxa"/>
            <w:shd w:val="clear" w:color="auto" w:fill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CB3476">
            <w:pPr>
              <w:spacing w:before="0" w:after="0" w:line="259" w:lineRule="auto"/>
              <w:jc w:val="left"/>
            </w:pPr>
          </w:p>
        </w:tc>
      </w:tr>
    </w:tbl>
    <w:p w14:paraId="60E3AF0E">
      <w:pPr>
        <w:spacing w:before="0" w:after="40"/>
      </w:pPr>
    </w:p>
    <w:p w14:paraId="49399DA9">
      <w:pPr>
        <w:keepLines/>
      </w:pPr>
      <w:r>
        <w:rPr>
          <w:rFonts w:ascii="宋体" w:hAnsi="宋体" w:eastAsia="宋体"/>
          <w:color w:val="222222"/>
          <w:sz w:val="21"/>
        </w:rPr>
        <w:t>工作分工依据小组确认的职责划分和工作量比例进行汇总。</w:t>
      </w:r>
    </w:p>
    <w:p w14:paraId="2320391C">
      <w:pPr>
        <w:pStyle w:val="3"/>
      </w:pPr>
      <w:r>
        <w:t>三、协作过程与技术成果</w:t>
      </w:r>
    </w:p>
    <w:p w14:paraId="22B0FCB8">
      <w:pPr>
        <w:keepLines/>
      </w:pPr>
      <w:r>
        <w:rPr>
          <w:rFonts w:ascii="宋体" w:hAnsi="宋体" w:eastAsia="宋体"/>
          <w:color w:val="222222"/>
          <w:sz w:val="21"/>
        </w:rPr>
        <w:t>团队将课程目录 API 作为学生/教师/管理员共同的数据入口，并以 MySQL 作为新系统业务数据的共享存储。开发中逐步形成以下约定：</w:t>
      </w:r>
    </w:p>
    <w:p w14:paraId="3BB6973C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课程目录保持只读，业务库通过外部编号引用课程、学期和开课。</w:t>
      </w:r>
    </w:p>
    <w:p w14:paraId="72823989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权限由服务端会话确定，不把浏览器传入的身份编号作为授权依据。</w:t>
      </w:r>
    </w:p>
    <w:p w14:paraId="391E5745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选课草稿与实际注册分开，课表变更在提交后才应用。</w:t>
      </w:r>
    </w:p>
    <w:p w14:paraId="460DD775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注册状态和日期窗口分别校验；重开注册不回滚已关闭时的课程和账单处理。</w:t>
      </w:r>
    </w:p>
    <w:p w14:paraId="21FC4F8C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账单以队列、快照和幂等键实现可重试处理，真实外部计费系统未提供时保持明确的待发送状态。</w:t>
      </w:r>
    </w:p>
    <w:p w14:paraId="7EE43887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敏感写操作使用事务、审计和必要的状态锁定。</w:t>
      </w:r>
    </w:p>
    <w:p w14:paraId="00753CCF">
      <w:pPr>
        <w:pStyle w:val="3"/>
      </w:pPr>
      <w:r>
        <w:t>四、测试与质量情况</w:t>
      </w:r>
    </w:p>
    <w:p w14:paraId="35CE490C">
      <w:pPr>
        <w:keepLines/>
      </w:pPr>
      <w:r>
        <w:rPr>
          <w:rFonts w:ascii="宋体" w:hAnsi="宋体" w:eastAsia="宋体"/>
          <w:color w:val="222222"/>
          <w:sz w:val="21"/>
        </w:rPr>
        <w:t>本次在 Python 3.12.14 和 Node.js v24.19.0 下运行了仓库测试：Python unittest 135 项中 84 项通过、51 项因临时目录或本机回环端口权限出现错误；Node CJS 页面测试 40 项中 32 项通过、8 项失败。失败原因和未验证事项已记录在测试报告中。</w:t>
      </w:r>
    </w:p>
    <w:p w14:paraId="5B860D83">
      <w:pPr>
        <w:keepLines/>
      </w:pPr>
      <w:r>
        <w:rPr>
          <w:rFonts w:ascii="宋体" w:hAnsi="宋体" w:eastAsia="宋体"/>
          <w:color w:val="222222"/>
          <w:sz w:val="21"/>
        </w:rPr>
        <w:t>因此，当前质量结论是“部分测试通过，尚未达到全量验收”。尤其需要在权限正常的本机环境重跑 Python HTTP/账单集成测试，补齐 Node 模拟浏览器环境，并复核教师名册的两项失败断言。真实 MySQL、Ingres 和外部计费系统还需按测试计划单独验收。</w:t>
      </w:r>
    </w:p>
    <w:p w14:paraId="2A691A46">
      <w:pPr>
        <w:pStyle w:val="3"/>
      </w:pPr>
      <w:r>
        <w:t>五、遇到的主要困难</w:t>
      </w:r>
    </w:p>
    <w:p w14:paraId="4D0109C7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遗留课程目录服务不可得，需要设计虚拟数据适配层，同时保持外部目录只读边界。</w:t>
      </w:r>
    </w:p>
    <w:p w14:paraId="6C265FF1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注册开放、加退选日期和最终关闭是不同业务状态，简单切换按钮会产生错误预期。</w:t>
      </w:r>
    </w:p>
    <w:p w14:paraId="5B82FFB4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学生课表、教师归属、成绩和账单相互关联，需要防止部分写入和重复请求。</w:t>
      </w:r>
    </w:p>
    <w:p w14:paraId="18E66CE4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多人并行开发页面与服务端时，接口字段、权限语义和错误提示需要持续对齐。</w:t>
      </w:r>
    </w:p>
    <w:p w14:paraId="3C35E40D">
      <w:pPr>
        <w:pStyle w:val="14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受限测试环境不能完全代表成员本机或部署演示机，必须区分代码问题和环境阻塞。</w:t>
      </w:r>
    </w:p>
    <w:p w14:paraId="23A4CAAB">
      <w:pPr>
        <w:pStyle w:val="3"/>
      </w:pPr>
      <w:r>
        <w:t>六、总结与后续工作</w:t>
      </w:r>
    </w:p>
    <w:p w14:paraId="6C09F20F">
      <w:pPr>
        <w:keepLines/>
      </w:pPr>
      <w:r>
        <w:rPr>
          <w:rFonts w:ascii="宋体" w:hAnsi="宋体" w:eastAsia="宋体"/>
          <w:color w:val="222222"/>
          <w:sz w:val="21"/>
        </w:rPr>
        <w:t>本项目完成了可运行的课程注册演示系统，覆盖主要角色的端到端功能，并形成数据库结构、虚拟目录接口、模块启动说明和自动化测试。团队在需求拆分、跨模块接口协作、数据一致性和权限设计方面积累了实践经验。</w:t>
      </w:r>
    </w:p>
    <w:p w14:paraId="738FDC6C">
      <w:pPr>
        <w:keepLines/>
      </w:pPr>
      <w:r>
        <w:rPr>
          <w:rFonts w:ascii="宋体" w:hAnsi="宋体" w:eastAsia="宋体"/>
          <w:color w:val="222222"/>
          <w:sz w:val="21"/>
        </w:rPr>
        <w:t>提交前建议完成三项工作：由成员核实并定稿个人汇报；在团队开发电脑上重跑全部自动化测试并处理教师名册失败项；使用实际演示 MySQL 完成从登录到选课、成绩、关闭/重开和账单队列的现场验收。之后再据验收结果更新本报告中的状态和缺陷清单。</w:t>
      </w:r>
    </w:p>
    <w:sectPr>
      <w:headerReference r:id="rId5" w:type="default"/>
      <w:footerReference r:id="rId6" w:type="default"/>
      <w:pgSz w:w="11906" w:h="16838"/>
      <w:pgMar w:top="1191" w:right="1276" w:bottom="1134" w:left="1276" w:header="510" w:footer="51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DB9602">
    <w:pPr>
      <w:pStyle w:val="24"/>
      <w:spacing w:before="0"/>
      <w:jc w:val="center"/>
    </w:pPr>
    <w:r>
      <w:rPr>
        <w:rFonts w:ascii="宋体" w:hAnsi="宋体" w:eastAsia="宋体"/>
        <w:color w:val="7A8793"/>
        <w:sz w:val="16"/>
      </w:rPr>
      <w:t xml:space="preserve">课程注册系统课程设计  ·  第 </w:t>
    </w:r>
    <w:r>
      <w:rPr>
        <w:rFonts w:ascii="宋体" w:hAnsi="宋体" w:eastAsia="宋体"/>
        <w:color w:val="7A8793"/>
        <w:sz w:val="16"/>
      </w:rPr>
      <w:fldChar w:fldCharType="begin"/>
    </w:r>
    <w:r>
      <w:rPr>
        <w:rFonts w:ascii="宋体" w:hAnsi="宋体" w:eastAsia="宋体"/>
        <w:color w:val="7A8793"/>
        <w:sz w:val="16"/>
      </w:rPr>
      <w:instrText xml:space="preserve"> PAGE </w:instrText>
    </w:r>
    <w:r>
      <w:rPr>
        <w:rFonts w:ascii="宋体" w:hAnsi="宋体" w:eastAsia="宋体"/>
        <w:color w:val="7A8793"/>
        <w:sz w:val="16"/>
      </w:rPr>
      <w:fldChar w:fldCharType="end"/>
    </w:r>
    <w:r>
      <w:rPr>
        <w:rFonts w:ascii="宋体" w:hAnsi="宋体" w:eastAsia="宋体"/>
        <w:color w:val="7A8793"/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93" w:lineRule="auto"/>
      </w:pPr>
      <w:r>
        <w:separator/>
      </w:r>
    </w:p>
  </w:footnote>
  <w:footnote w:type="continuationSeparator" w:id="1">
    <w:p>
      <w:pPr>
        <w:spacing w:before="0" w:after="0" w:line="293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7C0325">
    <w:pPr>
      <w:pStyle w:val="25"/>
      <w:spacing w:after="0"/>
      <w:jc w:val="right"/>
    </w:pPr>
    <w:r>
      <w:rPr>
        <w:rFonts w:ascii="宋体" w:hAnsi="宋体" w:eastAsia="宋体"/>
        <w:color w:val="7A8793"/>
        <w:sz w:val="16"/>
      </w:rPr>
      <w:t>课程注册系统课程设计文档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F0C110F"/>
    <w:rsid w:val="47BE2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93" w:lineRule="auto"/>
    </w:pPr>
    <w:rPr>
      <w:rFonts w:ascii="宋体" w:hAnsi="宋体" w:eastAsia="宋体" w:cstheme="minorBidi"/>
      <w:color w:val="222222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00"/>
      <w:outlineLvl w:val="0"/>
    </w:pPr>
    <w:rPr>
      <w:rFonts w:asciiTheme="majorHAnsi" w:hAnsiTheme="majorHAnsi" w:eastAsiaTheme="majorEastAsia" w:cstheme="majorBidi"/>
      <w:b/>
      <w:bCs/>
      <w:color w:val="1F1F1F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00"/>
      <w:outlineLvl w:val="1"/>
    </w:pPr>
    <w:rPr>
      <w:rFonts w:asciiTheme="majorHAnsi" w:hAnsiTheme="majorHAnsi" w:eastAsiaTheme="majorEastAsia" w:cstheme="majorBidi"/>
      <w:b/>
      <w:bCs/>
      <w:color w:val="1F4E78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100"/>
      <w:outlineLvl w:val="2"/>
    </w:pPr>
    <w:rPr>
      <w:rFonts w:asciiTheme="majorHAnsi" w:hAnsiTheme="majorHAnsi" w:eastAsiaTheme="majorEastAsia" w:cstheme="majorBidi"/>
      <w:b/>
      <w:bCs/>
      <w:color w:val="385D7A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1381</Words>
  <Characters>1500</Characters>
  <Lines>0</Lines>
  <Paragraphs>0</Paragraphs>
  <TotalTime>0</TotalTime>
  <ScaleCrop>false</ScaleCrop>
  <LinksUpToDate>false</LinksUpToDate>
  <CharactersWithSpaces>1545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课程设计小组</dc:creator>
  <dc:description>generated by python-docx</dc:description>
  <cp:keywords>课程注册系统; 软件工程; 课程设计</cp:keywords>
  <cp:lastModifiedBy>WPS_1687592150</cp:lastModifiedBy>
  <dcterms:modified xsi:type="dcterms:W3CDTF">2026-10-12T10:43:24Z</dcterms:modified>
  <dc:subject>课程注册系统软件工程课程设计交付文档</dc:subject>
  <dc:title>课程注册系统全组工作总结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eyJoZGlkIjoiNmE3Yjg4YmFiMzdjYzE1Y2FhYzNiZDE1MTkwMmFlZGEiLCJ1c2VySWQiOiIxNTA5Njc0NDY4In0=</vt:lpwstr>
  </property>
  <property fmtid="{D5CDD505-2E9C-101B-9397-08002B2CF9AE}" pid="3" name="KSOProductBuildVer">
    <vt:lpwstr>2052-12.1.0.28505</vt:lpwstr>
  </property>
  <property fmtid="{D5CDD505-2E9C-101B-9397-08002B2CF9AE}" pid="4" name="ICV">
    <vt:lpwstr>FDE38519063C499F801F188E89E17ADE_12</vt:lpwstr>
  </property>
</Properties>
</file>