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6DC72">
      <w:pPr>
        <w:keepNext/>
        <w:spacing w:before="40" w:after="80"/>
        <w:jc w:val="center"/>
      </w:pPr>
      <w:r>
        <w:rPr>
          <w:rFonts w:ascii="微软雅黑" w:hAnsi="微软雅黑" w:eastAsia="微软雅黑"/>
          <w:b/>
          <w:color w:val="111111"/>
          <w:sz w:val="42"/>
        </w:rPr>
        <w:t>课程注册系统开发计划</w:t>
      </w:r>
    </w:p>
    <w:p w14:paraId="39E0F43B">
      <w:pPr>
        <w:pStyle w:val="3"/>
      </w:pPr>
      <w:r>
        <w:t>1. 项目目标</w:t>
      </w:r>
    </w:p>
    <w:p w14:paraId="2921A92E">
      <w:pPr>
        <w:keepLines/>
      </w:pPr>
      <w:r>
        <w:rPr>
          <w:rFonts w:ascii="宋体" w:hAnsi="宋体" w:eastAsia="宋体"/>
          <w:color w:val="222222"/>
          <w:sz w:val="21"/>
        </w:rPr>
        <w:t>在课程设计周期内完成一套可演示的课程注册系统。系统保留只读课程目录边界，使用虚拟 JSON 数据模拟缺失的遗留目录服务，并使用 MySQL 保存新系统的账户、档案、选课、授课、成绩、账单和审计数据。</w:t>
      </w:r>
    </w:p>
    <w:p w14:paraId="1DE1BE8F">
      <w:pPr>
        <w:keepLines/>
      </w:pPr>
      <w:r>
        <w:rPr>
          <w:rFonts w:ascii="宋体" w:hAnsi="宋体" w:eastAsia="宋体"/>
          <w:color w:val="222222"/>
          <w:sz w:val="21"/>
        </w:rPr>
        <w:t>课程设计时间基线为 2026 年 9 月 25 日至 10 月 13 日。该时间线用于计划和总结；若课程实际节点有调整，以教师通知为准。</w:t>
      </w:r>
    </w:p>
    <w:p w14:paraId="31B308F3">
      <w:pPr>
        <w:pStyle w:val="3"/>
      </w:pPr>
      <w:r>
        <w:t>2. 人员安排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2338"/>
        <w:gridCol w:w="2338"/>
        <w:gridCol w:w="2338"/>
      </w:tblGrid>
      <w:tr w14:paraId="7A2DD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cantSplit/>
          <w:tblHeader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F1B6C1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成员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B67C3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角色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04668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比例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6FC533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主要职责与交付物</w:t>
            </w:r>
          </w:p>
        </w:tc>
      </w:tr>
      <w:tr w14:paraId="0FA4F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4E7A4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梁成杰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0F567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组长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EF81D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22%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13F8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组织需求确认和任务拆分，维护总体方案，协调目录 API、MySQL 与门户联调，跟进注册开放/最终关闭等跨模块流程，组织验收和文档汇总。</w:t>
            </w:r>
          </w:p>
        </w:tc>
      </w:tr>
      <w:tr w14:paraId="06A26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F9D69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李皓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BEDBB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组员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1AF02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24%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FFCA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学生门户和选课业务：课程浏览、主选/备选、草稿保存、提交、加退选、先修校验、学生选课与教师授课时间冲突检测及对应测试、成绩单。</w:t>
            </w:r>
          </w:p>
        </w:tc>
      </w:tr>
      <w:tr w14:paraId="653DC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29AE5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诸葛睿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E6F79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组员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3AA55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22%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3EAC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教师门户：授课选择、资格与班次占用校验、班级名册、成绩录入、学期过滤及对应测试。</w:t>
            </w:r>
          </w:p>
        </w:tc>
      </w:tr>
      <w:tr w14:paraId="2BA02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5E5D6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任皓成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BAD45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组员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49C711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16%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90DB7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MySQL 结构与连接配置、演示数据迁移、账单队列和幂等重试、数据库启动与部署说明。</w:t>
            </w:r>
          </w:p>
        </w:tc>
      </w:tr>
      <w:tr w14:paraId="1E1CD1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9E01C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崔欣洋屹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2EC497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组员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E31EE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16%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E60E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注册管理员门户：人员档案、教师资格、课程情况查看、开放/关闭注册操作及管理端交互验证。</w:t>
            </w:r>
          </w:p>
        </w:tc>
      </w:tr>
    </w:tbl>
    <w:p w14:paraId="4C6A7548">
      <w:pPr>
        <w:spacing w:before="0" w:after="40"/>
      </w:pPr>
    </w:p>
    <w:p w14:paraId="5CAF5399">
      <w:pPr>
        <w:keepLines/>
      </w:pPr>
      <w:r>
        <w:rPr>
          <w:rFonts w:ascii="宋体" w:hAnsi="宋体" w:eastAsia="宋体"/>
          <w:color w:val="222222"/>
          <w:sz w:val="21"/>
        </w:rPr>
        <w:t>职责划分兼顾成员工作比例与系统模块边界，工作比例合计100%。</w:t>
      </w:r>
    </w:p>
    <w:p w14:paraId="730FF0A3">
      <w:pPr>
        <w:pStyle w:val="3"/>
      </w:pPr>
      <w:r>
        <w:t>3. 进度计划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8"/>
        <w:gridCol w:w="2338"/>
        <w:gridCol w:w="2338"/>
        <w:gridCol w:w="2338"/>
      </w:tblGrid>
      <w:tr w14:paraId="4159C7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CD304B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阶段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1F4B20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计划时间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D20682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主要工作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C351A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阶段产物/检查点</w:t>
            </w:r>
          </w:p>
        </w:tc>
      </w:tr>
      <w:tr w14:paraId="7025CC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D0244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需求与启动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9028D2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9月25日—9月27日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9EF028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阅读题目和用例，确认角色、系统边界、遗留目录只读约束、演示范围和职责。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8194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需求基线、任务分工、演示范围。</w:t>
            </w:r>
          </w:p>
        </w:tc>
      </w:tr>
      <w:tr w14:paraId="58455A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57C82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分析与基础设计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A6A07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9月28日—10月1日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DEC7E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划分目录 API 与业务库边界；完成主要实体、接口、权限和启动流程设计。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2C091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需求分析、数据库设计、API 与页面骨架。</w:t>
            </w:r>
          </w:p>
        </w:tc>
      </w:tr>
      <w:tr w14:paraId="0EDA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39C90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核心功能开发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5340C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10月2日—10月7日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25258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完成学生、教师、管理员主要业务流程；连接 MySQL 和虚拟目录；建立账单队列。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488B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三类门户可演示，核心业务流程联通。</w:t>
            </w:r>
          </w:p>
        </w:tc>
      </w:tr>
      <w:tr w14:paraId="0A7C3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0DE4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集成与质量改进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3EA7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10月8日—10月11日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D8294F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完善加退选、先修、成绩、注册关闭/重开、授课资格、审计和账单重试；运行测试并处理缺陷。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293E00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集成候选版本、测试记录、缺陷清单。</w:t>
            </w:r>
          </w:p>
        </w:tc>
      </w:tr>
      <w:tr w14:paraId="7D289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D2572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交付准备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E6016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10月12日—10月13日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AA03D5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回归检查、演示数据确认、文档完善、启动步骤演练和成果打包。</w:t>
            </w:r>
          </w:p>
        </w:tc>
        <w:tc>
          <w:tcPr>
            <w:tcW w:w="233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8887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可复现演示环境、课程文档、最终提交版本。</w:t>
            </w:r>
          </w:p>
        </w:tc>
      </w:tr>
    </w:tbl>
    <w:p w14:paraId="319B965D">
      <w:pPr>
        <w:spacing w:before="0" w:after="40"/>
      </w:pPr>
    </w:p>
    <w:p w14:paraId="61E0208F">
      <w:pPr>
        <w:pStyle w:val="3"/>
      </w:pPr>
      <w:r>
        <w:t>4. 迭代计划</w:t>
      </w:r>
    </w:p>
    <w:p w14:paraId="22A542F2">
      <w:pPr>
        <w:pStyle w:val="5"/>
      </w:pPr>
      <w:r>
        <w:t>迭代一：需求与系统骨架（9月25日—10月1日）</w:t>
      </w:r>
    </w:p>
    <w:p w14:paraId="048B8A41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梳理学生、教师、注册管理员和外部系统用例。</w:t>
      </w:r>
    </w:p>
    <w:p w14:paraId="6AEADCEF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定义课程目录只读服务与新系统业务库边界。</w:t>
      </w:r>
    </w:p>
    <w:p w14:paraId="4CD1BAFF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建立目录 API、MySQL 表结构、登录会话和基础页面。</w:t>
      </w:r>
    </w:p>
    <w:p w14:paraId="17E104A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验收：目录 API 可返回虚拟数据；数据库结构可初始化；不同角色入口可启动。</w:t>
      </w:r>
    </w:p>
    <w:p w14:paraId="175D4609">
      <w:pPr>
        <w:pStyle w:val="5"/>
      </w:pPr>
      <w:r>
        <w:t>迭代二：角色业务闭环（10月2日—10月7日）</w:t>
      </w:r>
    </w:p>
    <w:p w14:paraId="17E971A1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学生完成浏览课程、保存/提交课表和成绩查询。</w:t>
      </w:r>
    </w:p>
    <w:p w14:paraId="19D3EA6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教师完成授课选择、查看名册和录入成绩。</w:t>
      </w:r>
    </w:p>
    <w:p w14:paraId="74CDCF03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管理员完成档案维护、注册状态和课程情况管理。</w:t>
      </w:r>
    </w:p>
    <w:p w14:paraId="3083B1C1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接入演示账单队列和本地参考接收端。</w:t>
      </w:r>
    </w:p>
    <w:p w14:paraId="6FE20C85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验收：主要角色可使用演示账号完成核心场景，操作受角色权限约束。</w:t>
      </w:r>
    </w:p>
    <w:p w14:paraId="4A436582">
      <w:pPr>
        <w:pStyle w:val="5"/>
      </w:pPr>
      <w:r>
        <w:t>迭代三：边界处理与交付（10月8日—10月13日）</w:t>
      </w:r>
    </w:p>
    <w:p w14:paraId="414CFEC7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验证加退选日期、注册关闭与重开后的编辑规则。</w:t>
      </w:r>
    </w:p>
    <w:p w14:paraId="49D12A2B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验证先修、容量、冲突、授课教师和最低开班人数处理。</w:t>
      </w:r>
    </w:p>
    <w:p w14:paraId="2BE5267C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运行 Python 与前端自动化测试，记录环境阻塞和失败项。</w:t>
      </w:r>
    </w:p>
    <w:p w14:paraId="61ACE6E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完成开发、需求、设计、测试和总结文档。</w:t>
      </w:r>
    </w:p>
    <w:p w14:paraId="0D018AE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验收：演示步骤可复现，已知限制与未验证项目明确披露。</w:t>
      </w:r>
    </w:p>
    <w:p w14:paraId="1BB50582">
      <w:pPr>
        <w:pStyle w:val="3"/>
      </w:pPr>
      <w:r>
        <w:t>5. 协作与变更管理</w:t>
      </w:r>
    </w:p>
    <w:p w14:paraId="1359E4F3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每次迭代开始确认负责人和完成条件；接口变更同步通知相关成员。</w:t>
      </w:r>
    </w:p>
    <w:p w14:paraId="636E1046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以课程目录 API、数据库结构和 HTTP 接口作为模块协作契约。</w:t>
      </w:r>
    </w:p>
    <w:p w14:paraId="07ECBB02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对选课、授课和管理员结算等写操作优先检查事务、权限和重复请求行为。</w:t>
      </w:r>
    </w:p>
    <w:p w14:paraId="5595BC95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合并前核对模块测试与启动说明；受环境限制无法执行时记录原因，不记作通过。</w:t>
      </w:r>
    </w:p>
    <w:p w14:paraId="5DC9D1C0">
      <w:pPr>
        <w:pStyle w:val="16"/>
        <w:keepLines/>
        <w:ind w:left="255" w:hanging="113"/>
      </w:pPr>
      <w:r>
        <w:rPr>
          <w:rFonts w:ascii="宋体" w:hAnsi="宋体" w:eastAsia="宋体"/>
          <w:color w:val="222222"/>
          <w:sz w:val="21"/>
        </w:rPr>
        <w:t>每位成员核实个人汇报，组长据此整理全组总结。</w:t>
      </w:r>
    </w:p>
    <w:p w14:paraId="0A330803">
      <w:pPr>
        <w:pStyle w:val="3"/>
      </w:pPr>
      <w:r>
        <w:t>6. 主要风险与应对</w:t>
      </w:r>
    </w:p>
    <w:tbl>
      <w:tblPr>
        <w:tblStyle w:val="3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8"/>
        <w:gridCol w:w="3118"/>
        <w:gridCol w:w="3118"/>
      </w:tblGrid>
      <w:tr w14:paraId="52F5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0B9AD6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风险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31CA0D">
            <w:pPr>
              <w:spacing w:before="0" w:after="0" w:line="259" w:lineRule="auto"/>
              <w:jc w:val="center"/>
            </w:pPr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影响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88289">
            <w:pPr>
              <w:spacing w:before="0" w:after="0" w:line="259" w:lineRule="auto"/>
              <w:jc w:val="center"/>
            </w:pPr>
            <w:bookmarkStart w:id="0" w:name="_GoBack"/>
            <w:r>
              <w:rPr>
                <w:rFonts w:ascii="微软雅黑" w:hAnsi="微软雅黑" w:eastAsia="微软雅黑"/>
                <w:b/>
                <w:color w:val="auto"/>
                <w:sz w:val="17"/>
              </w:rPr>
              <w:t>应对</w:t>
            </w:r>
            <w:bookmarkEnd w:id="0"/>
          </w:p>
        </w:tc>
      </w:tr>
      <w:tr w14:paraId="6598D9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84A1B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真实遗留 Ingres 数据库不可用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8CE56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无法验证真实目录接口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74D91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用 data/catalog.json 模拟只读目录，保留可切换数据源边界。</w:t>
            </w:r>
          </w:p>
        </w:tc>
      </w:tr>
      <w:tr w14:paraId="2C7EE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83F3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并行开发造成接口漂移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399E86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页面与服务端联调失败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A5DE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固定字段和路径，变更时同步更新说明与测试。</w:t>
            </w:r>
          </w:p>
        </w:tc>
      </w:tr>
      <w:tr w14:paraId="0950A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A20A8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注册状态与日期窗口混淆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7271F3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可能误开放过期选课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5E31D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将状态和时间窗口分别校验，服务端写请求重新检查。</w:t>
            </w:r>
          </w:p>
        </w:tc>
      </w:tr>
      <w:tr w14:paraId="1037C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48C2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测试环境禁止临时文件或本机端口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10E1C0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集成测试无法完整执行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C74C9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在成员本机或权限正常的环境重跑，并记录限制。</w:t>
            </w:r>
          </w:p>
        </w:tc>
      </w:tr>
      <w:tr w14:paraId="4EB0EF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3077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263442"/>
                <w:sz w:val="17"/>
              </w:rPr>
              <w:t>外部账单服务未提供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B1E5A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无法完成真实收费联调</w:t>
            </w:r>
          </w:p>
        </w:tc>
        <w:tc>
          <w:tcPr>
            <w:tcW w:w="3118" w:type="dxa"/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30E47">
            <w:pPr>
              <w:spacing w:before="0" w:after="0" w:line="259" w:lineRule="auto"/>
              <w:jc w:val="left"/>
            </w:pPr>
            <w:r>
              <w:rPr>
                <w:rFonts w:ascii="宋体" w:hAnsi="宋体" w:eastAsia="宋体"/>
                <w:b w:val="0"/>
                <w:color w:val="263442"/>
                <w:sz w:val="17"/>
              </w:rPr>
              <w:t>使用队列和本地参考接收端验证协议与幂等，不宣称已接入真实收费。</w:t>
            </w:r>
          </w:p>
        </w:tc>
      </w:tr>
    </w:tbl>
    <w:p w14:paraId="65FDA964">
      <w:pPr>
        <w:spacing w:before="0" w:after="40"/>
      </w:pPr>
    </w:p>
    <w:sectPr>
      <w:headerReference r:id="rId5" w:type="default"/>
      <w:footerReference r:id="rId6" w:type="default"/>
      <w:pgSz w:w="11906" w:h="16838"/>
      <w:pgMar w:top="1191" w:right="1276" w:bottom="1134" w:left="1276" w:header="510" w:footer="51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1236CC">
    <w:pPr>
      <w:pStyle w:val="24"/>
      <w:spacing w:before="0"/>
      <w:jc w:val="center"/>
    </w:pPr>
    <w:r>
      <w:rPr>
        <w:rFonts w:ascii="宋体" w:hAnsi="宋体" w:eastAsia="宋体"/>
        <w:color w:val="7A8793"/>
        <w:sz w:val="16"/>
      </w:rPr>
      <w:t xml:space="preserve">课程注册系统课程设计  ·  第 </w:t>
    </w:r>
    <w:r>
      <w:rPr>
        <w:rFonts w:ascii="宋体" w:hAnsi="宋体" w:eastAsia="宋体"/>
        <w:color w:val="7A8793"/>
        <w:sz w:val="16"/>
      </w:rPr>
      <w:fldChar w:fldCharType="begin"/>
    </w:r>
    <w:r>
      <w:rPr>
        <w:rFonts w:ascii="宋体" w:hAnsi="宋体" w:eastAsia="宋体"/>
        <w:color w:val="7A8793"/>
        <w:sz w:val="16"/>
      </w:rPr>
      <w:instrText xml:space="preserve"> PAGE </w:instrText>
    </w:r>
    <w:r>
      <w:rPr>
        <w:rFonts w:ascii="宋体" w:hAnsi="宋体" w:eastAsia="宋体"/>
        <w:color w:val="7A8793"/>
        <w:sz w:val="16"/>
      </w:rPr>
      <w:fldChar w:fldCharType="end"/>
    </w:r>
    <w:r>
      <w:rPr>
        <w:rFonts w:ascii="宋体" w:hAnsi="宋体" w:eastAsia="宋体"/>
        <w:color w:val="7A8793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3960AC">
    <w:pPr>
      <w:pStyle w:val="25"/>
      <w:spacing w:after="0"/>
      <w:jc w:val="right"/>
    </w:pPr>
    <w:r>
      <w:rPr>
        <w:rFonts w:ascii="宋体" w:hAnsi="宋体" w:eastAsia="宋体"/>
        <w:color w:val="7A8793"/>
        <w:sz w:val="16"/>
      </w:rPr>
      <w:t>课程注册系统课程设计文档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FE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93" w:lineRule="auto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40" w:after="100"/>
      <w:outlineLvl w:val="0"/>
    </w:pPr>
    <w:rPr>
      <w:rFonts w:asciiTheme="majorHAnsi" w:hAnsiTheme="majorHAnsi" w:eastAsiaTheme="majorEastAsia" w:cstheme="majorBidi"/>
      <w:b/>
      <w:bCs/>
      <w:color w:val="1F1F1F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100"/>
      <w:outlineLvl w:val="1"/>
    </w:pPr>
    <w:rPr>
      <w:rFonts w:asciiTheme="majorHAnsi" w:hAnsiTheme="majorHAnsi" w:eastAsiaTheme="majorEastAsia" w:cstheme="majorBidi"/>
      <w:b/>
      <w:bCs/>
      <w:color w:val="1F4E78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385D7A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1630</Words>
  <Characters>1748</Characters>
  <Lines>0</Lines>
  <Paragraphs>0</Paragraphs>
  <TotalTime>1</TotalTime>
  <ScaleCrop>false</ScaleCrop>
  <LinksUpToDate>false</LinksUpToDate>
  <CharactersWithSpaces>1791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课程设计小组</dc:creator>
  <dc:description>generated by python-docx</dc:description>
  <cp:keywords>课程注册系统; 软件工程; 课程设计</cp:keywords>
  <cp:lastModifiedBy>WPS_1687592150</cp:lastModifiedBy>
  <dcterms:modified xsi:type="dcterms:W3CDTF">2026-10-12T10:38:08Z</dcterms:modified>
  <dc:subject>课程注册系统软件工程课程设计交付文档</dc:subject>
  <dc:title>课程注册系统开发计划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eyJoZGlkIjoiNmE3Yjg4YmFiMzdjYzE1Y2FhYzNiZDE1MTkwMmFlZGEiLCJ1c2VySWQiOiIxNTA5Njc0NDY4In0=</vt:lpwstr>
  </property>
  <property fmtid="{D5CDD505-2E9C-101B-9397-08002B2CF9AE}" pid="3" name="KSOProductBuildVer">
    <vt:lpwstr>2052-12.1.0.28505</vt:lpwstr>
  </property>
  <property fmtid="{D5CDD505-2E9C-101B-9397-08002B2CF9AE}" pid="4" name="ICV">
    <vt:lpwstr>4124393CA90146EFA844B1017203CC95_12</vt:lpwstr>
  </property>
</Properties>
</file>