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9D4A4">
      <w:pPr>
        <w:jc w:val="center"/>
      </w:pPr>
      <w:r>
        <w:drawing>
          <wp:inline distT="0" distB="0" distL="0" distR="0">
            <wp:extent cx="1314450" cy="1238885"/>
            <wp:effectExtent l="0" t="0" r="635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>
      <w:pPr>
        <w:pStyle w:val="3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 计算机科学与技术学院</w:t>
      </w:r>
    </w:p>
    <w:p w14:paraId="4240BC59">
      <w:pPr>
        <w:pStyle w:val="3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26软件工程课程设计文档</w:t>
      </w:r>
    </w:p>
    <w:p w14:paraId="4E8E3BB0"/>
    <w:p w14:paraId="25641D79">
      <w:pPr>
        <w:rPr>
          <w:sz w:val="32"/>
          <w:szCs w:val="32"/>
        </w:rPr>
      </w:pPr>
    </w:p>
    <w:p w14:paraId="3ABC650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组号：</w:t>
      </w:r>
    </w:p>
    <w:p w14:paraId="5FD1373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小组成员表：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843"/>
        <w:gridCol w:w="1842"/>
        <w:gridCol w:w="1418"/>
        <w:gridCol w:w="2347"/>
      </w:tblGrid>
      <w:tr w14:paraId="784C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Align w:val="center"/>
          </w:tcPr>
          <w:p w14:paraId="7DDB1A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手写/电子签名</w:t>
            </w:r>
          </w:p>
        </w:tc>
      </w:tr>
      <w:tr w14:paraId="4937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1C5A495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21230628</w:t>
            </w:r>
          </w:p>
        </w:tc>
        <w:tc>
          <w:tcPr>
            <w:tcW w:w="1842" w:type="dxa"/>
            <w:vAlign w:val="center"/>
          </w:tcPr>
          <w:p w14:paraId="4283374C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梁成杰</w:t>
            </w:r>
          </w:p>
        </w:tc>
        <w:tc>
          <w:tcPr>
            <w:tcW w:w="1418" w:type="dxa"/>
            <w:vAlign w:val="center"/>
          </w:tcPr>
          <w:p w14:paraId="3EED3EE5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22%</w:t>
            </w:r>
          </w:p>
        </w:tc>
        <w:tc>
          <w:tcPr>
            <w:tcW w:w="2347" w:type="dxa"/>
            <w:vAlign w:val="center"/>
          </w:tcPr>
          <w:p w14:paraId="2E929A54">
            <w:pPr>
              <w:jc w:val="center"/>
              <w:rPr>
                <w:sz w:val="28"/>
                <w:szCs w:val="28"/>
              </w:rPr>
            </w:pPr>
          </w:p>
        </w:tc>
      </w:tr>
      <w:tr w14:paraId="6858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6B551F4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21230624</w:t>
            </w:r>
          </w:p>
        </w:tc>
        <w:tc>
          <w:tcPr>
            <w:tcW w:w="1842" w:type="dxa"/>
            <w:vAlign w:val="center"/>
          </w:tcPr>
          <w:p w14:paraId="37F22580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李皓</w:t>
            </w:r>
          </w:p>
        </w:tc>
        <w:tc>
          <w:tcPr>
            <w:tcW w:w="1418" w:type="dxa"/>
            <w:vAlign w:val="center"/>
          </w:tcPr>
          <w:p w14:paraId="5F9568A1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24%</w:t>
            </w:r>
          </w:p>
        </w:tc>
        <w:tc>
          <w:tcPr>
            <w:tcW w:w="2347" w:type="dxa"/>
            <w:vAlign w:val="center"/>
          </w:tcPr>
          <w:p w14:paraId="01DBCD1F">
            <w:pPr>
              <w:jc w:val="center"/>
              <w:rPr>
                <w:sz w:val="28"/>
                <w:szCs w:val="28"/>
              </w:rPr>
            </w:pPr>
          </w:p>
        </w:tc>
      </w:tr>
      <w:tr w14:paraId="1BA2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321FB51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21230626</w:t>
            </w:r>
          </w:p>
        </w:tc>
        <w:tc>
          <w:tcPr>
            <w:tcW w:w="1842" w:type="dxa"/>
            <w:vAlign w:val="center"/>
          </w:tcPr>
          <w:p w14:paraId="22595EB6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诸葛睿</w:t>
            </w:r>
          </w:p>
        </w:tc>
        <w:tc>
          <w:tcPr>
            <w:tcW w:w="1418" w:type="dxa"/>
            <w:vAlign w:val="center"/>
          </w:tcPr>
          <w:p w14:paraId="59932BBB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22%</w:t>
            </w:r>
          </w:p>
        </w:tc>
        <w:tc>
          <w:tcPr>
            <w:tcW w:w="2347" w:type="dxa"/>
            <w:vAlign w:val="center"/>
          </w:tcPr>
          <w:p w14:paraId="7E0186F0">
            <w:pPr>
              <w:jc w:val="center"/>
              <w:rPr>
                <w:sz w:val="28"/>
                <w:szCs w:val="28"/>
              </w:rPr>
            </w:pPr>
          </w:p>
        </w:tc>
      </w:tr>
      <w:tr w14:paraId="7D41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474E5A7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21230618</w:t>
            </w:r>
          </w:p>
        </w:tc>
        <w:tc>
          <w:tcPr>
            <w:tcW w:w="1842" w:type="dxa"/>
            <w:vAlign w:val="center"/>
          </w:tcPr>
          <w:p w14:paraId="26109576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崔欣洋屹</w:t>
            </w:r>
          </w:p>
        </w:tc>
        <w:tc>
          <w:tcPr>
            <w:tcW w:w="1418" w:type="dxa"/>
            <w:vAlign w:val="center"/>
          </w:tcPr>
          <w:p w14:paraId="65428750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  <w:tc>
          <w:tcPr>
            <w:tcW w:w="2347" w:type="dxa"/>
            <w:vAlign w:val="center"/>
          </w:tcPr>
          <w:p w14:paraId="444DF1C9">
            <w:pPr>
              <w:jc w:val="center"/>
              <w:rPr>
                <w:sz w:val="28"/>
                <w:szCs w:val="28"/>
              </w:rPr>
            </w:pPr>
          </w:p>
        </w:tc>
      </w:tr>
      <w:tr w14:paraId="1F26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576B271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14230213</w:t>
            </w:r>
          </w:p>
        </w:tc>
        <w:tc>
          <w:tcPr>
            <w:tcW w:w="1842" w:type="dxa"/>
            <w:vAlign w:val="center"/>
          </w:tcPr>
          <w:p w14:paraId="0F62E764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任浩成</w:t>
            </w:r>
          </w:p>
        </w:tc>
        <w:tc>
          <w:tcPr>
            <w:tcW w:w="1418" w:type="dxa"/>
            <w:vAlign w:val="center"/>
          </w:tcPr>
          <w:p w14:paraId="60538DEA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16%</w:t>
            </w:r>
          </w:p>
        </w:tc>
        <w:tc>
          <w:tcPr>
            <w:tcW w:w="2347" w:type="dxa"/>
            <w:vAlign w:val="center"/>
          </w:tcPr>
          <w:p w14:paraId="007838C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/>
    <w:p w14:paraId="2795CDFB">
      <w:pPr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注：贡献百分比必填，手写/电子签名必填</w:t>
      </w:r>
    </w:p>
    <w:p w14:paraId="4B84D79E"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E3ACFC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课程注册系统设计文档</w:t>
      </w:r>
    </w:p>
    <w:p w14:paraId="14B8F543"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 w14:paraId="7EA95D20"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 w14:paraId="4A5FFC86">
      <w:pPr>
        <w:pStyle w:val="3"/>
      </w:pPr>
      <w:r>
        <w:t>1. 总体架构</w:t>
      </w:r>
    </w:p>
    <w:p w14:paraId="106684C7">
      <w:pPr>
        <w:keepLines/>
      </w:pPr>
      <w:r>
        <w:rPr>
          <w:rFonts w:ascii="宋体" w:hAnsi="宋体" w:eastAsia="宋体"/>
          <w:color w:val="222222"/>
          <w:sz w:val="21"/>
        </w:rPr>
        <w:t>系统由浏览器页面、Python HTTP 服务、MySQL 业务数据库和只读课程目录服务组成。浏览器不直接访问 MySQL；各门户后端验证会话和角色后再访问数据库。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5F95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5C2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组件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C900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项目实现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EA4D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职责</w:t>
            </w:r>
          </w:p>
        </w:tc>
      </w:tr>
      <w:tr w14:paraId="4B72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8A1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学生端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B509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student/ 页面和 server.py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231A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课程浏览、课表选择、提交、加退选和成绩查询。</w:t>
            </w:r>
          </w:p>
        </w:tc>
      </w:tr>
      <w:tr w14:paraId="14DF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36D5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教师端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0452F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teacher/ 页面和 server.py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F39B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授课选择、班级名册和成绩录入。</w:t>
            </w:r>
          </w:p>
        </w:tc>
      </w:tr>
      <w:tr w14:paraId="001B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9C5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管理员端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AB63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administer/ 页面和 server.py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7F36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人员档案、授课资格、注册期间管理、课程情况和账单队列。</w:t>
            </w:r>
          </w:p>
        </w:tc>
      </w:tr>
      <w:tr w14:paraId="219B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CF8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数据库检查页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5DFCF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newdatabaseTest1.0/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FCD9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登录后查看数据库状态、表计数和安全范围内的预览。</w:t>
            </w:r>
          </w:p>
        </w:tc>
      </w:tr>
      <w:tr w14:paraId="1D6B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7707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课程目录服务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F5E5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app.py 与 data/catalog.json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3D60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提供只读 JSON API；可配置为从 Ingres ODBC 刷新目录快照。</w:t>
            </w:r>
          </w:p>
        </w:tc>
      </w:tr>
      <w:tr w14:paraId="0307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EB1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业务数据库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1271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MySQL course_registration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9E7C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保存本地账户、档案、课表、授课、注册、成绩、账单和审计。</w:t>
            </w:r>
          </w:p>
        </w:tc>
      </w:tr>
      <w:tr w14:paraId="4BE0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3F16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账单适配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18A5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administer 服务及 billing/receiver.py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54B5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写入队列并按 HTTP 契约发送；参考接收器只用于演示/联调。</w:t>
            </w:r>
          </w:p>
        </w:tc>
      </w:tr>
    </w:tbl>
    <w:p w14:paraId="3A88586F">
      <w:pPr>
        <w:spacing w:before="0" w:after="40"/>
      </w:pPr>
    </w:p>
    <w:p w14:paraId="242F089A">
      <w:pPr>
        <w:keepLines/>
      </w:pPr>
      <w:r>
        <w:rPr>
          <w:rFonts w:ascii="宋体" w:hAnsi="宋体" w:eastAsia="宋体"/>
          <w:color w:val="222222"/>
          <w:sz w:val="21"/>
        </w:rPr>
        <w:t>课程、开课和学期编号是目录外部 ID。业务记录按需查询目录，或保存选课时的课程名称与学分快照。</w:t>
      </w:r>
    </w:p>
    <w:p w14:paraId="4557838F">
      <w:pPr>
        <w:pStyle w:val="3"/>
      </w:pPr>
      <w:r>
        <w:t>2. 数据设计</w:t>
      </w:r>
    </w:p>
    <w:p w14:paraId="028A71AF">
      <w:pPr>
        <w:keepLines/>
      </w:pPr>
      <w:r>
        <w:rPr>
          <w:rFonts w:ascii="宋体" w:hAnsi="宋体" w:eastAsia="宋体"/>
          <w:color w:val="222222"/>
          <w:sz w:val="21"/>
        </w:rPr>
        <w:t>MySQL 结构由 database/schema.mysql.sql 创建。主要实体如下：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DD7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C14E4">
            <w:pPr>
              <w:spacing w:before="0" w:after="0" w:line="259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表/视图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6251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设计用途</w:t>
            </w:r>
          </w:p>
        </w:tc>
      </w:tr>
      <w:tr w14:paraId="5636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A94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app_users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B51BF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登录用户名、密码哈希、角色和启用状态。</w:t>
            </w:r>
          </w:p>
        </w:tc>
      </w:tr>
      <w:tr w14:paraId="528C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94B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students、professors、registrars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720D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人员本地档案，通过 user_id 连接账户。</w:t>
            </w:r>
          </w:p>
        </w:tc>
      </w:tr>
      <w:tr w14:paraId="3D89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A805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registration_periods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EAA3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学期注册状态及注册/加退选日期。</w:t>
            </w:r>
          </w:p>
        </w:tc>
      </w:tr>
      <w:tr w14:paraId="0611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32DE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student_schedules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A87E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每名学生每学期课表及草稿、提交、结算状态。</w:t>
            </w:r>
          </w:p>
        </w:tc>
      </w:tr>
      <w:tr w14:paraId="4713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F31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schedule_choices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0F9F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主选/备选和偏好顺序，受数量及唯一性约束。</w:t>
            </w:r>
          </w:p>
        </w:tc>
      </w:tr>
      <w:tr w14:paraId="3006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E9E7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professor_course_eligibility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0B60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教师可讲授的课程集合。</w:t>
            </w:r>
          </w:p>
        </w:tc>
      </w:tr>
      <w:tr w14:paraId="11A5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09F7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professor_offering_selections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1F23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开课当前授课归属和选择/确认/撤回状态。</w:t>
            </w:r>
          </w:p>
        </w:tc>
      </w:tr>
      <w:tr w14:paraId="52AE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B1BB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enrollments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0F58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学生实际注册、退选/完成状态及课程/学分快照。</w:t>
            </w:r>
          </w:p>
        </w:tc>
      </w:tr>
      <w:tr w14:paraId="2B0C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2C9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course_grades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C498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注册对应成绩与录入教师。</w:t>
            </w:r>
          </w:p>
        </w:tc>
      </w:tr>
      <w:tr w14:paraId="4DD7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8F9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billing_transactions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EF77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金额、幂等键、发送状态、冻结 JSON 快照和重试信息。</w:t>
            </w:r>
          </w:p>
        </w:tc>
      </w:tr>
      <w:tr w14:paraId="09A7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03E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audit_logs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45A3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操作者、动作、对象和审计详情。</w:t>
            </w:r>
          </w:p>
        </w:tc>
      </w:tr>
      <w:tr w14:paraId="0349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3B42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v_course_rosters、v_student_report_cards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28DE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名册与成绩单查询视图。</w:t>
            </w:r>
          </w:p>
        </w:tc>
      </w:tr>
      <w:bookmarkEnd w:id="0"/>
    </w:tbl>
    <w:p w14:paraId="68A0A3B7">
      <w:pPr>
        <w:spacing w:before="0" w:after="40"/>
      </w:pPr>
    </w:p>
    <w:p w14:paraId="410E1C88">
      <w:pPr>
        <w:keepLines/>
      </w:pPr>
      <w:r>
        <w:rPr>
          <w:rFonts w:ascii="宋体" w:hAnsi="宋体" w:eastAsia="宋体"/>
          <w:color w:val="222222"/>
          <w:sz w:val="21"/>
        </w:rPr>
        <w:t>数据库外键用于本地业务实体。course_id、offering_id、semester_id、department_id 等目录编号不设本地目录外键，避免把只读目录误建成业务库副本。</w:t>
      </w:r>
    </w:p>
    <w:p w14:paraId="333339AC">
      <w:pPr>
        <w:pStyle w:val="3"/>
      </w:pPr>
      <w:r>
        <w:t>3. 关键业务流程</w:t>
      </w:r>
    </w:p>
    <w:p w14:paraId="4B46C66D">
      <w:pPr>
        <w:pStyle w:val="5"/>
      </w:pPr>
      <w:r>
        <w:t>3.1 学生提交课表</w:t>
      </w:r>
    </w:p>
    <w:p w14:paraId="6DC9317C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由学生会话确定 student_id，不接受请求体传入其他学生身份。</w:t>
      </w:r>
    </w:p>
    <w:p w14:paraId="78F9ADF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读取目录和当前课表，检查注册期、选课窗口及数量规则。</w:t>
      </w:r>
    </w:p>
    <w:p w14:paraId="2FC27D70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对新增选择检查先修课程、开课状态、有效教师、容量和主选时间冲突；保留课程不重复登记。</w:t>
      </w:r>
    </w:p>
    <w:p w14:paraId="1CA56935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在数据库事务中保存选择并更新实际注册；失败时回滚。</w:t>
      </w:r>
    </w:p>
    <w:p w14:paraId="1B5147CD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加退选仅把已提交差异应用到实际注册状态；未提交草稿不改变正式注册。</w:t>
      </w:r>
    </w:p>
    <w:p w14:paraId="6C7C984D">
      <w:pPr>
        <w:pStyle w:val="5"/>
      </w:pPr>
      <w:r>
        <w:t>3.2 教师授课选择与成绩</w:t>
      </w:r>
    </w:p>
    <w:p w14:paraId="727441EB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登录会话确定教师身份，服务端读取授课资格。</w:t>
      </w:r>
    </w:p>
    <w:p w14:paraId="74751ABF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保存时校验注册状态、课程资格、班次占用和时间冲突。</w:t>
      </w:r>
    </w:p>
    <w:p w14:paraId="7B15E67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撤回使用 WITHDRAWN 状态释放班次；审计保存变更前后的教师归属。</w:t>
      </w:r>
    </w:p>
    <w:p w14:paraId="18088F3F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名册仅包含本人有效授课班次的学生。</w:t>
      </w:r>
    </w:p>
    <w:p w14:paraId="4BD4C9FD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录成绩时再次校验教师归属和学期结束状态；成绩、注册状态及审计一起提交。</w:t>
      </w:r>
    </w:p>
    <w:p w14:paraId="7D6F7BD9">
      <w:pPr>
        <w:pStyle w:val="5"/>
      </w:pPr>
      <w:r>
        <w:t>3.3 管理员最终关闭注册</w:t>
      </w:r>
    </w:p>
    <w:p w14:paraId="2F72DF6E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页面展示服务端计算的可关闭状态、最早关闭日和拒绝原因。</w:t>
      </w:r>
    </w:p>
    <w:p w14:paraId="381652F8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写接口验证教务员会话与 CSRF，在事务内锁定注册期并重新检查日期和状态。</w:t>
      </w:r>
    </w:p>
    <w:p w14:paraId="4208B4C9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对不满足条件的开课取消相应注册；可用备选按偏好顺序补位。</w:t>
      </w:r>
    </w:p>
    <w:p w14:paraId="6619EE7B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将有效课程和课表最终状态写入数据库，按固定费率生成含课表快照的账单队列记录。</w:t>
      </w:r>
    </w:p>
    <w:p w14:paraId="6FEBBE0A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幂等键避免重复生成或接收账单；发送失败保留可重试状态。</w:t>
      </w:r>
    </w:p>
    <w:p w14:paraId="35E0157B">
      <w:pPr>
        <w:keepLines/>
      </w:pPr>
      <w:r>
        <w:rPr>
          <w:rFonts w:ascii="宋体" w:hAnsi="宋体" w:eastAsia="宋体"/>
          <w:color w:val="222222"/>
          <w:sz w:val="21"/>
        </w:rPr>
        <w:t>重新开放只切换注册状态并记审计，不回滚已完成的取消、结算或账单，也不重置日期窗口。</w:t>
      </w:r>
    </w:p>
    <w:p w14:paraId="274A2D77">
      <w:pPr>
        <w:pStyle w:val="3"/>
      </w:pPr>
      <w:r>
        <w:t>4. 接口设计概要</w:t>
      </w:r>
    </w:p>
    <w:p w14:paraId="0332D503">
      <w:pPr>
        <w:pStyle w:val="5"/>
      </w:pPr>
      <w:r>
        <w:t>课程目录 API（只读 GET）</w:t>
      </w:r>
    </w:p>
    <w:p w14:paraId="5EFAB56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GET /health：健康状态。</w:t>
      </w:r>
    </w:p>
    <w:p w14:paraId="27F59B15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GET /api/v1/catalog：完整目录快照。</w:t>
      </w:r>
    </w:p>
    <w:p w14:paraId="62E67C7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GET /api/v1/departments、/faculty、/semesters、/courses、/prerequisites：分实体查询。</w:t>
      </w:r>
    </w:p>
    <w:p w14:paraId="7A4FC6E4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GET /api/v1/course-offerings?semester=学期编号：指定学期开课。</w:t>
      </w:r>
    </w:p>
    <w:p w14:paraId="19DDF99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GET /api/v1/course-offerings/{offeringId}：单个开课。</w:t>
      </w:r>
    </w:p>
    <w:p w14:paraId="3180BEBF">
      <w:pPr>
        <w:pStyle w:val="5"/>
      </w:pPr>
      <w:r>
        <w:t>新系统服务 API</w:t>
      </w:r>
    </w:p>
    <w:p w14:paraId="147D35D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学生：登录/会话、/api/student/data、/api/student/transcript、课表保存/提交/删除。</w:t>
      </w:r>
    </w:p>
    <w:p w14:paraId="17FC0AE4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教师：登录/会话、/api/teacher/data、/api/teacher/grades/roster、授课选择保存和成绩保存。</w:t>
      </w:r>
    </w:p>
    <w:p w14:paraId="475A443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管理员：/api/admin/data、/api/admin/course-status、人员新增/更新/停用、授课资格维护、registration/close 与 registration/reopen。</w:t>
      </w:r>
    </w:p>
    <w:p w14:paraId="005EF76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具体方法、身份检查、CSRF 和字段格式以各模块 server.py、app.js 与测试为准。</w:t>
      </w:r>
    </w:p>
    <w:p w14:paraId="4CA38946">
      <w:pPr>
        <w:keepLines/>
      </w:pPr>
      <w:r>
        <w:rPr>
          <w:rFonts w:ascii="宋体" w:hAnsi="宋体" w:eastAsia="宋体"/>
          <w:color w:val="222222"/>
          <w:sz w:val="21"/>
        </w:rPr>
        <w:t>目录不可用时不能伪造成功空结果；权限失败不应返回敏感信息。</w:t>
      </w:r>
    </w:p>
    <w:p w14:paraId="6EF45491">
      <w:pPr>
        <w:pStyle w:val="3"/>
      </w:pPr>
      <w:r>
        <w:t>5. 安全与事务设计</w:t>
      </w:r>
    </w:p>
    <w:p w14:paraId="5C0041EB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登录口令以安全哈希保存；受保护请求复核账户、角色、档案状态和密码指纹。</w:t>
      </w:r>
    </w:p>
    <w:p w14:paraId="576B447F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管理端写请求校验 CSRF；数据库使用应用账号，不在客户端保存管理员口令。</w:t>
      </w:r>
    </w:p>
    <w:p w14:paraId="2DC62CA5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学生/教师身份以会话为准，不能信任请求体传入的身份编号。</w:t>
      </w:r>
    </w:p>
    <w:p w14:paraId="4C3250E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教师录成绩需通过授课归属、名册关系和学期时间规则；数据库触发器提供补充约束。</w:t>
      </w:r>
    </w:p>
    <w:p w14:paraId="4CAD11A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停用采用逻辑保留，保护课表、成绩、账单和审计关联。</w:t>
      </w:r>
    </w:p>
    <w:p w14:paraId="7F17A4F5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选课、授课变更、档案/资格配置和注册关闭按事务写入；并发敏感操作通过锁定和约束复核。</w:t>
      </w:r>
    </w:p>
    <w:p w14:paraId="64AD964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SSN 可选录入；启用后由应用层 AES-GCM 加密，接口不返回明文。</w:t>
      </w:r>
    </w:p>
    <w:p w14:paraId="2A595018">
      <w:pPr>
        <w:pStyle w:val="3"/>
      </w:pPr>
      <w:r>
        <w:t>6. 运行与部署结构</w:t>
      </w:r>
    </w:p>
    <w:p w14:paraId="1E4887BD">
      <w:pPr>
        <w:keepLines/>
      </w:pPr>
      <w:r>
        <w:rPr>
          <w:rFonts w:ascii="宋体" w:hAnsi="宋体" w:eastAsia="宋体"/>
          <w:color w:val="222222"/>
          <w:sz w:val="21"/>
        </w:rPr>
        <w:t>先启动 MySQL Server 并创建表，然后启动 app.py 课程目录 API，再启动需要演示的学生、教师或管理员服务。dashboard.py 依赖课程目录 API。端口和命令以项目根 README.md 与各模块说明为准。</w:t>
      </w:r>
    </w:p>
    <w:p w14:paraId="35699F37">
      <w:pPr>
        <w:keepLines/>
      </w:pPr>
      <w:r>
        <w:rPr>
          <w:rFonts w:ascii="宋体" w:hAnsi="宋体" w:eastAsia="宋体"/>
          <w:color w:val="222222"/>
          <w:sz w:val="21"/>
        </w:rPr>
        <w:t>默认服务绑定 127.0.0.1。局域网演示需配置服务监听地址、MySQL 网络授权与防火墙；项目不提供生产 HTTPS、统一反向代理或集中会话服务。</w:t>
      </w:r>
    </w:p>
    <w:p w14:paraId="7EE0EC17">
      <w:pPr>
        <w:pStyle w:val="3"/>
      </w:pPr>
      <w:r>
        <w:t>7. 设计限制</w:t>
      </w:r>
    </w:p>
    <w:p w14:paraId="123559C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虚拟目录不能等同于真实 Ingres 数据。</w:t>
      </w:r>
    </w:p>
    <w:p w14:paraId="6F57C1F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本地参考账单接收器不执行真实扣款。</w:t>
      </w:r>
    </w:p>
    <w:p w14:paraId="1AC3F15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课程设计测试不构成高并发、全天候可用性或生产安全验收。</w:t>
      </w:r>
    </w:p>
    <w:p w14:paraId="03BD11BD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MySQL、课程目录连接和真实外部账单服务仍需在最终演示机分别验收。</w:t>
      </w:r>
      <w:r>
        <w:t xml:space="preserve"> </w:t>
      </w:r>
    </w:p>
    <w:sectPr>
      <w:headerReference r:id="rId6" w:type="default"/>
      <w:footerReference r:id="rId7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E64D">
    <w:pPr>
      <w:pStyle w:val="24"/>
      <w:tabs>
        <w:tab w:val="center" w:pos="4153"/>
        <w:tab w:val="right" w:pos="8306"/>
        <w:tab w:val="clear" w:pos="4680"/>
        <w:tab w:val="clear" w:pos="9360"/>
      </w:tabs>
      <w:jc w:val="center"/>
    </w:pPr>
  </w:p>
  <w:p w14:paraId="1B80B76F">
    <w:pPr>
      <w:pStyle w:val="24"/>
      <w:tabs>
        <w:tab w:val="center" w:pos="4153"/>
        <w:tab w:val="right" w:pos="8306"/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68FC7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646A3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7167D"/>
    <w:rsid w:val="3C6730CD"/>
    <w:rsid w:val="5183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1966</Words>
  <Characters>2922</Characters>
  <Lines>0</Lines>
  <Paragraphs>0</Paragraphs>
  <TotalTime>3</TotalTime>
  <ScaleCrop>false</ScaleCrop>
  <LinksUpToDate>false</LinksUpToDate>
  <CharactersWithSpaces>3002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2026-10-12T10:42:59Z</dcterms:modified>
  <dc:subject>课程注册系统软件工程课程设计交付文档</dc:subject>
  <dc:title>课程注册系统设计文档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26A39B971A984F529AAAAA02E06619DA_12</vt:lpwstr>
  </property>
</Properties>
</file>