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课程注册系统测试计划</w:t>
      </w:r>
    </w:p>
    <w:p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>
      <w:pPr>
        <w:pStyle w:val="Heading1"/>
      </w:pPr>
      <w:r>
        <w:t>1. 测试目标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确认主要业务流程、角色权限、数据一致性和失败处理符合需求；对自动化测试无法覆盖的真实 MySQL、遗留目录和浏览器环境进行手工验收。结论区分“通过”“失败”和“受环境限制未能判定”。</w:t>
      </w:r>
    </w:p>
    <w:p>
      <w:pPr>
        <w:pStyle w:val="Heading1"/>
      </w:pPr>
      <w:r>
        <w:t>2. 测试范围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Python 服务与业务规则：选课、先修、容量、冲突、授课归属、注册关闭、账单队列。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HTTP/API：登录、会话失效、角色授权、CSRF、读取和写入。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浏览器脚本：课程刷新、课表选择、学期切换、名册、成绩和管理员注册状态。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数据层：MySQL 表结构、外键/唯一约束、事务回滚、账单幂等和审计。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手工集成：课程目录 API、真实 MySQL 演示库和本地/外部账单接收端。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不在本轮自动化报告中承诺生产负载、安全渗透、真实 Ingres 兼容性或真实收费验证。</w:t>
      </w:r>
    </w:p>
    <w:p>
      <w:pPr>
        <w:pStyle w:val="Heading1"/>
      </w:pPr>
      <w:r>
        <w:t>3. 测试环境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目标环境/说明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操作系统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Windows 开发电脑；近期版本 Edge 或 Chrome。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Python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Python 3.10+；本次报告使用 Python 3.12.14。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Node.js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用于前端模拟测试；本次报告使用 v24.19.0。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数据库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手工验收目标为 MySQL 8.0.16+；服务自动化可用测试替身或临时数据库。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目录服务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默认 JSON 虚拟目录 API；真实 Ingres 需单独联调。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外部账单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本地参考接收器用于协议测试；未配置真实账单 URL 时账单应保持待发送。</w:t>
            </w:r>
          </w:p>
        </w:tc>
      </w:tr>
    </w:tbl>
    <w:p>
      <w:pPr>
        <w:spacing w:after="40" w:before="0"/>
      </w:pPr>
    </w:p>
    <w:p>
      <w:pPr>
        <w:pStyle w:val="Heading1"/>
      </w:pPr>
      <w:r>
        <w:t>4. 测试策略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业务规则单元测试：日期边界、选课数量、先修、容量、冲突、关闭和幂等。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服务集成测试：通过 HTTP 请求验证登录、角色、CSRF、课表、成绩和管理员接口。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前端测试：用模拟 DOM、请求和响应检查状态，不替代真实浏览器验收。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数据库验证：初始化演示 MySQL，核对约束、视图、表记录、权限和读写。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手工验收：使用各角色演示账号完成浏览、选课、授课、录成绩、关闭/重开和成绩单场景。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回归测试：业务规则或接口变更后，重跑对应 Python 和 CJS 测试文件。</w:t>
      </w:r>
    </w:p>
    <w:p>
      <w:pPr>
        <w:pStyle w:val="Heading1"/>
      </w:pPr>
      <w:r>
        <w:t>5. 重点测试用例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预期结果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TC-AUTH-01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身份认证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密码错误、停用账号或会话过期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拒绝访问，不返回敏感数据。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TC-AUTH-02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权限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学生请求他人课表/成绩，教师请求其他班级成绩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服务端拒绝越权，不接受身份冒用。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学生选课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初次提交主选/备选不足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提示补齐数量，数据库不产生部分提交。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TC-STU-02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学生选课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先修不满足、课程满员或时间冲突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给出原因并保持提交原子性。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TC-STU-03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加退选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保留已有课程并添加/退选其他课程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只应用提交差异，保留注册快照和历史。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TC-STU-04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注册关闭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状态关闭或日期窗口已过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保存、提交、删除被拒绝；重开不重置日期。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TC-STU-05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成绩单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切换学期或请求他人 ID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只显示本人可查看学期，学期筛选互相独立。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TC-TEA-01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教师授课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无资格、时间冲突或班次被占用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不保存无效归属，并说明冲突。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TC-TEA-02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名册成绩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查看非本人名册或提前录成绩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拒绝越权/提前写入；成绩限定 A/B/C/D/F/I。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TC-ADM-01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管理员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无会话、错误角色或无 CSRF 写请求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返回权限错误，不修改数据。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TC-ADM-02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注册关闭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窗口未结束、日期错误或学期已关闭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拒绝关闭，不发生部分结算。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TC-ADM-03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最终处理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低人数、无教师、备选补位和账单入队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按规则取消/替换课程并生成唯一账单。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TC-DB-01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数据库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档案、资格或审计写入失败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同一事务全部回滚。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TC-BILL-01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账单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暂时故障、重复请求或无效确认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保持可重试或标记失败，不重复登记。</w:t>
            </w:r>
          </w:p>
        </w:tc>
      </w:tr>
      <w:tr>
        <w:trPr>
          <w:cantSplit/>
        </w:trPr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TC-CAT-01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目录服务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API 故障或按学期/院系过滤</w:t>
            </w:r>
          </w:p>
        </w:tc>
        <w:tc>
          <w:tcPr>
            <w:tcW w:type="dxa" w:w="23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正确显示数据或错误，不将故障显示成空成功。</w:t>
            </w:r>
          </w:p>
        </w:tc>
      </w:tr>
    </w:tbl>
    <w:p>
      <w:pPr>
        <w:spacing w:after="40" w:before="0"/>
      </w:pPr>
    </w:p>
    <w:p>
      <w:pPr>
        <w:pStyle w:val="Heading1"/>
      </w:pPr>
      <w:r>
        <w:t>6. 进入与退出准则</w:t>
      </w:r>
    </w:p>
    <w:p>
      <w:pPr>
        <w:pStyle w:val="Heading3"/>
      </w:pPr>
      <w:r>
        <w:t>进入准则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当前代码可启动，测试依赖可用。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测试数据为虚构账号和课程，不包含真实个人信息。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自动化测试使用隔离数据，不操作团队共享的正式演示库。</w:t>
      </w:r>
    </w:p>
    <w:p>
      <w:pPr>
        <w:pStyle w:val="Heading3"/>
      </w:pPr>
      <w:r>
        <w:t>退出准则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关键安全、选课和结算场景有明确执行结果。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关键缺陷已修复或登记；环境限制单独说明。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未通过和未执行案例有重跑或手工验收安排。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只有关键用例通过且目标环境验收完成后，才标记最终验收通过。</w:t>
      </w:r>
    </w:p>
    <w:p>
      <w:pPr>
        <w:pStyle w:val="Heading1"/>
      </w:pPr>
      <w:r>
        <w:t>7. 缺陷记录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每条缺陷记录构建版本、环境、前置数据、复现步骤、实际/预期结果、严重级别、责任人、修复版本和回归结果。受权限限制无法执行时标记“环境阻塞/未判定”，不记作通过。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宋体" w:hAnsi="宋体" w:eastAsia="宋体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85D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课程注册系统测试计划</dc:title>
  <dc:subject>课程注册系统软件工程课程设计交付文档</dc:subject>
  <dc:creator>课程设计小组</dc:creator>
  <cp:keywords>课程注册系统; 软件工程;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