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07CE" w14:textId="77777777" w:rsidR="00B85A31" w:rsidRDefault="00000000">
      <w:pPr>
        <w:pStyle w:val="1"/>
        <w:spacing w:before="0" w:after="0" w:line="275" w:lineRule="auto"/>
        <w:rPr>
          <w:rFonts w:ascii="Google Sans" w:eastAsia="Google Sans" w:hAnsi="Google Sans" w:cs="Google Sans"/>
          <w:color w:val="1F1F1F"/>
        </w:rPr>
      </w:pPr>
      <w:r>
        <w:rPr>
          <w:rFonts w:ascii="Google Sans" w:eastAsia="Google Sans" w:hAnsi="Google Sans" w:cs="Google Sans"/>
          <w:color w:val="1F1F1F"/>
        </w:rPr>
        <w:t>重庆方言“好”系疑问词的语义偏离与跨方言交际误解研究</w:t>
      </w:r>
    </w:p>
    <w:p w14:paraId="12F320D6" w14:textId="67A71E86"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摘要</w:t>
      </w:r>
      <w:r>
        <w:rPr>
          <w:rFonts w:ascii="Google Sans" w:eastAsia="Google Sans" w:hAnsi="Google Sans" w:cs="Google Sans"/>
          <w:color w:val="1F1F1F"/>
        </w:rPr>
        <w:t>：重庆方言与普通话虽</w:t>
      </w:r>
      <w:r w:rsidRPr="00641814">
        <w:rPr>
          <w:rFonts w:ascii="Google Sans" w:eastAsia="Google Sans" w:hAnsi="Google Sans" w:cs="Google Sans"/>
          <w:color w:val="1F1F1F"/>
          <w:highlight w:val="yellow"/>
        </w:rPr>
        <w:t>同属北方官话</w:t>
      </w:r>
      <w:r>
        <w:rPr>
          <w:rFonts w:ascii="Google Sans" w:eastAsia="Google Sans" w:hAnsi="Google Sans" w:cs="Google Sans"/>
          <w:color w:val="1F1F1F"/>
        </w:rPr>
        <w:t>，但在实际接触中常因同形词的语义和句法差异</w:t>
      </w:r>
      <w:commentRangeStart w:id="0"/>
      <w:r w:rsidRPr="00641814">
        <w:rPr>
          <w:rFonts w:ascii="Google Sans" w:eastAsia="Google Sans" w:hAnsi="Google Sans" w:cs="Google Sans"/>
          <w:color w:val="1F1F1F"/>
        </w:rPr>
        <w:t>引发语用失误</w:t>
      </w:r>
      <w:r>
        <w:rPr>
          <w:rFonts w:ascii="Google Sans" w:eastAsia="Google Sans" w:hAnsi="Google Sans" w:cs="Google Sans"/>
          <w:color w:val="1F1F1F"/>
        </w:rPr>
        <w:t>。</w:t>
      </w:r>
      <w:commentRangeEnd w:id="0"/>
      <w:r w:rsidR="00641814">
        <w:rPr>
          <w:rStyle w:val="a6"/>
          <w:rFonts w:ascii="Google Sans" w:eastAsia="Google Sans" w:hAnsi="Google Sans" w:cs="Google Sans"/>
          <w:color w:val="1F1F1F"/>
          <w:sz w:val="22"/>
          <w:szCs w:val="22"/>
        </w:rPr>
        <w:commentReference w:id="0"/>
      </w:r>
      <w:r>
        <w:rPr>
          <w:rFonts w:ascii="Google Sans" w:eastAsia="Google Sans" w:hAnsi="Google Sans" w:cs="Google Sans"/>
          <w:color w:val="1F1F1F"/>
        </w:rPr>
        <w:t>以“你好大了”与“还有好久到”为例，探讨“好”系词汇从程度</w:t>
      </w:r>
      <w:r w:rsidR="00641814">
        <w:rPr>
          <w:rFonts w:ascii="宋体" w:eastAsia="宋体" w:hAnsi="宋体" w:cs="宋体" w:hint="eastAsia"/>
          <w:color w:val="1F1F1F"/>
        </w:rPr>
        <w:t>感叹</w:t>
      </w:r>
      <w:r>
        <w:rPr>
          <w:rFonts w:ascii="Google Sans" w:eastAsia="Google Sans" w:hAnsi="Google Sans" w:cs="Google Sans"/>
          <w:color w:val="1F1F1F"/>
        </w:rPr>
        <w:t>向程度疑问范畴的</w:t>
      </w:r>
      <w:r w:rsidR="00641814">
        <w:rPr>
          <w:rFonts w:ascii="宋体" w:eastAsia="宋体" w:hAnsi="宋体" w:cs="宋体" w:hint="eastAsia"/>
          <w:color w:val="1F1F1F"/>
        </w:rPr>
        <w:t>语义</w:t>
      </w:r>
      <w:r>
        <w:rPr>
          <w:rFonts w:ascii="Google Sans" w:eastAsia="Google Sans" w:hAnsi="Google Sans" w:cs="Google Sans"/>
          <w:color w:val="1F1F1F"/>
        </w:rPr>
        <w:t>演变路径，剖析其在跨方言交际中引发的言语行为解码错位与</w:t>
      </w:r>
      <w:r w:rsidRPr="00641814">
        <w:rPr>
          <w:rFonts w:ascii="Google Sans" w:eastAsia="Google Sans" w:hAnsi="Google Sans" w:cs="Google Sans"/>
          <w:color w:val="1F1F1F"/>
          <w:highlight w:val="yellow"/>
        </w:rPr>
        <w:t>社交语用失效</w:t>
      </w:r>
      <w:r>
        <w:rPr>
          <w:rFonts w:ascii="Google Sans" w:eastAsia="Google Sans" w:hAnsi="Google Sans" w:cs="Google Sans"/>
          <w:color w:val="1F1F1F"/>
        </w:rPr>
        <w:t>。历时文献与共时类型学分析表明，“好”的程度疑问代词用法属于沿长江一带方言（包括西南官话、江淮官话和湘方言）中后起的创新表达。在跨方言接触中，听话人若缺乏特定的认知语境，极易产生理解偏差。厘清此类变异机制，不仅有助于减少跨方言交际障碍，也有助于以更客观、开放的态度看待语言多样性。</w:t>
      </w:r>
    </w:p>
    <w:p w14:paraId="143F71A9"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关键词</w:t>
      </w:r>
      <w:r>
        <w:rPr>
          <w:rFonts w:ascii="Google Sans" w:eastAsia="Google Sans" w:hAnsi="Google Sans" w:cs="Google Sans"/>
          <w:color w:val="1F1F1F"/>
        </w:rPr>
        <w:t>：重庆方言、疑问代词、语义偏离、跨方言交际、言语行为</w:t>
      </w:r>
    </w:p>
    <w:p w14:paraId="60F8118C" w14:textId="77777777" w:rsidR="00B85A3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一、跨方言接触中的语义偏离与交际障碍</w:t>
      </w:r>
    </w:p>
    <w:p w14:paraId="27C607B2"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语言作为承载思想的符号系统，其内部的地理变异与社会变异常在跨方言接触中导致认知偏差。作为西南官话的代表，重庆方言与普通话在语音、词汇及语法上存在着千丝万缕的联系。然而，正是由于大量同形异义现象的存在，使得跨方言交际者在缺乏背景共享的动态语境中，极易产生误读（中国社会科学网，2025）。其中，以“好”为核心的疑问代词系统（以下简称“好”系疑问词）在演变机制与共时解码上表现出极强的方言特异性，是探讨方言接触中语用失误的典型范例（王思云，2026）。</w:t>
      </w:r>
    </w:p>
    <w:p w14:paraId="7321F75A" w14:textId="77777777" w:rsidR="00B85A3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二、“好”系疑问词的历时语法化与演变机制</w:t>
      </w:r>
    </w:p>
    <w:p w14:paraId="791B20AB"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现代汉语共同语系统中，“好”多作为程度副词，主要发挥程度修饰功能，并可用于表达程度感叹。然而在重庆方言及荣昌等沿长江一带的汉语方言中，“好”经历了深刻的语法化过程，已演化为程度或数量疑问代词，等同于普通话的“多”或“几”（王思云，2026）。</w:t>
      </w:r>
    </w:p>
    <w:p w14:paraId="20C12C65"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从历时角度考察，“好”的程度疑问用法出现较晚。程度副词“好”始见于唐代，并在元明清时期大量使用，</w:t>
      </w:r>
      <w:r w:rsidRPr="00641814">
        <w:rPr>
          <w:rFonts w:ascii="Google Sans" w:eastAsia="Google Sans" w:hAnsi="Google Sans" w:cs="Google Sans"/>
          <w:color w:val="1F1F1F"/>
          <w:highlight w:val="yellow"/>
        </w:rPr>
        <w:t>是通语的共有现象（王思云，2026）。而询问程度的疑问代词“好”直至清末才始见于文献记载。除了见于西南官话文献《成都通览》、《西蜀方言》和《跻春台》外，清代表疑问的“好A”类词还零星记载于《永庆升平全传》（存1例）、《续济公传》（存1例）以及《霆军纪略》（存3例，作者陈昌为重庆铜梁人）等文献中（鲜曜华，2022；王思云，2026）。这些历史文献表明，“好”的程度疑问代词用法属于方言内部的后起创新（王思云，2026）。</w:t>
      </w:r>
    </w:p>
    <w:p w14:paraId="2DD0E44D"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演变路径上，从程度感叹演化到程度疑问，主要是由于感叹强调情感的“语用偏向”导致了信息弱化，进而促发了人们对超出预期的细节进行追问（陈鑫颖、盛益民，2025）。陈鑫颖与盛益民（2025）指出，由于感叹句强调说话人的主观情感，这种强烈的语用偏向往往导致客观事实信息的弱化与信息量不足，进而促使听话人去追问细节。在沿长江一带方言中，“好多”和“好久”最初表达超出预期的主观感叹，由于其所携带的客观信息不饱和，更容易引发听话人的追问，使得语义在频繁的使用中固化为程度疑问。</w:t>
      </w:r>
    </w:p>
    <w:p w14:paraId="41D32DFF"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这符合盛益民（2019）关于汉语方言中数量与程度、事物与类别等范畴共用疑问语素的类型学特征。具体而言，在荣昌等方言中，数量和程度范畴共用“好”类疑问词，而事物和类别范畴则共用“啥”类疑问词（王思云，2026）。这一演变过程不仅展示了语言经济性原则，也揭示了认知心理</w:t>
      </w:r>
      <w:r>
        <w:rPr>
          <w:rFonts w:ascii="Google Sans" w:eastAsia="Google Sans" w:hAnsi="Google Sans" w:cs="Google Sans"/>
          <w:color w:val="1F1F1F"/>
        </w:rPr>
        <w:lastRenderedPageBreak/>
        <w:t>对句法发展的塑造作用。</w:t>
      </w:r>
    </w:p>
    <w:p w14:paraId="5D98692D" w14:textId="77777777" w:rsidR="00B85A3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三、典型语用偏离案例的言语行为解码错位</w:t>
      </w:r>
    </w:p>
    <w:p w14:paraId="3B07BF83"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当重庆方言与普通话发生共时接触时，这种语法化路径的差异往往会导致言语行为在解码阶段发生语用偏离（王思云，2026）。</w:t>
      </w:r>
    </w:p>
    <w:p w14:paraId="334AC81A" w14:textId="77777777" w:rsidR="00B85A3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（一）“你好大了”的言语行为偏离</w:t>
      </w:r>
    </w:p>
    <w:p w14:paraId="56EB5A2C"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重庆方言中，疑问代词“好”可以作状语修饰形容词（如“好大”）（王思云，2026）。当重庆方言使用者询问年龄说“你好大了？”时，其主观意图是进行一次客观的程度提问，即“你多大了？”（王思云，2026）。然而，普通话母语者基于通语语义库，会将“好”解码为程度副词，并将其处理为主观感叹（即“你已经很大了”）（王思云，2026）。</w:t>
      </w:r>
    </w:p>
    <w:p w14:paraId="1DEF23D3"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这种言语行为的解码错位，直接导致了说话人的“询问”意图被听话人误读为“评价”或“嘲讽”（王思云，2026）。听话人误以为说话人在对自己进行年龄、心智或行为上的主观定性，极易导致听话人产生被冒犯、被否定等消极情绪，甚至诱发跨方言人际交往的隐性冲突（王思云，2026）。</w:t>
      </w:r>
    </w:p>
    <w:p w14:paraId="7A3E2752" w14:textId="77777777" w:rsidR="00B85A3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（二）“还有好久到”的语用推论错位</w:t>
      </w:r>
    </w:p>
    <w:p w14:paraId="3D77748B"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同样，“好久”一词在普通话中通常是时间名词或副词，指代“很长一段时间”（王思云，2026）。而在重庆方言中，疑问语素“好”与本体成分“久”结合，成为提问时间的疑问代词，意为“多久”或“何时”（王思云，2026）。</w:t>
      </w:r>
    </w:p>
    <w:p w14:paraId="2ABEC6CC"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使用者询问“还有好久到？”时，外地听话人由于将“好久”解码为“很长一段时间”，在“路途遥远”这一既有语用预设的背景下，极易对说话人的话语产生消极的语用推论，误以为说话人在抱怨路途遥远（王思云，2026）。在这种情况下，语用预设（路途远、时间长）实际上是听话人进行解码的前提条件，而非产生的结果；真正的交际偏离在于听话人通过不恰当的预设，重构出了“抱怨”这一错误的隐含意义（王思云，2026）。</w:t>
      </w:r>
    </w:p>
    <w:p w14:paraId="73DD52D4"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为了更加清晰地展示这两种典型构式在跨方言交际中的偏离轨迹，以下表格从句法、语义、预设条件及最终的语用推论等方面进行了对比分析：</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B85A31" w14:paraId="0EB2C9A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BF7D3D"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典型构式</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44821"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方言母语者编码意图</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BFF1F4"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共同语母语者解码路径</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B200EC"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既有语用预设（前提条件）</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DA2B10"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言语行为与语用推论偏差</w:t>
            </w:r>
          </w:p>
        </w:tc>
      </w:tr>
      <w:tr w:rsidR="00B85A31" w14:paraId="158F9B8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FA28C"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你好大了？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3BD79C"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客观程度提问（“你多大了？”）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CB542A"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主观程度感叹（“你已经很大了”）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689697"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听话人具备关于自身年龄或行为表现的自我认知</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65F5B2"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客观“询问”被误读为带有指责或嘲讽色彩的“评价”</w:t>
            </w:r>
          </w:p>
        </w:tc>
      </w:tr>
      <w:tr w:rsidR="00B85A31" w14:paraId="75997D1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DAF01"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还有好久到？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3F9EF7"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时间特指疑问（“还要多久才到？”）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24F43"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时间跨度描述（“还要很长一段时间才到”）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67758A"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听话人预设了“当前路途依然遥远”的事实前</w:t>
            </w:r>
            <w:r>
              <w:rPr>
                <w:rFonts w:ascii="Google Sans" w:eastAsia="Google Sans" w:hAnsi="Google Sans" w:cs="Google Sans"/>
                <w:color w:val="1F1F1F"/>
              </w:rPr>
              <w:lastRenderedPageBreak/>
              <w:t>提</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4EB74" w14:textId="77777777" w:rsidR="00B85A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客观“获取信息”被误读为对客观环境的“消极</w:t>
            </w:r>
            <w:r>
              <w:rPr>
                <w:rFonts w:ascii="Google Sans" w:eastAsia="Google Sans" w:hAnsi="Google Sans" w:cs="Google Sans"/>
                <w:color w:val="1F1F1F"/>
              </w:rPr>
              <w:lastRenderedPageBreak/>
              <w:t>抱怨”</w:t>
            </w:r>
          </w:p>
        </w:tc>
      </w:tr>
    </w:tbl>
    <w:p w14:paraId="1C607475" w14:textId="77777777" w:rsidR="00B85A31" w:rsidRDefault="00000000">
      <w:pPr>
        <w:pStyle w:val="2"/>
        <w:spacing w:before="48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四、语用语言学视阈下的失误成因与调适策略</w:t>
      </w:r>
    </w:p>
    <w:p w14:paraId="3B6080A6"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从语用学的经典理论来看，重庆方言“好”系疑问词引发的交际误解主要属于语用语言失误（王思云，2026）。语用语言失误通常是指说话人或听话人直接将母语或母方言的语用习惯套用在目标语言中，从而导致话语的语用力量被误判。在上述案例中，交际双方均不自觉地依赖自身的“语用关联”进行信息处理。普通话母语者在未激活方言认知图景的情况下，会付出较少的推理努力，直接套用通语规则完成明示-推理过程，从而导致认知效果的语用偏离。</w:t>
      </w:r>
    </w:p>
    <w:p w14:paraId="00343979"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实际的跨方言接触中，若要规避此类语用语言失误，交际双方需要建立双向的“语用移情”（何自然，1997）。何自然指出，语用移情能够使交际者设身处地地站在对方的语言背景中去解码信息，包容并顺应交际中的非规范表达（何自然，1997）。一方面，重庆方言使用者在非本土交际语境中应主动进行语用调节，用普通话标准的“多久”、“多大”代替方言中的“好”系疑问词；另一方面，共同语使用者也应提升对方言变异的认知敏感性，在遇到语义逻辑冲突时，通过及时的提问与澄清机制重构正确的语境关联，从而减少跨方言交际障碍。</w:t>
      </w:r>
    </w:p>
    <w:p w14:paraId="6E8D9046" w14:textId="77777777" w:rsidR="00B85A3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五、结论</w:t>
      </w:r>
    </w:p>
    <w:p w14:paraId="47E4CBE9"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重庆方言“好”系疑问词从程度修饰向疑问代词的历时演变，是汉语长江流域方言内部后起创新的语法化成果，具有独特的生成机制（陈鑫颖、盛益民，2025；王思云，2026）。然而在跨方言交际中，这一方言特异性常因听话人的解码错位而转化为交际障碍，导致提问的言语行为发生语用偏离，被误读为抱怨或嘲讽（王思云，2026）。理解这些因“同形异义”引发的语用语言失误，不仅有助于交际者在互动中通过语用移情与语境重建来规避交际冲突，也有助于以更客观、开放的态度看待语言多样性（何自然，1997；王思云，2026）。</w:t>
      </w:r>
    </w:p>
    <w:p w14:paraId="2F6F82E3" w14:textId="77777777" w:rsidR="00B85A3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参考文献</w:t>
      </w:r>
    </w:p>
    <w:p w14:paraId="63FCFEC0"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u w:val="single"/>
        </w:rPr>
      </w:pPr>
      <w:r>
        <w:rPr>
          <w:rFonts w:ascii="Google Sans" w:eastAsia="Google Sans" w:hAnsi="Google Sans" w:cs="Google Sans"/>
          <w:color w:val="1F1F1F"/>
        </w:rPr>
        <w:t>中国社会科学网 (2025年7月4日)。语言和文化的互动：汉语方言的语言学研究。</w:t>
      </w:r>
      <w:hyperlink r:id="rId8">
        <w:r>
          <w:rPr>
            <w:rFonts w:ascii="Google Sans" w:eastAsia="Google Sans" w:hAnsi="Google Sans" w:cs="Google Sans"/>
            <w:color w:val="1F1F1F"/>
            <w:u w:val="single"/>
          </w:rPr>
          <w:t>https://www.cssn.cn/skgz/bwyc/202507/t20250704_5884806.shtml</w:t>
        </w:r>
      </w:hyperlink>
    </w:p>
    <w:p w14:paraId="7BC6061B"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u w:val="single"/>
        </w:rPr>
      </w:pPr>
      <w:r>
        <w:rPr>
          <w:rFonts w:ascii="Google Sans" w:eastAsia="Google Sans" w:hAnsi="Google Sans" w:cs="Google Sans"/>
          <w:color w:val="1F1F1F"/>
        </w:rPr>
        <w:t>王思云 (2026)。重庆荣昌方言疑问代词的共时类型与历史来源。</w:t>
      </w:r>
      <w:r>
        <w:rPr>
          <w:rFonts w:ascii="Google Sans" w:eastAsia="Google Sans" w:hAnsi="Google Sans" w:cs="Google Sans"/>
          <w:b/>
          <w:bCs/>
          <w:color w:val="1F1F1F"/>
        </w:rPr>
        <w:t>现代语言学</w:t>
      </w:r>
      <w:r>
        <w:rPr>
          <w:rFonts w:ascii="Google Sans" w:eastAsia="Google Sans" w:hAnsi="Google Sans" w:cs="Google Sans"/>
          <w:color w:val="1F1F1F"/>
        </w:rPr>
        <w:t>，14(5)，660-671。</w:t>
      </w:r>
      <w:hyperlink r:id="rId9">
        <w:r>
          <w:rPr>
            <w:rFonts w:ascii="Google Sans" w:eastAsia="Google Sans" w:hAnsi="Google Sans" w:cs="Google Sans"/>
            <w:color w:val="1F1F1F"/>
            <w:u w:val="single"/>
          </w:rPr>
          <w:t>https://doi.org/10.12677/ml.2026.145445</w:t>
        </w:r>
      </w:hyperlink>
    </w:p>
    <w:p w14:paraId="76E52B66"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何自然 (1997)。《语用学与英语学习》。上海外语教育出版社。</w:t>
      </w:r>
    </w:p>
    <w:p w14:paraId="50BECFFB"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陈鑫颖、盛益民 (2023)。汉语程度特指问编码策略的类型学研究——兼论程度疑问代词的演变模型。</w:t>
      </w:r>
      <w:r>
        <w:rPr>
          <w:rFonts w:ascii="Google Sans" w:eastAsia="Google Sans" w:hAnsi="Google Sans" w:cs="Google Sans"/>
          <w:b/>
          <w:bCs/>
          <w:color w:val="1F1F1F"/>
        </w:rPr>
        <w:t>中国语文</w:t>
      </w:r>
      <w:r>
        <w:rPr>
          <w:rFonts w:ascii="Google Sans" w:eastAsia="Google Sans" w:hAnsi="Google Sans" w:cs="Google Sans"/>
          <w:color w:val="1F1F1F"/>
        </w:rPr>
        <w:t>，2023(3)，279-290。</w:t>
      </w:r>
    </w:p>
    <w:p w14:paraId="433DA7A0"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陈鑫颖、盛益民 (2025)。《“好”的语义来源》。四川大学出版社。</w:t>
      </w:r>
    </w:p>
    <w:p w14:paraId="2F547DFE"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傅崇矩 (1909)。《成都通览》。成都通俗报社。</w:t>
      </w:r>
    </w:p>
    <w:p w14:paraId="57723D15" w14:textId="77777777" w:rsidR="00B85A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鲜曜华 (2022)。近代汉语疑问代词“好”的历时演变。</w:t>
      </w:r>
      <w:r>
        <w:rPr>
          <w:rFonts w:ascii="Google Sans" w:eastAsia="Google Sans" w:hAnsi="Google Sans" w:cs="Google Sans"/>
          <w:b/>
          <w:bCs/>
          <w:color w:val="1F1F1F"/>
        </w:rPr>
        <w:t>汉语史学报</w:t>
      </w:r>
      <w:r>
        <w:rPr>
          <w:rFonts w:ascii="Google Sans" w:eastAsia="Google Sans" w:hAnsi="Google Sans" w:cs="Google Sans"/>
          <w:color w:val="1F1F1F"/>
        </w:rPr>
        <w:t>，22(2)，115-128。</w:t>
      </w:r>
    </w:p>
    <w:sectPr w:rsidR="00B85A31">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Huailin [Student]" w:date="2026-06-18T01:42:00Z" w:initials="HL">
    <w:p w14:paraId="72D1917C" w14:textId="77777777" w:rsidR="00641814" w:rsidRDefault="00641814" w:rsidP="00641814">
      <w:pPr>
        <w:pStyle w:val="a7"/>
      </w:pPr>
      <w:r>
        <w:rPr>
          <w:rStyle w:val="a6"/>
        </w:rPr>
        <w:annotationRef/>
      </w:r>
      <w:r>
        <w:rPr>
          <w:rFonts w:hint="eastAsia"/>
        </w:rPr>
        <w:t>是否过于笼统，</w:t>
      </w:r>
      <w:r>
        <w:rPr>
          <w:rFonts w:hint="eastAsia"/>
          <w:color w:val="303030"/>
          <w:highlight w:val="white"/>
        </w:rPr>
        <w:t>英国语言学家</w:t>
      </w:r>
      <w:r>
        <w:rPr>
          <w:rFonts w:hint="eastAsia"/>
          <w:color w:val="303030"/>
          <w:highlight w:val="white"/>
        </w:rPr>
        <w:t xml:space="preserve"> Jenny Thomas </w:t>
      </w:r>
      <w:r>
        <w:rPr>
          <w:rFonts w:hint="eastAsia"/>
          <w:color w:val="303030"/>
          <w:highlight w:val="white"/>
        </w:rPr>
        <w:t>在提出“语用失误”（</w:t>
      </w:r>
      <w:r>
        <w:rPr>
          <w:rFonts w:hint="eastAsia"/>
          <w:color w:val="303030"/>
          <w:highlight w:val="white"/>
        </w:rPr>
        <w:t>Pragmatic failure</w:t>
      </w:r>
      <w:r>
        <w:rPr>
          <w:rFonts w:hint="eastAsia"/>
          <w:color w:val="303030"/>
          <w:highlight w:val="white"/>
        </w:rPr>
        <w:t>）概念时，将其明确划分为</w:t>
      </w:r>
      <w:r>
        <w:rPr>
          <w:rFonts w:hint="eastAsia"/>
          <w:color w:val="303030"/>
          <w:highlight w:val="white"/>
        </w:rPr>
        <w:t>**</w:t>
      </w:r>
      <w:r>
        <w:rPr>
          <w:rFonts w:hint="eastAsia"/>
          <w:color w:val="303030"/>
          <w:highlight w:val="white"/>
        </w:rPr>
        <w:t>“语用语言失误”</w:t>
      </w:r>
      <w:r>
        <w:rPr>
          <w:rFonts w:hint="eastAsia"/>
          <w:b/>
          <w:bCs/>
          <w:color w:val="303030"/>
          <w:highlight w:val="white"/>
        </w:rPr>
        <w:t>（</w:t>
      </w:r>
      <w:r>
        <w:rPr>
          <w:rFonts w:hint="eastAsia"/>
          <w:b/>
          <w:bCs/>
          <w:color w:val="303030"/>
          <w:highlight w:val="white"/>
        </w:rPr>
        <w:t>pragmalinguistic failure</w:t>
      </w:r>
      <w:r>
        <w:rPr>
          <w:rFonts w:hint="eastAsia"/>
          <w:b/>
          <w:bCs/>
          <w:color w:val="303030"/>
          <w:highlight w:val="white"/>
        </w:rPr>
        <w:t>，也称语言语用失误）和</w:t>
      </w:r>
      <w:r>
        <w:rPr>
          <w:rFonts w:hint="eastAsia"/>
          <w:color w:val="303030"/>
          <w:highlight w:val="white"/>
        </w:rPr>
        <w:t>“社交语用失误”</w:t>
      </w:r>
      <w:r>
        <w:rPr>
          <w:rFonts w:hint="eastAsia"/>
          <w:color w:val="303030"/>
          <w:highlight w:val="white"/>
        </w:rPr>
        <w:t>**</w:t>
      </w:r>
      <w:r>
        <w:rPr>
          <w:rFonts w:hint="eastAsia"/>
          <w:color w:val="303030"/>
          <w:highlight w:val="white"/>
        </w:rPr>
        <w:t>（</w:t>
      </w:r>
      <w:r>
        <w:rPr>
          <w:rFonts w:hint="eastAsia"/>
          <w:color w:val="303030"/>
          <w:highlight w:val="white"/>
        </w:rPr>
        <w:t>sociopragmatic failure</w:t>
      </w:r>
      <w:r>
        <w:rPr>
          <w:rFonts w:hint="eastAsia"/>
          <w:color w:val="303030"/>
          <w:highlight w:val="white"/>
        </w:rPr>
        <w:t>）两类</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D191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4458A1" w16cex:dateUtc="2026-06-17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D1917C" w16cid:durableId="464458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77BD07-5580-45A7-9548-840173C38FD0}"/>
  </w:font>
  <w:font w:name="Google Sans">
    <w:altName w:val="Calibri"/>
    <w:charset w:val="00"/>
    <w:family w:val="auto"/>
    <w:pitch w:val="default"/>
    <w:embedRegular r:id="rId2" w:fontKey="{A0A322D3-25BB-460D-B595-A26CCB1885D6}"/>
    <w:embedBold r:id="rId3" w:fontKey="{B2F2C617-94A3-450A-9A0D-91AD448FD65D}"/>
  </w:font>
  <w:font w:name="Calibri">
    <w:panose1 w:val="020F0502020204030204"/>
    <w:charset w:val="00"/>
    <w:family w:val="swiss"/>
    <w:pitch w:val="variable"/>
    <w:sig w:usb0="E4002EFF" w:usb1="C200247B" w:usb2="00000009" w:usb3="00000000" w:csb0="000001FF" w:csb1="00000000"/>
    <w:embedRegular r:id="rId4" w:fontKey="{4CC84596-979A-4BF1-A108-9490E81C4591}"/>
  </w:font>
  <w:font w:name="Cambria">
    <w:panose1 w:val="02040503050406030204"/>
    <w:charset w:val="00"/>
    <w:family w:val="roman"/>
    <w:pitch w:val="variable"/>
    <w:sig w:usb0="E00006FF" w:usb1="420024FF" w:usb2="02000000" w:usb3="00000000" w:csb0="0000019F" w:csb1="00000000"/>
    <w:embedRegular r:id="rId5" w:fontKey="{E1725A61-33A3-4A6F-9A66-201ABBD8A403}"/>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Huailin [Student]">
    <w15:presenceInfo w15:providerId="AD" w15:userId="S::25097331d@connect.polyu.hk::f596ee85-a3ad-416d-b155-5354569f13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A31"/>
    <w:rsid w:val="00641814"/>
    <w:rsid w:val="00A6392E"/>
    <w:rsid w:val="00B85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CC449"/>
  <w15:docId w15:val="{F4196B11-38F6-4441-8551-DEECCA11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641814"/>
    <w:rPr>
      <w:sz w:val="21"/>
      <w:szCs w:val="21"/>
    </w:rPr>
  </w:style>
  <w:style w:type="paragraph" w:styleId="a7">
    <w:name w:val="annotation text"/>
    <w:basedOn w:val="a"/>
    <w:link w:val="a8"/>
    <w:uiPriority w:val="99"/>
    <w:unhideWhenUsed/>
    <w:rsid w:val="00641814"/>
  </w:style>
  <w:style w:type="character" w:customStyle="1" w:styleId="a8">
    <w:name w:val="批注文字 字符"/>
    <w:basedOn w:val="a0"/>
    <w:link w:val="a7"/>
    <w:uiPriority w:val="99"/>
    <w:rsid w:val="00641814"/>
  </w:style>
  <w:style w:type="paragraph" w:styleId="a9">
    <w:name w:val="annotation subject"/>
    <w:basedOn w:val="a7"/>
    <w:next w:val="a7"/>
    <w:link w:val="aa"/>
    <w:uiPriority w:val="99"/>
    <w:semiHidden/>
    <w:unhideWhenUsed/>
    <w:rsid w:val="00641814"/>
    <w:rPr>
      <w:b/>
      <w:bCs/>
    </w:rPr>
  </w:style>
  <w:style w:type="character" w:customStyle="1" w:styleId="aa">
    <w:name w:val="批注主题 字符"/>
    <w:basedOn w:val="a8"/>
    <w:link w:val="a9"/>
    <w:uiPriority w:val="99"/>
    <w:semiHidden/>
    <w:rsid w:val="00641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sn.cn/skgz/bwyc/202507/t20250704_5884806.shtml" TargetMode="Externa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doi.org/10.12677/ml.2026.14544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1756</Words>
  <Characters>1880</Characters>
  <Application>Microsoft Office Word</Application>
  <DocSecurity>0</DocSecurity>
  <Lines>72</Lines>
  <Paragraphs>49</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Huailin [Student]</cp:lastModifiedBy>
  <cp:revision>2</cp:revision>
  <dcterms:created xsi:type="dcterms:W3CDTF">2026-06-17T17:25:00Z</dcterms:created>
  <dcterms:modified xsi:type="dcterms:W3CDTF">2026-06-17T17:46:00Z</dcterms:modified>
</cp:coreProperties>
</file>