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jc w:val="left"/>
      </w:pPr>
      <w:r>
        <w:rPr>
          <w:rFonts w:ascii="Aptos" w:hAnsi="Aptos"/>
          <w:b/>
          <w:color w:val="1F4E78"/>
          <w:sz w:val="56"/>
        </w:rPr>
        <w:t>LangGraph vs RocketRide</w:t>
      </w:r>
    </w:p>
    <w:p>
      <w:pPr>
        <w:spacing w:after="360"/>
      </w:pPr>
      <w:r>
        <w:rPr>
          <w:rFonts w:ascii="Aptos" w:hAnsi="Aptos"/>
          <w:b/>
          <w:color w:val="404040"/>
          <w:sz w:val="40"/>
        </w:rPr>
        <w:t>Benchmark Specification</w:t>
      </w:r>
    </w:p>
    <w:tbl>
      <w:tblPr>
        <w:tblStyle w:val="TableGrid"/>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pPr>
              <w:spacing w:after="0" w:line="259" w:lineRule="auto"/>
            </w:pPr>
            <w:r>
              <w:rPr>
                <w:rFonts w:ascii="Aptos" w:hAnsi="Aptos"/>
                <w:b/>
                <w:color w:val="1F4E78"/>
              </w:rPr>
              <w:t xml:space="preserve">Purpose  </w:t>
            </w:r>
            <w:r>
              <w:rPr>
                <w:rFonts w:ascii="Aptos" w:hAnsi="Aptos"/>
              </w:rPr>
              <w:t>Define the benchmark setup, metrics, equivalent processing pipeline, correctness gates, and concurrency policy before any performance number is accepted.</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744"/>
            <w:shd w:fill="1F4E78"/>
            <w:tcMar>
              <w:top w:w="120" w:type="dxa"/>
              <w:start w:w="120" w:type="dxa"/>
              <w:bottom w:w="120" w:type="dxa"/>
              <w:end w:w="120" w:type="dxa"/>
            </w:tcMar>
            <w:vAlign w:val="center"/>
          </w:tcPr>
          <w:p>
            <w:pPr>
              <w:jc w:val="left"/>
            </w:pPr>
            <w:r/>
            <w:r>
              <w:rPr>
                <w:rFonts w:ascii="Aptos" w:hAnsi="Aptos"/>
                <w:b/>
                <w:color w:val="FFFFFF"/>
                <w:sz w:val="20"/>
              </w:rPr>
              <w:t>Scope item</w:t>
            </w:r>
          </w:p>
        </w:tc>
        <w:tc>
          <w:tcPr>
            <w:tcW w:type="dxa" w:w="6624"/>
            <w:shd w:fill="1F4E78"/>
            <w:tcMar>
              <w:top w:w="120" w:type="dxa"/>
              <w:start w:w="120" w:type="dxa"/>
              <w:bottom w:w="120" w:type="dxa"/>
              <w:end w:w="120" w:type="dxa"/>
            </w:tcMar>
            <w:vAlign w:val="center"/>
          </w:tcPr>
          <w:p>
            <w:pPr>
              <w:jc w:val="left"/>
            </w:pPr>
            <w:r/>
            <w:r>
              <w:rPr>
                <w:rFonts w:ascii="Aptos" w:hAnsi="Aptos"/>
                <w:b/>
                <w:color w:val="FFFFFF"/>
                <w:sz w:val="20"/>
              </w:rPr>
              <w:t>Decision</w:t>
            </w:r>
          </w:p>
        </w:tc>
      </w:tr>
      <w:tr>
        <w:trPr>
          <w:cantSplit/>
        </w:trPr>
        <w:tc>
          <w:tcPr>
            <w:tcW w:type="dxa" w:w="3744"/>
            <w:tcMar>
              <w:top w:w="110" w:type="dxa"/>
              <w:start w:w="120" w:type="dxa"/>
              <w:bottom w:w="110" w:type="dxa"/>
              <w:end w:w="120" w:type="dxa"/>
            </w:tcMar>
            <w:vAlign w:val="center"/>
          </w:tcPr>
          <w:p>
            <w:pPr>
              <w:spacing w:after="0" w:line="245" w:lineRule="auto"/>
            </w:pPr>
            <w:r/>
            <w:r>
              <w:rPr>
                <w:rFonts w:ascii="Aptos" w:hAnsi="Aptos"/>
                <w:sz w:val="20"/>
              </w:rPr>
              <w:t>1. Setup check</w:t>
            </w:r>
          </w:p>
        </w:tc>
        <w:tc>
          <w:tcPr>
            <w:tcW w:type="dxa" w:w="6624"/>
            <w:tcMar>
              <w:top w:w="110" w:type="dxa"/>
              <w:start w:w="120" w:type="dxa"/>
              <w:bottom w:w="110" w:type="dxa"/>
              <w:end w:w="120" w:type="dxa"/>
            </w:tcMar>
            <w:vAlign w:val="center"/>
          </w:tcPr>
          <w:p>
            <w:pPr>
              <w:spacing w:after="0" w:line="245" w:lineRule="auto"/>
            </w:pPr>
            <w:r/>
            <w:r>
              <w:rPr>
                <w:rFonts w:ascii="Aptos" w:hAnsi="Aptos"/>
                <w:sz w:val="20"/>
              </w:rPr>
              <w:t>Included</w:t>
            </w:r>
          </w:p>
        </w:tc>
      </w:tr>
      <w:tr>
        <w:trPr>
          <w:cantSplit/>
        </w:trPr>
        <w:tc>
          <w:tcPr>
            <w:tcW w:type="dxa" w:w="3744"/>
            <w:tcMar>
              <w:top w:w="110" w:type="dxa"/>
              <w:start w:w="120" w:type="dxa"/>
              <w:bottom w:w="110" w:type="dxa"/>
              <w:end w:w="120" w:type="dxa"/>
            </w:tcMar>
            <w:vAlign w:val="center"/>
          </w:tcPr>
          <w:p>
            <w:pPr>
              <w:spacing w:after="0" w:line="245" w:lineRule="auto"/>
            </w:pPr>
            <w:r/>
            <w:r>
              <w:rPr>
                <w:rFonts w:ascii="Aptos" w:hAnsi="Aptos"/>
                <w:sz w:val="20"/>
              </w:rPr>
              <w:t>2. Metrics</w:t>
            </w:r>
          </w:p>
        </w:tc>
        <w:tc>
          <w:tcPr>
            <w:tcW w:type="dxa" w:w="6624"/>
            <w:tcMar>
              <w:top w:w="110" w:type="dxa"/>
              <w:start w:w="120" w:type="dxa"/>
              <w:bottom w:w="110" w:type="dxa"/>
              <w:end w:w="120" w:type="dxa"/>
            </w:tcMar>
            <w:vAlign w:val="center"/>
          </w:tcPr>
          <w:p>
            <w:pPr>
              <w:spacing w:after="0" w:line="245" w:lineRule="auto"/>
            </w:pPr>
            <w:r/>
            <w:r>
              <w:rPr>
                <w:rFonts w:ascii="Aptos" w:hAnsi="Aptos"/>
                <w:sz w:val="20"/>
              </w:rPr>
              <w:t>Included</w:t>
            </w:r>
          </w:p>
        </w:tc>
      </w:tr>
      <w:tr>
        <w:trPr>
          <w:cantSplit/>
        </w:trPr>
        <w:tc>
          <w:tcPr>
            <w:tcW w:type="dxa" w:w="3744"/>
            <w:tcMar>
              <w:top w:w="110" w:type="dxa"/>
              <w:start w:w="120" w:type="dxa"/>
              <w:bottom w:w="110" w:type="dxa"/>
              <w:end w:w="120" w:type="dxa"/>
            </w:tcMar>
            <w:vAlign w:val="center"/>
          </w:tcPr>
          <w:p>
            <w:pPr>
              <w:spacing w:after="0" w:line="245" w:lineRule="auto"/>
            </w:pPr>
            <w:r/>
            <w:r>
              <w:rPr>
                <w:rFonts w:ascii="Aptos" w:hAnsi="Aptos"/>
                <w:sz w:val="20"/>
              </w:rPr>
              <w:t>3. Pipeline reproduction</w:t>
            </w:r>
          </w:p>
        </w:tc>
        <w:tc>
          <w:tcPr>
            <w:tcW w:type="dxa" w:w="6624"/>
            <w:tcMar>
              <w:top w:w="110" w:type="dxa"/>
              <w:start w:w="120" w:type="dxa"/>
              <w:bottom w:w="110" w:type="dxa"/>
              <w:end w:w="120" w:type="dxa"/>
            </w:tcMar>
            <w:vAlign w:val="center"/>
          </w:tcPr>
          <w:p>
            <w:pPr>
              <w:spacing w:after="0" w:line="245" w:lineRule="auto"/>
            </w:pPr>
            <w:r/>
            <w:r>
              <w:rPr>
                <w:rFonts w:ascii="Aptos" w:hAnsi="Aptos"/>
                <w:sz w:val="20"/>
              </w:rPr>
              <w:t>Included</w:t>
            </w:r>
          </w:p>
        </w:tc>
      </w:tr>
      <w:tr>
        <w:trPr>
          <w:cantSplit/>
        </w:trPr>
        <w:tc>
          <w:tcPr>
            <w:tcW w:type="dxa" w:w="3744"/>
            <w:tcMar>
              <w:top w:w="110" w:type="dxa"/>
              <w:start w:w="120" w:type="dxa"/>
              <w:bottom w:w="110" w:type="dxa"/>
              <w:end w:w="120" w:type="dxa"/>
            </w:tcMar>
            <w:vAlign w:val="center"/>
          </w:tcPr>
          <w:p>
            <w:pPr>
              <w:spacing w:after="0" w:line="245" w:lineRule="auto"/>
            </w:pPr>
            <w:r/>
            <w:r>
              <w:rPr>
                <w:rFonts w:ascii="Aptos" w:hAnsi="Aptos"/>
                <w:sz w:val="20"/>
              </w:rPr>
              <w:t>4. Correctness validation</w:t>
            </w:r>
          </w:p>
        </w:tc>
        <w:tc>
          <w:tcPr>
            <w:tcW w:type="dxa" w:w="6624"/>
            <w:tcMar>
              <w:top w:w="110" w:type="dxa"/>
              <w:start w:w="120" w:type="dxa"/>
              <w:bottom w:w="110" w:type="dxa"/>
              <w:end w:w="120" w:type="dxa"/>
            </w:tcMar>
            <w:vAlign w:val="center"/>
          </w:tcPr>
          <w:p>
            <w:pPr>
              <w:spacing w:after="0" w:line="245" w:lineRule="auto"/>
            </w:pPr>
            <w:r/>
            <w:r>
              <w:rPr>
                <w:rFonts w:ascii="Aptos" w:hAnsi="Aptos"/>
                <w:sz w:val="20"/>
              </w:rPr>
              <w:t>Included</w:t>
            </w:r>
          </w:p>
        </w:tc>
      </w:tr>
      <w:tr>
        <w:trPr>
          <w:cantSplit/>
        </w:trPr>
        <w:tc>
          <w:tcPr>
            <w:tcW w:type="dxa" w:w="3744"/>
            <w:tcMar>
              <w:top w:w="110" w:type="dxa"/>
              <w:start w:w="120" w:type="dxa"/>
              <w:bottom w:w="110" w:type="dxa"/>
              <w:end w:w="120" w:type="dxa"/>
            </w:tcMar>
            <w:vAlign w:val="center"/>
          </w:tcPr>
          <w:p>
            <w:pPr>
              <w:spacing w:after="0" w:line="245" w:lineRule="auto"/>
            </w:pPr>
            <w:r/>
            <w:r>
              <w:rPr>
                <w:rFonts w:ascii="Aptos" w:hAnsi="Aptos"/>
                <w:sz w:val="20"/>
              </w:rPr>
              <w:t>5. Concurrency policy</w:t>
            </w:r>
          </w:p>
        </w:tc>
        <w:tc>
          <w:tcPr>
            <w:tcW w:type="dxa" w:w="6624"/>
            <w:tcMar>
              <w:top w:w="110" w:type="dxa"/>
              <w:start w:w="120" w:type="dxa"/>
              <w:bottom w:w="110" w:type="dxa"/>
              <w:end w:w="120" w:type="dxa"/>
            </w:tcMar>
            <w:vAlign w:val="center"/>
          </w:tcPr>
          <w:p>
            <w:pPr>
              <w:spacing w:after="0" w:line="245" w:lineRule="auto"/>
            </w:pPr>
            <w:r/>
            <w:r>
              <w:rPr>
                <w:rFonts w:ascii="Aptos" w:hAnsi="Aptos"/>
                <w:sz w:val="20"/>
              </w:rPr>
              <w:t>Included</w:t>
            </w:r>
          </w:p>
        </w:tc>
      </w:tr>
      <w:tr>
        <w:trPr>
          <w:cantSplit/>
        </w:trPr>
        <w:tc>
          <w:tcPr>
            <w:tcW w:type="dxa" w:w="3744"/>
            <w:tcMar>
              <w:top w:w="110" w:type="dxa"/>
              <w:start w:w="120" w:type="dxa"/>
              <w:bottom w:w="110" w:type="dxa"/>
              <w:end w:w="120" w:type="dxa"/>
            </w:tcMar>
            <w:vAlign w:val="center"/>
          </w:tcPr>
          <w:p>
            <w:pPr>
              <w:spacing w:after="0" w:line="245" w:lineRule="auto"/>
            </w:pPr>
            <w:r/>
            <w:r>
              <w:rPr>
                <w:rFonts w:ascii="Aptos" w:hAnsi="Aptos"/>
                <w:sz w:val="20"/>
              </w:rPr>
              <w:t>6. Docker image / EC2 import</w:t>
            </w:r>
          </w:p>
        </w:tc>
        <w:tc>
          <w:tcPr>
            <w:tcW w:type="dxa" w:w="6624"/>
            <w:tcMar>
              <w:top w:w="110" w:type="dxa"/>
              <w:start w:w="120" w:type="dxa"/>
              <w:bottom w:w="110" w:type="dxa"/>
              <w:end w:w="120" w:type="dxa"/>
            </w:tcMar>
            <w:vAlign w:val="center"/>
          </w:tcPr>
          <w:p>
            <w:pPr>
              <w:spacing w:after="0" w:line="245" w:lineRule="auto"/>
            </w:pPr>
            <w:r/>
            <w:r>
              <w:rPr>
                <w:rFonts w:ascii="Aptos" w:hAnsi="Aptos"/>
                <w:sz w:val="20"/>
              </w:rPr>
              <w:t>Excluded from this document</w:t>
            </w:r>
          </w:p>
        </w:tc>
      </w:tr>
    </w:tbl>
    <w:p>
      <w:pPr>
        <w:spacing w:after="40"/>
      </w:pPr>
    </w:p>
    <w:p>
      <w:pPr>
        <w:spacing w:before="160"/>
      </w:pPr>
      <w:r>
        <w:rPr>
          <w:rFonts w:ascii="Aptos" w:hAnsi="Aptos"/>
          <w:b/>
          <w:color w:val="1F4E78"/>
          <w:sz w:val="24"/>
        </w:rPr>
        <w:t>Benchmark principle</w:t>
      </w:r>
    </w:p>
    <w:p>
      <w:pPr>
        <w:spacing w:after="120" w:line="259" w:lineRule="auto"/>
      </w:pPr>
      <w:r>
        <w:rPr>
          <w:rFonts w:ascii="Aptos" w:hAnsi="Aptos"/>
        </w:rPr>
        <w:t>Both systems receive the same corpus, client workload, machine class, splitter behavior, embedding model, timeout policy, and measurement harness. Framework-native internal concurrency remains at default settings in the primary benchmark. The parser difference (RocketRide/Tika vs LangGraph/pypdf) is explicit and validated per arm rather than by cross-arm byte equality.</w:t>
      </w:r>
    </w:p>
    <w:p>
      <w:pPr>
        <w:pStyle w:val="Heading1"/>
        <w:pageBreakBefore/>
      </w:pPr>
      <w:r>
        <w:t>1. Setup Check</w:t>
      </w:r>
    </w:p>
    <w:p>
      <w:pPr>
        <w:spacing w:after="120" w:line="259" w:lineRule="auto"/>
      </w:pPr>
      <w:r>
        <w:rPr>
          <w:rFonts w:ascii="Aptos" w:hAnsi="Aptos"/>
        </w:rPr>
        <w:t>The setup gate proves that both benchmark arms are running natively on the requested AWS hardware and that the intended pipeline is loaded before measurement begins.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tcMar>
              <w:top w:w="120" w:type="dxa"/>
              <w:start w:w="120" w:type="dxa"/>
              <w:bottom w:w="120" w:type="dxa"/>
              <w:end w:w="120" w:type="dxa"/>
            </w:tcMar>
            <w:vAlign w:val="center"/>
          </w:tcPr>
          <w:p>
            <w:pPr>
              <w:jc w:val="left"/>
            </w:pPr>
            <w:r/>
            <w:r>
              <w:rPr>
                <w:rFonts w:ascii="Aptos" w:hAnsi="Aptos"/>
                <w:b/>
                <w:color w:val="FFFFFF"/>
                <w:sz w:val="18"/>
              </w:rPr>
              <w:t>AWS property</w:t>
            </w:r>
          </w:p>
        </w:tc>
        <w:tc>
          <w:tcPr>
            <w:tcW w:type="dxa" w:w="7488"/>
            <w:shd w:fill="1F4E78"/>
            <w:tcMar>
              <w:top w:w="120" w:type="dxa"/>
              <w:start w:w="120" w:type="dxa"/>
              <w:bottom w:w="120" w:type="dxa"/>
              <w:end w:w="120" w:type="dxa"/>
            </w:tcMar>
            <w:vAlign w:val="center"/>
          </w:tcPr>
          <w:p>
            <w:pPr>
              <w:jc w:val="left"/>
            </w:pPr>
            <w:r/>
            <w:r>
              <w:rPr>
                <w:rFonts w:ascii="Aptos" w:hAnsi="Aptos"/>
                <w:b/>
                <w:color w:val="FFFFFF"/>
                <w:sz w:val="18"/>
              </w:rPr>
              <w:t>Locked configuration</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Instances</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3 identical EC2 instances, launched from one launch template; one per framework/team</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Instance type</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c7i.8xlarge; no substitutions</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Architecture</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x86-64 / Intel</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OS</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Ubuntu 22.04 LTS x86-64; identical AMI ID</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CPU / Memory</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32 vCPU / 64 GB RAM</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Storage</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100 GB gp3; 3000 IOPS / 125 MB/s baseline</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Placement</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Same AWS region and same Availability Zone</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Tenancy / family</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Default tenancy; non-burstable family</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Runtime</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Docker Engine + Docker Compose v2</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GPU</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Not required</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Access</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SSH/SSM with permission to install and run Docker</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Execution</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One benchmark arm per dedicated host; no simultaneous competing benchmark on that host</w:t>
            </w:r>
          </w:p>
        </w:tc>
      </w:tr>
    </w:tbl>
    <w:p>
      <w:pPr>
        <w:spacing w:after="40"/>
      </w:pPr>
    </w:p>
    <w:p>
      <w:pPr>
        <w:keepNext/>
        <w:spacing w:after="120" w:line="259" w:lineRule="auto"/>
      </w:pPr>
      <w:r>
        <w:rPr>
          <w:rFonts w:ascii="Aptos" w:hAnsi="Aptos"/>
        </w:rPr>
        <w:t>Before Run 0, capture an environment manifest from each host and compare it across arms. A material mismatch makes the setup invalid until corrected.</w:t>
      </w:r>
    </w:p>
    <w:p>
      <w:pPr>
        <w:pStyle w:val="ListBullet"/>
        <w:spacing w:after="60" w:line="252" w:lineRule="auto"/>
      </w:pPr>
      <w:r>
        <w:rPr>
          <w:rFonts w:ascii="Aptos" w:hAnsi="Aptos"/>
        </w:rPr>
        <w:t>EC2 instance type and architecture</w:t>
      </w:r>
    </w:p>
    <w:p>
      <w:pPr>
        <w:pStyle w:val="ListBullet"/>
        <w:spacing w:after="60" w:line="252" w:lineRule="auto"/>
      </w:pPr>
      <w:r>
        <w:rPr>
          <w:rFonts w:ascii="Aptos" w:hAnsi="Aptos"/>
        </w:rPr>
        <w:t>AMI ID, Ubuntu release, kernel, and CPU model</w:t>
      </w:r>
    </w:p>
    <w:p>
      <w:pPr>
        <w:pStyle w:val="ListBullet"/>
        <w:spacing w:after="60" w:line="252" w:lineRule="auto"/>
      </w:pPr>
      <w:r>
        <w:rPr>
          <w:rFonts w:ascii="Aptos" w:hAnsi="Aptos"/>
        </w:rPr>
        <w:t>vCPU count and available memory</w:t>
      </w:r>
    </w:p>
    <w:p>
      <w:pPr>
        <w:pStyle w:val="ListBullet"/>
        <w:spacing w:after="60" w:line="252" w:lineRule="auto"/>
      </w:pPr>
      <w:r>
        <w:rPr>
          <w:rFonts w:ascii="Aptos" w:hAnsi="Aptos"/>
        </w:rPr>
        <w:t>Docker Engine and Docker Compose versions</w:t>
      </w:r>
    </w:p>
    <w:p>
      <w:pPr>
        <w:pStyle w:val="ListBullet"/>
        <w:spacing w:after="60" w:line="252" w:lineRule="auto"/>
      </w:pPr>
      <w:r>
        <w:rPr>
          <w:rFonts w:ascii="Aptos" w:hAnsi="Aptos"/>
        </w:rPr>
        <w:t>Python and Java versions</w:t>
      </w:r>
    </w:p>
    <w:p>
      <w:pPr>
        <w:pStyle w:val="ListBullet"/>
        <w:spacing w:after="60" w:line="252" w:lineRule="auto"/>
      </w:pPr>
      <w:r>
        <w:rPr>
          <w:rFonts w:ascii="Aptos" w:hAnsi="Aptos"/>
        </w:rPr>
        <w:t>pypdf, Tika, LangChain splitter, sentence-transformers, PyTorch, and embedding-model identifiers/revisions where available</w:t>
      </w:r>
    </w:p>
    <w:p>
      <w:pPr>
        <w:pStyle w:val="ListBullet"/>
        <w:spacing w:after="60" w:line="252" w:lineRule="auto"/>
      </w:pPr>
      <w:r>
        <w:rPr>
          <w:rFonts w:ascii="Aptos" w:hAnsi="Aptos"/>
        </w:rPr>
        <w:t>gp3 volume size, IOPS, and throughput</w:t>
      </w:r>
    </w:p>
    <w:p>
      <w:pPr>
        <w:pStyle w:val="ListBullet"/>
        <w:spacing w:after="60" w:line="252" w:lineRule="auto"/>
      </w:pPr>
      <w:r>
        <w:rPr>
          <w:rFonts w:ascii="Aptos" w:hAnsi="Aptos"/>
        </w:rPr>
        <w:t>Git commit used for each benchmark arm and harness</w:t>
      </w:r>
    </w:p>
    <w:p>
      <w:pPr>
        <w:pStyle w:val="Heading2"/>
        <w:keepNext/>
        <w:spacing w:after="120" w:line="259" w:lineRule="auto"/>
      </w:pPr>
      <w:r>
        <w:rPr>
          <w:rFonts w:ascii="Aptos" w:hAnsi="Aptos"/>
        </w:rPr>
        <w:t>RocketRide setup probe</w:t>
      </w:r>
    </w:p>
    <w:p>
      <w:pPr>
        <w:pStyle w:val="ListBullet"/>
        <w:spacing w:after="60" w:line="252" w:lineRule="auto"/>
      </w:pPr>
      <w:r>
        <w:rPr>
          <w:rFonts w:ascii="Aptos" w:hAnsi="Aptos"/>
        </w:rPr>
        <w:t>Container and RocketRide service start successfully.</w:t>
      </w:r>
    </w:p>
    <w:p>
      <w:pPr>
        <w:pStyle w:val="ListBullet"/>
        <w:spacing w:after="60" w:line="252" w:lineRule="auto"/>
      </w:pPr>
      <w:r>
        <w:rPr>
          <w:rFonts w:ascii="Aptos" w:hAnsi="Aptos"/>
        </w:rPr>
        <w:t>.pipe loads without modification to the benchmarked pipeline semantics.</w:t>
      </w:r>
    </w:p>
    <w:p>
      <w:pPr>
        <w:pStyle w:val="ListBullet"/>
        <w:spacing w:after="60" w:line="252" w:lineRule="auto"/>
      </w:pPr>
      <w:r>
        <w:rPr>
          <w:rFonts w:ascii="Aptos" w:hAnsi="Aptos"/>
        </w:rPr>
        <w:t>Tika/JVM and the local embedding model initialize successfully.</w:t>
      </w:r>
    </w:p>
    <w:p>
      <w:pPr>
        <w:pStyle w:val="ListBullet"/>
        <w:spacing w:after="60" w:line="252" w:lineRule="auto"/>
      </w:pPr>
      <w:r>
        <w:rPr>
          <w:rFonts w:ascii="Aptos" w:hAnsi="Aptos"/>
        </w:rPr>
        <w:t>The shared/use_existing instance is available and the warm in-container WebSocket client pool is ready.</w:t>
      </w:r>
    </w:p>
    <w:p>
      <w:pPr>
        <w:pStyle w:val="ListBullet"/>
        <w:spacing w:after="60" w:line="252" w:lineRule="auto"/>
      </w:pPr>
      <w:r>
        <w:rPr>
          <w:rFonts w:ascii="Aptos" w:hAnsi="Aptos"/>
        </w:rPr>
        <w:t>One known-good PDF returns the expected document response.</w:t>
      </w:r>
    </w:p>
    <w:p>
      <w:pPr>
        <w:pStyle w:val="ListBullet"/>
        <w:spacing w:after="60" w:line="252" w:lineRule="auto"/>
      </w:pPr>
      <w:r>
        <w:rPr>
          <w:rFonts w:ascii="Aptos" w:hAnsi="Aptos"/>
        </w:rPr>
        <w:t>A fixed 10-document probe completes with zero silent documents.</w:t>
      </w:r>
    </w:p>
    <w:p>
      <w:pPr>
        <w:pStyle w:val="ListBullet"/>
        <w:spacing w:after="60" w:line="252" w:lineRule="auto"/>
      </w:pPr>
      <w:r>
        <w:rPr>
          <w:rFonts w:ascii="Aptos" w:hAnsi="Aptos"/>
        </w:rPr>
        <w:t>Repeating the probe returns deterministic observable chunks/embeddings.</w:t>
      </w:r>
    </w:p>
    <w:p>
      <w:pPr>
        <w:pStyle w:val="ListBullet"/>
        <w:spacing w:after="60" w:line="252" w:lineRule="auto"/>
      </w:pPr>
      <w:r>
        <w:rPr>
          <w:rFonts w:ascii="Aptos" w:hAnsi="Aptos"/>
        </w:rPr>
        <w:t>Configured/default and observed worker/thread behavior are captured.</w:t>
      </w:r>
    </w:p>
    <w:p>
      <w:pPr>
        <w:pStyle w:val="Heading2"/>
        <w:keepNext/>
        <w:spacing w:after="120" w:line="259" w:lineRule="auto"/>
      </w:pPr>
      <w:r>
        <w:rPr>
          <w:rFonts w:ascii="Aptos" w:hAnsi="Aptos"/>
        </w:rPr>
        <w:t>LangGraph setup probe</w:t>
      </w:r>
    </w:p>
    <w:p>
      <w:pPr>
        <w:pStyle w:val="ListBullet"/>
        <w:spacing w:after="60" w:line="252" w:lineRule="auto"/>
      </w:pPr>
      <w:r>
        <w:rPr>
          <w:rFonts w:ascii="Aptos" w:hAnsi="Aptos"/>
        </w:rPr>
        <w:t>FastAPI service starts and /v1/process/document-pdf-v1 is reachable.</w:t>
      </w:r>
    </w:p>
    <w:p>
      <w:pPr>
        <w:pStyle w:val="ListBullet"/>
        <w:spacing w:after="60" w:line="252" w:lineRule="auto"/>
      </w:pPr>
      <w:r>
        <w:rPr>
          <w:rFonts w:ascii="Aptos" w:hAnsi="Aptos"/>
        </w:rPr>
        <w:t>The document-v1 StateGraph compiles.</w:t>
      </w:r>
    </w:p>
    <w:p>
      <w:pPr>
        <w:pStyle w:val="ListBullet"/>
        <w:spacing w:after="60" w:line="252" w:lineRule="auto"/>
      </w:pPr>
      <w:r>
        <w:rPr>
          <w:rFonts w:ascii="Aptos" w:hAnsi="Aptos"/>
        </w:rPr>
        <w:t>pypdf extraction, chunking, embedding, and assemble nodes execute.</w:t>
      </w:r>
    </w:p>
    <w:p>
      <w:pPr>
        <w:pStyle w:val="ListBullet"/>
        <w:spacing w:after="60" w:line="252" w:lineRule="auto"/>
      </w:pPr>
      <w:r>
        <w:rPr>
          <w:rFonts w:ascii="Aptos" w:hAnsi="Aptos"/>
        </w:rPr>
        <w:t>The same local embedding model loads successfully.</w:t>
      </w:r>
    </w:p>
    <w:p>
      <w:pPr>
        <w:pStyle w:val="ListBullet"/>
        <w:spacing w:after="60" w:line="252" w:lineRule="auto"/>
      </w:pPr>
      <w:r>
        <w:rPr>
          <w:rFonts w:ascii="Aptos" w:hAnsi="Aptos"/>
        </w:rPr>
        <w:t>One known-good PDF returns the canonical response.</w:t>
      </w:r>
    </w:p>
    <w:p>
      <w:pPr>
        <w:pStyle w:val="ListBullet"/>
        <w:spacing w:after="60" w:line="252" w:lineRule="auto"/>
      </w:pPr>
      <w:r>
        <w:rPr>
          <w:rFonts w:ascii="Aptos" w:hAnsi="Aptos"/>
        </w:rPr>
        <w:t>The fixed 10-document probe completes with zero silent documents.</w:t>
      </w:r>
    </w:p>
    <w:p>
      <w:pPr>
        <w:pStyle w:val="ListBullet"/>
        <w:spacing w:after="60" w:line="252" w:lineRule="auto"/>
      </w:pPr>
      <w:r>
        <w:rPr>
          <w:rFonts w:ascii="Aptos" w:hAnsi="Aptos"/>
        </w:rPr>
        <w:t>Repeating the probe returns deterministic output.</w:t>
      </w:r>
    </w:p>
    <w:p>
      <w:pPr>
        <w:pStyle w:val="ListBullet"/>
        <w:spacing w:after="60" w:line="252" w:lineRule="auto"/>
      </w:pPr>
      <w:r>
        <w:rPr>
          <w:rFonts w:ascii="Aptos" w:hAnsi="Aptos"/>
        </w:rPr>
        <w:t>Default executor/thread behavior is measured and recorded on the 32-vCPU host.</w:t>
      </w:r>
    </w:p>
    <w:tbl>
      <w:tblPr>
        <w:tblStyle w:val="TableGrid"/>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pPr>
              <w:spacing w:after="0" w:line="259" w:lineRule="auto"/>
            </w:pPr>
            <w:r>
              <w:rPr>
                <w:rFonts w:ascii="Aptos" w:hAnsi="Aptos"/>
                <w:b/>
                <w:color w:val="1F4E78"/>
              </w:rPr>
              <w:t xml:space="preserve">Setup PASS  </w:t>
            </w:r>
            <w:r>
              <w:rPr>
                <w:rFonts w:ascii="Aptos" w:hAnsi="Aptos"/>
              </w:rPr>
              <w:t>The benchmark proceeds only when both arms complete their 10-document probes correctly and the AWS/environment manifest is verified. Mac results are not mixed with the AWS-native benchmark.</w:t>
            </w:r>
          </w:p>
        </w:tc>
      </w:tr>
    </w:tbl>
    <w:p>
      <w:pPr>
        <w:spacing w:after="40"/>
      </w:pPr>
    </w:p>
    <w:p>
      <w:pPr>
        <w:pStyle w:val="Heading1"/>
      </w:pPr>
      <w:r>
        <w:t>2. Benchmark Metrics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792"/>
            <w:shd w:fill="1F4E78"/>
            <w:tcMar>
              <w:top w:w="120" w:type="dxa"/>
              <w:start w:w="120" w:type="dxa"/>
              <w:bottom w:w="120" w:type="dxa"/>
              <w:end w:w="120" w:type="dxa"/>
            </w:tcMar>
            <w:vAlign w:val="center"/>
          </w:tcPr>
          <w:p>
            <w:pPr>
              <w:jc w:val="left"/>
            </w:pPr>
            <w:r/>
            <w:r>
              <w:rPr>
                <w:rFonts w:ascii="Aptos" w:hAnsi="Aptos"/>
                <w:b/>
                <w:color w:val="FFFFFF"/>
                <w:sz w:val="18"/>
              </w:rPr>
              <w:t>ID</w:t>
            </w:r>
          </w:p>
        </w:tc>
        <w:tc>
          <w:tcPr>
            <w:tcW w:type="dxa" w:w="2232"/>
            <w:shd w:fill="1F4E78"/>
            <w:tcMar>
              <w:top w:w="120" w:type="dxa"/>
              <w:start w:w="120" w:type="dxa"/>
              <w:bottom w:w="120" w:type="dxa"/>
              <w:end w:w="120" w:type="dxa"/>
            </w:tcMar>
            <w:vAlign w:val="center"/>
          </w:tcPr>
          <w:p>
            <w:pPr>
              <w:jc w:val="left"/>
            </w:pPr>
            <w:r/>
            <w:r>
              <w:rPr>
                <w:rFonts w:ascii="Aptos" w:hAnsi="Aptos"/>
                <w:b/>
                <w:color w:val="FFFFFF"/>
                <w:sz w:val="18"/>
              </w:rPr>
              <w:t>Metric</w:t>
            </w:r>
          </w:p>
        </w:tc>
        <w:tc>
          <w:tcPr>
            <w:tcW w:type="dxa" w:w="7344"/>
            <w:shd w:fill="1F4E78"/>
            <w:tcMar>
              <w:top w:w="120" w:type="dxa"/>
              <w:start w:w="120" w:type="dxa"/>
              <w:bottom w:w="120" w:type="dxa"/>
              <w:end w:w="120" w:type="dxa"/>
            </w:tcMar>
            <w:vAlign w:val="center"/>
          </w:tcPr>
          <w:p>
            <w:pPr>
              <w:jc w:val="left"/>
            </w:pPr>
            <w:r/>
            <w:r>
              <w:rPr>
                <w:rFonts w:ascii="Aptos" w:hAnsi="Aptos"/>
                <w:b/>
                <w:color w:val="FFFFFF"/>
                <w:sz w:val="18"/>
              </w:rPr>
              <w:t>Final definition</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M0</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Correctness gate</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Parse, chunk, embed, and document census validation must pass before performance results are valid.</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M1</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Throughput</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Successful documents per second at each client-concurrency level.</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M2</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Latency</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Per-document end-to-end p50, p90, p95, p99, and max; LangGraph may expose diagnostic stage timing.</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M3</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LLM tokens / cost</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N/A for this pipeline. Embeddings are local and there is no LLM call; metric reserved for future pipelines.</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M4</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Blast radius</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Collateral unrelated documents that fail/stall/timeout because of one injected bad document, plus time-to-next-success.</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M5</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Fault isolation / recovery</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Error surfacing, service continuity, restart requirement, and resource recovery after faults.</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M6</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Lines of code</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Developer-written code split into pipeline definition, compute/transforms, serving/integration, and client/harness.</w:t>
            </w:r>
          </w:p>
        </w:tc>
      </w:tr>
      <w:tr>
        <w:trPr>
          <w:cantSplit/>
        </w:trPr>
        <w:tc>
          <w:tcPr>
            <w:tcW w:type="dxa" w:w="792"/>
            <w:tcMar>
              <w:top w:w="110" w:type="dxa"/>
              <w:start w:w="120" w:type="dxa"/>
              <w:bottom w:w="110" w:type="dxa"/>
              <w:end w:w="120" w:type="dxa"/>
            </w:tcMar>
            <w:vAlign w:val="center"/>
          </w:tcPr>
          <w:p>
            <w:pPr>
              <w:spacing w:after="0" w:line="245" w:lineRule="auto"/>
            </w:pPr>
            <w:r/>
            <w:r>
              <w:rPr>
                <w:rFonts w:ascii="Aptos" w:hAnsi="Aptos"/>
                <w:sz w:val="18"/>
              </w:rPr>
              <w:t>M7</w:t>
            </w:r>
          </w:p>
        </w:tc>
        <w:tc>
          <w:tcPr>
            <w:tcW w:type="dxa" w:w="2232"/>
            <w:tcMar>
              <w:top w:w="110" w:type="dxa"/>
              <w:start w:w="120" w:type="dxa"/>
              <w:bottom w:w="110" w:type="dxa"/>
              <w:end w:w="120" w:type="dxa"/>
            </w:tcMar>
            <w:vAlign w:val="center"/>
          </w:tcPr>
          <w:p>
            <w:pPr>
              <w:spacing w:after="0" w:line="245" w:lineRule="auto"/>
            </w:pPr>
            <w:r/>
            <w:r>
              <w:rPr>
                <w:rFonts w:ascii="Aptos" w:hAnsi="Aptos"/>
                <w:sz w:val="18"/>
              </w:rPr>
              <w:t>Resource efficiency</w:t>
            </w:r>
          </w:p>
        </w:tc>
        <w:tc>
          <w:tcPr>
            <w:tcW w:type="dxa" w:w="7344"/>
            <w:tcMar>
              <w:top w:w="110" w:type="dxa"/>
              <w:start w:w="120" w:type="dxa"/>
              <w:bottom w:w="110" w:type="dxa"/>
              <w:end w:w="120" w:type="dxa"/>
            </w:tcMar>
            <w:vAlign w:val="center"/>
          </w:tcPr>
          <w:p>
            <w:pPr>
              <w:spacing w:after="0" w:line="245" w:lineRule="auto"/>
            </w:pPr>
            <w:r/>
            <w:r>
              <w:rPr>
                <w:rFonts w:ascii="Aptos" w:hAnsi="Aptos"/>
                <w:sz w:val="18"/>
              </w:rPr>
              <w:t>CPU, CPU time, RSS, threads/processes, I/O, docs/CPU-second, CPU-seconds/document, and memory growth.</w:t>
            </w:r>
          </w:p>
        </w:tc>
      </w:tr>
    </w:tbl>
    <w:p>
      <w:pPr>
        <w:spacing w:after="40"/>
      </w:pPr>
    </w:p>
    <w:p>
      <w:pPr>
        <w:pStyle w:val="Heading2"/>
        <w:keepNext/>
        <w:spacing w:after="120" w:line="259" w:lineRule="auto"/>
      </w:pPr>
      <w:r>
        <w:rPr>
          <w:rFonts w:ascii="Aptos" w:hAnsi="Aptos"/>
        </w:rPr>
        <w:t>Metric formulas and reporting rules</w:t>
      </w:r>
    </w:p>
    <w:p>
      <w:pPr>
        <w:pStyle w:val="ListBullet"/>
        <w:spacing w:after="60" w:line="252" w:lineRule="auto"/>
      </w:pPr>
      <w:r>
        <w:rPr>
          <w:rFonts w:ascii="Aptos" w:hAnsi="Aptos"/>
        </w:rPr>
        <w:t>M1 Throughput = successful completions / (last completion timestamp - first submission timestamp). Failed requests are not counted as successful throughput.</w:t>
      </w:r>
    </w:p>
    <w:p>
      <w:pPr>
        <w:pStyle w:val="ListBullet"/>
        <w:spacing w:after="60" w:line="252" w:lineRule="auto"/>
      </w:pPr>
      <w:r>
        <w:rPr>
          <w:rFonts w:ascii="Aptos" w:hAnsi="Aptos"/>
        </w:rPr>
        <w:t>M2 Latency = response-received timestamp - request-submitted timestamp. Report p50, p90, p95, p99, and max.</w:t>
      </w:r>
    </w:p>
    <w:p>
      <w:pPr>
        <w:pStyle w:val="ListBullet"/>
        <w:spacing w:after="60" w:line="252" w:lineRule="auto"/>
      </w:pPr>
      <w:r>
        <w:rPr>
          <w:rFonts w:ascii="Aptos" w:hAnsi="Aptos"/>
        </w:rPr>
        <w:t>M4 Blast radius counts only OTHER documents affected by the injected failure; also record time from injected failure to the next successful unrelated document.</w:t>
      </w:r>
    </w:p>
    <w:p>
      <w:pPr>
        <w:pStyle w:val="ListBullet"/>
        <w:spacing w:after="60" w:line="252" w:lineRule="auto"/>
      </w:pPr>
      <w:r>
        <w:rPr>
          <w:rFonts w:ascii="Aptos" w:hAnsi="Aptos"/>
        </w:rPr>
        <w:t>M7 includes both absolute footprint and efficiency. Primary derived metrics are docs/CPU-second, CPU-seconds/document, median RSS, peak RSS, and RSS growth during soak.</w:t>
      </w:r>
    </w:p>
    <w:p>
      <w:pPr>
        <w:pStyle w:val="ListBullet"/>
        <w:spacing w:after="60" w:line="252" w:lineRule="auto"/>
      </w:pPr>
      <w:r>
        <w:rPr>
          <w:rFonts w:ascii="Aptos" w:hAnsi="Aptos"/>
        </w:rPr>
        <w:t>Every repetition remains stored as valid or invalid. Invalid runs are never deleted, but their throughput/latency numbers are not quoted as valid benchmark results.</w:t>
      </w:r>
    </w:p>
    <w:p>
      <w:pPr>
        <w:pStyle w:val="Heading2"/>
        <w:keepNext/>
        <w:spacing w:after="120" w:line="259" w:lineRule="auto"/>
      </w:pPr>
      <w:r>
        <w:rPr>
          <w:rFonts w:ascii="Aptos" w:hAnsi="Aptos"/>
        </w:rPr>
        <w:t>Headline scorecard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1F4E78"/>
            <w:tcMar>
              <w:top w:w="120" w:type="dxa"/>
              <w:start w:w="120" w:type="dxa"/>
              <w:bottom w:w="120" w:type="dxa"/>
              <w:end w:w="120" w:type="dxa"/>
            </w:tcMar>
            <w:vAlign w:val="center"/>
          </w:tcPr>
          <w:p>
            <w:pPr>
              <w:jc w:val="left"/>
            </w:pPr>
            <w:r/>
            <w:r>
              <w:rPr>
                <w:rFonts w:ascii="Aptos" w:hAnsi="Aptos"/>
                <w:b/>
                <w:color w:val="FFFFFF"/>
                <w:sz w:val="19"/>
              </w:rPr>
              <w:t>Area</w:t>
            </w:r>
          </w:p>
        </w:tc>
        <w:tc>
          <w:tcPr>
            <w:tcW w:type="dxa" w:w="7344"/>
            <w:shd w:fill="1F4E78"/>
            <w:tcMar>
              <w:top w:w="120" w:type="dxa"/>
              <w:start w:w="120" w:type="dxa"/>
              <w:bottom w:w="120" w:type="dxa"/>
              <w:end w:w="120" w:type="dxa"/>
            </w:tcMar>
            <w:vAlign w:val="center"/>
          </w:tcPr>
          <w:p>
            <w:pPr>
              <w:jc w:val="left"/>
            </w:pPr>
            <w:r/>
            <w:r>
              <w:rPr>
                <w:rFonts w:ascii="Aptos" w:hAnsi="Aptos"/>
                <w:b/>
                <w:color w:val="FFFFFF"/>
                <w:sz w:val="19"/>
              </w:rPr>
              <w:t>Reported result</w:t>
            </w:r>
          </w:p>
        </w:tc>
      </w:tr>
      <w:tr>
        <w:trPr>
          <w:cantSplit/>
        </w:trPr>
        <w:tc>
          <w:tcPr>
            <w:tcW w:type="dxa" w:w="3024"/>
            <w:tcMar>
              <w:top w:w="110" w:type="dxa"/>
              <w:start w:w="120" w:type="dxa"/>
              <w:bottom w:w="110" w:type="dxa"/>
              <w:end w:w="120" w:type="dxa"/>
            </w:tcMar>
            <w:vAlign w:val="center"/>
          </w:tcPr>
          <w:p>
            <w:pPr>
              <w:spacing w:after="0" w:line="245" w:lineRule="auto"/>
            </w:pPr>
            <w:r/>
            <w:r>
              <w:rPr>
                <w:rFonts w:ascii="Aptos" w:hAnsi="Aptos"/>
                <w:sz w:val="19"/>
              </w:rPr>
              <w:t>Correctness</w:t>
            </w:r>
          </w:p>
        </w:tc>
        <w:tc>
          <w:tcPr>
            <w:tcW w:type="dxa" w:w="7344"/>
            <w:tcMar>
              <w:top w:w="110" w:type="dxa"/>
              <w:start w:w="120" w:type="dxa"/>
              <w:bottom w:w="110" w:type="dxa"/>
              <w:end w:w="120" w:type="dxa"/>
            </w:tcMar>
            <w:vAlign w:val="center"/>
          </w:tcPr>
          <w:p>
            <w:pPr>
              <w:spacing w:after="0" w:line="245" w:lineRule="auto"/>
            </w:pPr>
            <w:r/>
            <w:r>
              <w:rPr>
                <w:rFonts w:ascii="Aptos" w:hAnsi="Aptos"/>
                <w:sz w:val="19"/>
              </w:rPr>
              <w:t>PASS / INVALID</w:t>
            </w:r>
          </w:p>
        </w:tc>
      </w:tr>
      <w:tr>
        <w:trPr>
          <w:cantSplit/>
        </w:trPr>
        <w:tc>
          <w:tcPr>
            <w:tcW w:type="dxa" w:w="3024"/>
            <w:tcMar>
              <w:top w:w="110" w:type="dxa"/>
              <w:start w:w="120" w:type="dxa"/>
              <w:bottom w:w="110" w:type="dxa"/>
              <w:end w:w="120" w:type="dxa"/>
            </w:tcMar>
            <w:vAlign w:val="center"/>
          </w:tcPr>
          <w:p>
            <w:pPr>
              <w:spacing w:after="0" w:line="245" w:lineRule="auto"/>
            </w:pPr>
            <w:r/>
            <w:r>
              <w:rPr>
                <w:rFonts w:ascii="Aptos" w:hAnsi="Aptos"/>
                <w:sz w:val="19"/>
              </w:rPr>
              <w:t>Throughput</w:t>
            </w:r>
          </w:p>
        </w:tc>
        <w:tc>
          <w:tcPr>
            <w:tcW w:type="dxa" w:w="7344"/>
            <w:tcMar>
              <w:top w:w="110" w:type="dxa"/>
              <w:start w:w="120" w:type="dxa"/>
              <w:bottom w:w="110" w:type="dxa"/>
              <w:end w:w="120" w:type="dxa"/>
            </w:tcMar>
            <w:vAlign w:val="center"/>
          </w:tcPr>
          <w:p>
            <w:pPr>
              <w:spacing w:after="0" w:line="245" w:lineRule="auto"/>
            </w:pPr>
            <w:r/>
            <w:r>
              <w:rPr>
                <w:rFonts w:ascii="Aptos" w:hAnsi="Aptos"/>
                <w:sz w:val="19"/>
              </w:rPr>
              <w:t>Peak sustained throughput / throughput at selected knee</w:t>
            </w:r>
          </w:p>
        </w:tc>
      </w:tr>
      <w:tr>
        <w:trPr>
          <w:cantSplit/>
        </w:trPr>
        <w:tc>
          <w:tcPr>
            <w:tcW w:type="dxa" w:w="3024"/>
            <w:tcMar>
              <w:top w:w="110" w:type="dxa"/>
              <w:start w:w="120" w:type="dxa"/>
              <w:bottom w:w="110" w:type="dxa"/>
              <w:end w:w="120" w:type="dxa"/>
            </w:tcMar>
            <w:vAlign w:val="center"/>
          </w:tcPr>
          <w:p>
            <w:pPr>
              <w:spacing w:after="0" w:line="245" w:lineRule="auto"/>
            </w:pPr>
            <w:r/>
            <w:r>
              <w:rPr>
                <w:rFonts w:ascii="Aptos" w:hAnsi="Aptos"/>
                <w:sz w:val="19"/>
              </w:rPr>
              <w:t>Latency</w:t>
            </w:r>
          </w:p>
        </w:tc>
        <w:tc>
          <w:tcPr>
            <w:tcW w:type="dxa" w:w="7344"/>
            <w:tcMar>
              <w:top w:w="110" w:type="dxa"/>
              <w:start w:w="120" w:type="dxa"/>
              <w:bottom w:w="110" w:type="dxa"/>
              <w:end w:w="120" w:type="dxa"/>
            </w:tcMar>
            <w:vAlign w:val="center"/>
          </w:tcPr>
          <w:p>
            <w:pPr>
              <w:spacing w:after="0" w:line="245" w:lineRule="auto"/>
            </w:pPr>
            <w:r/>
            <w:r>
              <w:rPr>
                <w:rFonts w:ascii="Aptos" w:hAnsi="Aptos"/>
                <w:sz w:val="19"/>
              </w:rPr>
              <w:t>p50 and p99 headline; full percentile set retained</w:t>
            </w:r>
          </w:p>
        </w:tc>
      </w:tr>
      <w:tr>
        <w:trPr>
          <w:cantSplit/>
        </w:trPr>
        <w:tc>
          <w:tcPr>
            <w:tcW w:type="dxa" w:w="3024"/>
            <w:tcMar>
              <w:top w:w="110" w:type="dxa"/>
              <w:start w:w="120" w:type="dxa"/>
              <w:bottom w:w="110" w:type="dxa"/>
              <w:end w:w="120" w:type="dxa"/>
            </w:tcMar>
            <w:vAlign w:val="center"/>
          </w:tcPr>
          <w:p>
            <w:pPr>
              <w:spacing w:after="0" w:line="245" w:lineRule="auto"/>
            </w:pPr>
            <w:r/>
            <w:r>
              <w:rPr>
                <w:rFonts w:ascii="Aptos" w:hAnsi="Aptos"/>
                <w:sz w:val="19"/>
              </w:rPr>
              <w:t>Reliability</w:t>
            </w:r>
          </w:p>
        </w:tc>
        <w:tc>
          <w:tcPr>
            <w:tcW w:type="dxa" w:w="7344"/>
            <w:tcMar>
              <w:top w:w="110" w:type="dxa"/>
              <w:start w:w="120" w:type="dxa"/>
              <w:bottom w:w="110" w:type="dxa"/>
              <w:end w:w="120" w:type="dxa"/>
            </w:tcMar>
            <w:vAlign w:val="center"/>
          </w:tcPr>
          <w:p>
            <w:pPr>
              <w:spacing w:after="0" w:line="245" w:lineRule="auto"/>
            </w:pPr>
            <w:r/>
            <w:r>
              <w:rPr>
                <w:rFonts w:ascii="Aptos" w:hAnsi="Aptos"/>
                <w:sz w:val="19"/>
              </w:rPr>
              <w:t>Blast radius and restart/recovery behavior</w:t>
            </w:r>
          </w:p>
        </w:tc>
      </w:tr>
      <w:tr>
        <w:trPr>
          <w:cantSplit/>
        </w:trPr>
        <w:tc>
          <w:tcPr>
            <w:tcW w:type="dxa" w:w="3024"/>
            <w:tcMar>
              <w:top w:w="110" w:type="dxa"/>
              <w:start w:w="120" w:type="dxa"/>
              <w:bottom w:w="110" w:type="dxa"/>
              <w:end w:w="120" w:type="dxa"/>
            </w:tcMar>
            <w:vAlign w:val="center"/>
          </w:tcPr>
          <w:p>
            <w:pPr>
              <w:spacing w:after="0" w:line="245" w:lineRule="auto"/>
            </w:pPr>
            <w:r/>
            <w:r>
              <w:rPr>
                <w:rFonts w:ascii="Aptos" w:hAnsi="Aptos"/>
                <w:sz w:val="19"/>
              </w:rPr>
              <w:t>Developer effort</w:t>
            </w:r>
          </w:p>
        </w:tc>
        <w:tc>
          <w:tcPr>
            <w:tcW w:type="dxa" w:w="7344"/>
            <w:tcMar>
              <w:top w:w="110" w:type="dxa"/>
              <w:start w:w="120" w:type="dxa"/>
              <w:bottom w:w="110" w:type="dxa"/>
              <w:end w:w="120" w:type="dxa"/>
            </w:tcMar>
            <w:vAlign w:val="center"/>
          </w:tcPr>
          <w:p>
            <w:pPr>
              <w:spacing w:after="0" w:line="245" w:lineRule="auto"/>
            </w:pPr>
            <w:r/>
            <w:r>
              <w:rPr>
                <w:rFonts w:ascii="Aptos" w:hAnsi="Aptos"/>
                <w:sz w:val="19"/>
              </w:rPr>
              <w:t>LOC by four layers</w:t>
            </w:r>
          </w:p>
        </w:tc>
      </w:tr>
      <w:tr>
        <w:trPr>
          <w:cantSplit/>
        </w:trPr>
        <w:tc>
          <w:tcPr>
            <w:tcW w:type="dxa" w:w="3024"/>
            <w:tcMar>
              <w:top w:w="110" w:type="dxa"/>
              <w:start w:w="120" w:type="dxa"/>
              <w:bottom w:w="110" w:type="dxa"/>
              <w:end w:w="120" w:type="dxa"/>
            </w:tcMar>
            <w:vAlign w:val="center"/>
          </w:tcPr>
          <w:p>
            <w:pPr>
              <w:spacing w:after="0" w:line="245" w:lineRule="auto"/>
            </w:pPr>
            <w:r/>
            <w:r>
              <w:rPr>
                <w:rFonts w:ascii="Aptos" w:hAnsi="Aptos"/>
                <w:sz w:val="19"/>
              </w:rPr>
              <w:t>Efficiency</w:t>
            </w:r>
          </w:p>
        </w:tc>
        <w:tc>
          <w:tcPr>
            <w:tcW w:type="dxa" w:w="7344"/>
            <w:tcMar>
              <w:top w:w="110" w:type="dxa"/>
              <w:start w:w="120" w:type="dxa"/>
              <w:bottom w:w="110" w:type="dxa"/>
              <w:end w:w="120" w:type="dxa"/>
            </w:tcMar>
            <w:vAlign w:val="center"/>
          </w:tcPr>
          <w:p>
            <w:pPr>
              <w:spacing w:after="0" w:line="245" w:lineRule="auto"/>
            </w:pPr>
            <w:r/>
            <w:r>
              <w:rPr>
                <w:rFonts w:ascii="Aptos" w:hAnsi="Aptos"/>
                <w:sz w:val="19"/>
              </w:rPr>
              <w:t>Docs/CPU-second and peak/median memory</w:t>
            </w:r>
          </w:p>
        </w:tc>
      </w:tr>
    </w:tbl>
    <w:p>
      <w:pPr>
        <w:spacing w:after="40"/>
      </w:pPr>
    </w:p>
    <w:p>
      <w:pPr>
        <w:pStyle w:val="Heading1"/>
      </w:pPr>
      <w:r>
        <w:t>3. Pipeline and Framework Reproduction</w:t>
      </w:r>
    </w:p>
    <w:p>
      <w:pPr>
        <w:spacing w:after="120" w:line="259" w:lineRule="auto"/>
      </w:pPr>
      <w:r>
        <w:rPr>
          <w:rFonts w:ascii="Aptos" w:hAnsi="Aptos"/>
        </w:rPr>
        <w:t>The benchmark compares the same logical document-processing workload, implemented using each framework's normal architecture. The extraction library is an accepted difference; downstream splitter and embedding behavior are pinned to the same intended configuration.</w:t>
      </w:r>
    </w:p>
    <w:tbl>
      <w:tblPr>
        <w:tblStyle w:val="TableGrid"/>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pPr>
              <w:spacing w:after="0" w:line="259" w:lineRule="auto"/>
            </w:pPr>
            <w:r>
              <w:rPr>
                <w:rFonts w:ascii="Aptos" w:hAnsi="Aptos"/>
                <w:b/>
                <w:color w:val="1F4E78"/>
              </w:rPr>
              <w:t xml:space="preserve">Canonical logical pipeline  </w:t>
            </w:r>
            <w:r>
              <w:rPr>
                <w:rFonts w:ascii="Aptos" w:hAnsi="Aptos"/>
              </w:rPr>
              <w:t>PDF bytes -&gt; extract text -&gt; chunk text -&gt; embed chunks -&gt; assemble document response</w:t>
            </w:r>
          </w:p>
        </w:tc>
      </w:tr>
    </w:tbl>
    <w:p>
      <w:pPr>
        <w:spacing w:after="40"/>
      </w:pPr>
    </w:p>
    <w:p>
      <w:pPr>
        <w:pStyle w:val="Heading2"/>
        <w:keepNext/>
        <w:spacing w:after="120" w:line="259" w:lineRule="auto"/>
      </w:pPr>
      <w:r>
        <w:rPr>
          <w:rFonts w:ascii="Aptos" w:hAnsi="Aptos"/>
        </w:rPr>
        <w:t>RocketRide .pipe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tcMar>
              <w:top w:w="120" w:type="dxa"/>
              <w:start w:w="120" w:type="dxa"/>
              <w:bottom w:w="120" w:type="dxa"/>
              <w:end w:w="120" w:type="dxa"/>
            </w:tcMar>
            <w:vAlign w:val="center"/>
          </w:tcPr>
          <w:p>
            <w:pPr>
              <w:jc w:val="left"/>
            </w:pPr>
            <w:r/>
            <w:r>
              <w:rPr>
                <w:rFonts w:ascii="Aptos" w:hAnsi="Aptos"/>
                <w:b/>
                <w:color w:val="FFFFFF"/>
                <w:sz w:val="19"/>
              </w:rPr>
              <w:t>Stage</w:t>
            </w:r>
          </w:p>
        </w:tc>
        <w:tc>
          <w:tcPr>
            <w:tcW w:type="dxa" w:w="8352"/>
            <w:shd w:fill="1F4E78"/>
            <w:tcMar>
              <w:top w:w="120" w:type="dxa"/>
              <w:start w:w="120" w:type="dxa"/>
              <w:bottom w:w="120" w:type="dxa"/>
              <w:end w:w="120" w:type="dxa"/>
            </w:tcMar>
            <w:vAlign w:val="center"/>
          </w:tcPr>
          <w:p>
            <w:pPr>
              <w:jc w:val="left"/>
            </w:pPr>
            <w:r/>
            <w:r>
              <w:rPr>
                <w:rFonts w:ascii="Aptos" w:hAnsi="Aptos"/>
                <w:b/>
                <w:color w:val="FFFFFF"/>
                <w:sz w:val="19"/>
              </w:rPr>
              <w:t>RocketRide implementation</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Ingress</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webhook</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Extract</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parse using Tika/JVM</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Chunk</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preprocessor_langchain using RecursiveCharacterTextSplitter behavior</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Embed</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embedding_transformer using multi-qa-MiniLM-L6-cos-v1</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Output</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response_documents</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Runtime</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one shared instance (use_existing); engine default internal threadCount retained</w:t>
            </w:r>
          </w:p>
        </w:tc>
      </w:tr>
    </w:tbl>
    <w:p>
      <w:pPr>
        <w:spacing w:after="40"/>
      </w:pPr>
    </w:p>
    <w:p>
      <w:pPr>
        <w:pStyle w:val="Heading2"/>
        <w:keepNext/>
        <w:spacing w:after="120" w:line="259" w:lineRule="auto"/>
      </w:pPr>
      <w:r>
        <w:rPr>
          <w:rFonts w:ascii="Aptos" w:hAnsi="Aptos"/>
        </w:rPr>
        <w:t>LangGraph</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tcMar>
              <w:top w:w="120" w:type="dxa"/>
              <w:start w:w="120" w:type="dxa"/>
              <w:bottom w:w="120" w:type="dxa"/>
              <w:end w:w="120" w:type="dxa"/>
            </w:tcMar>
            <w:vAlign w:val="center"/>
          </w:tcPr>
          <w:p>
            <w:pPr>
              <w:jc w:val="left"/>
            </w:pPr>
            <w:r/>
            <w:r>
              <w:rPr>
                <w:rFonts w:ascii="Aptos" w:hAnsi="Aptos"/>
                <w:b/>
                <w:color w:val="FFFFFF"/>
                <w:sz w:val="19"/>
              </w:rPr>
              <w:t>Stage</w:t>
            </w:r>
          </w:p>
        </w:tc>
        <w:tc>
          <w:tcPr>
            <w:tcW w:type="dxa" w:w="8352"/>
            <w:shd w:fill="1F4E78"/>
            <w:tcMar>
              <w:top w:w="120" w:type="dxa"/>
              <w:start w:w="120" w:type="dxa"/>
              <w:bottom w:w="120" w:type="dxa"/>
              <w:end w:w="120" w:type="dxa"/>
            </w:tcMar>
            <w:vAlign w:val="center"/>
          </w:tcPr>
          <w:p>
            <w:pPr>
              <w:jc w:val="left"/>
            </w:pPr>
            <w:r/>
            <w:r>
              <w:rPr>
                <w:rFonts w:ascii="Aptos" w:hAnsi="Aptos"/>
                <w:b/>
                <w:color w:val="FFFFFF"/>
                <w:sz w:val="19"/>
              </w:rPr>
              <w:t>LangGraph implementation</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Ingress</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FastAPI POST /v1/process/document-pdf-v1</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Adapter</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request -&gt; graph state</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Extract</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compiled StateGraph extract node using pypdf</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Chunk</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RecursiveCharacterTextSplitter with the pinned benchmark behavior</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Embed</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multi-qa-MiniLM-L6-cos-v1, 384-dimensional normalized vectors</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Assemble</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graph assemble node -&gt; canonical HTTP response</w:t>
            </w:r>
          </w:p>
        </w:tc>
      </w:tr>
      <w:tr>
        <w:trPr>
          <w:cantSplit/>
        </w:trPr>
        <w:tc>
          <w:tcPr>
            <w:tcW w:type="dxa" w:w="2016"/>
            <w:tcMar>
              <w:top w:w="110" w:type="dxa"/>
              <w:start w:w="120" w:type="dxa"/>
              <w:bottom w:w="110" w:type="dxa"/>
              <w:end w:w="120" w:type="dxa"/>
            </w:tcMar>
            <w:vAlign w:val="center"/>
          </w:tcPr>
          <w:p>
            <w:pPr>
              <w:spacing w:after="0" w:line="245" w:lineRule="auto"/>
            </w:pPr>
            <w:r/>
            <w:r>
              <w:rPr>
                <w:rFonts w:ascii="Aptos" w:hAnsi="Aptos"/>
                <w:sz w:val="19"/>
              </w:rPr>
              <w:t>Runtime</w:t>
            </w:r>
          </w:p>
        </w:tc>
        <w:tc>
          <w:tcPr>
            <w:tcW w:type="dxa" w:w="8352"/>
            <w:tcMar>
              <w:top w:w="110" w:type="dxa"/>
              <w:start w:w="120" w:type="dxa"/>
              <w:bottom w:w="110" w:type="dxa"/>
              <w:end w:w="120" w:type="dxa"/>
            </w:tcMar>
            <w:vAlign w:val="center"/>
          </w:tcPr>
          <w:p>
            <w:pPr>
              <w:spacing w:after="0" w:line="245" w:lineRule="auto"/>
            </w:pPr>
            <w:r/>
            <w:r>
              <w:rPr>
                <w:rFonts w:ascii="Aptos" w:hAnsi="Aptos"/>
                <w:sz w:val="19"/>
              </w:rPr>
              <w:t>default Python/FastAPI execution behavior; observed executor/thread behavior is recorded</w:t>
            </w:r>
          </w:p>
        </w:tc>
      </w:tr>
    </w:tbl>
    <w:p>
      <w:pPr>
        <w:spacing w:after="40"/>
      </w:pPr>
    </w:p>
    <w:p>
      <w:pPr>
        <w:pStyle w:val="Heading2"/>
        <w:keepNext/>
        <w:spacing w:after="120" w:line="259" w:lineRule="auto"/>
      </w:pPr>
      <w:r>
        <w:rPr>
          <w:rFonts w:ascii="Aptos" w:hAnsi="Aptos"/>
        </w:rPr>
        <w:t>Pinned equalities</w:t>
      </w:r>
    </w:p>
    <w:p>
      <w:pPr>
        <w:pStyle w:val="ListBullet"/>
        <w:spacing w:after="60" w:line="252" w:lineRule="auto"/>
      </w:pPr>
      <w:r>
        <w:rPr>
          <w:rFonts w:ascii="Aptos" w:hAnsi="Aptos"/>
        </w:rPr>
        <w:t>Same PDF corpus and deterministic document order.</w:t>
      </w:r>
    </w:p>
    <w:p>
      <w:pPr>
        <w:pStyle w:val="ListBullet"/>
        <w:spacing w:after="60" w:line="252" w:lineRule="auto"/>
      </w:pPr>
      <w:r>
        <w:rPr>
          <w:rFonts w:ascii="Aptos" w:hAnsi="Aptos"/>
        </w:rPr>
        <w:t>Same logical stage sequence: extract -&gt; chunk -&gt; embed -&gt; assemble.</w:t>
      </w:r>
    </w:p>
    <w:p>
      <w:pPr>
        <w:pStyle w:val="ListBullet"/>
        <w:spacing w:after="60" w:line="252" w:lineRule="auto"/>
      </w:pPr>
      <w:r>
        <w:rPr>
          <w:rFonts w:ascii="Aptos" w:hAnsi="Aptos"/>
        </w:rPr>
        <w:t>Same RecursiveCharacterTextSplitter benchmark behavior, including the intended defaults and text input behavior.</w:t>
      </w:r>
    </w:p>
    <w:p>
      <w:pPr>
        <w:pStyle w:val="ListBullet"/>
        <w:spacing w:after="60" w:line="252" w:lineRule="auto"/>
      </w:pPr>
      <w:r>
        <w:rPr>
          <w:rFonts w:ascii="Aptos" w:hAnsi="Aptos"/>
        </w:rPr>
        <w:t>Same embedding model: multi-qa-MiniLM-L6-cos-v1.</w:t>
      </w:r>
    </w:p>
    <w:p>
      <w:pPr>
        <w:pStyle w:val="ListBullet"/>
        <w:spacing w:after="60" w:line="252" w:lineRule="auto"/>
      </w:pPr>
      <w:r>
        <w:rPr>
          <w:rFonts w:ascii="Aptos" w:hAnsi="Aptos"/>
        </w:rPr>
        <w:t>Same embedding dimensionality (384) and normalization requirement.</w:t>
      </w:r>
    </w:p>
    <w:p>
      <w:pPr>
        <w:pStyle w:val="ListBullet"/>
        <w:spacing w:after="60" w:line="252" w:lineRule="auto"/>
      </w:pPr>
      <w:r>
        <w:rPr>
          <w:rFonts w:ascii="Aptos" w:hAnsi="Aptos"/>
        </w:rPr>
        <w:t>Same benchmark timeout policy and external client-concurrency level for a given comparison point.</w:t>
      </w:r>
    </w:p>
    <w:p>
      <w:pPr>
        <w:pStyle w:val="Heading2"/>
        <w:keepNext/>
        <w:spacing w:after="120" w:line="259" w:lineRule="auto"/>
      </w:pPr>
      <w:r>
        <w:rPr>
          <w:rFonts w:ascii="Aptos" w:hAnsi="Aptos"/>
        </w:rPr>
        <w:t>Accepted inequality</w:t>
      </w:r>
    </w:p>
    <w:p>
      <w:pPr>
        <w:spacing w:after="120" w:line="259" w:lineRule="auto"/>
      </w:pPr>
      <w:r>
        <w:rPr>
          <w:rFonts w:ascii="Aptos" w:hAnsi="Aptos"/>
        </w:rPr>
        <w:t>RocketRide extracts with Tika while LangGraph extracts with pypdf. Therefore, extracted text and downstream chunks are validated against per-arm references. The benchmark must not require RocketRide text bytes to equal LangGraph text bytes.</w:t>
      </w:r>
    </w:p>
    <w:p>
      <w:pPr>
        <w:pStyle w:val="Heading1"/>
      </w:pPr>
      <w:r>
        <w:t>4. Correctness Gate: Parse, Chunk, Embed</w:t>
      </w:r>
    </w:p>
    <w:p>
      <w:pPr>
        <w:spacing w:after="120" w:line="259" w:lineRule="auto"/>
      </w:pPr>
      <w:r>
        <w:rPr>
          <w:rFonts w:ascii="Aptos" w:hAnsi="Aptos"/>
        </w:rPr>
        <w:t>Correctness is M0 and gates every performance result. The gate has four parts: census reconciliation, parse validation, chunk validation, and embedding validation. The framework may be fast only after these checks pass.</w:t>
      </w:r>
    </w:p>
    <w:p>
      <w:pPr>
        <w:pStyle w:val="Heading2"/>
        <w:keepNext/>
        <w:spacing w:after="120" w:line="259" w:lineRule="auto"/>
      </w:pPr>
      <w:r>
        <w:rPr>
          <w:rFonts w:ascii="Aptos" w:hAnsi="Aptos"/>
        </w:rPr>
        <w:t>4.1 Census reconciliation - both arms</w:t>
      </w:r>
    </w:p>
    <w:tbl>
      <w:tblPr>
        <w:tblStyle w:val="TableGrid"/>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pPr>
              <w:spacing w:after="0" w:line="259" w:lineRule="auto"/>
            </w:pPr>
            <w:r>
              <w:rPr>
                <w:rFonts w:ascii="Aptos" w:hAnsi="Aptos"/>
                <w:b/>
                <w:color w:val="1F4E78"/>
              </w:rPr>
              <w:t xml:space="preserve">Required identity  </w:t>
            </w:r>
            <w:r>
              <w:rPr>
                <w:rFonts w:ascii="Aptos" w:hAnsi="Aptos"/>
              </w:rPr>
              <w:t>offered = successful + expected failures + unexpected failures</w:t>
            </w:r>
          </w:p>
        </w:tc>
      </w:tr>
    </w:tbl>
    <w:p>
      <w:pPr>
        <w:spacing w:after="40"/>
      </w:pPr>
    </w:p>
    <w:p>
      <w:pPr>
        <w:pStyle w:val="ListBullet"/>
        <w:spacing w:after="60" w:line="252" w:lineRule="auto"/>
      </w:pPr>
      <w:r>
        <w:rPr>
          <w:rFonts w:ascii="Aptos" w:hAnsi="Aptos"/>
        </w:rPr>
        <w:t>Every offered document ID has exactly one terminal outcome.</w:t>
      </w:r>
    </w:p>
    <w:p>
      <w:pPr>
        <w:pStyle w:val="ListBullet"/>
        <w:spacing w:after="60" w:line="252" w:lineRule="auto"/>
      </w:pPr>
      <w:r>
        <w:rPr>
          <w:rFonts w:ascii="Aptos" w:hAnsi="Aptos"/>
        </w:rPr>
        <w:t>No duplicate terminal document IDs.</w:t>
      </w:r>
    </w:p>
    <w:p>
      <w:pPr>
        <w:pStyle w:val="ListBullet"/>
        <w:spacing w:after="60" w:line="252" w:lineRule="auto"/>
      </w:pPr>
      <w:r>
        <w:rPr>
          <w:rFonts w:ascii="Aptos" w:hAnsi="Aptos"/>
        </w:rPr>
        <w:t>No unknown result IDs.</w:t>
      </w:r>
    </w:p>
    <w:p>
      <w:pPr>
        <w:pStyle w:val="ListBullet"/>
        <w:spacing w:after="60" w:line="252" w:lineRule="auto"/>
      </w:pPr>
      <w:r>
        <w:rPr>
          <w:rFonts w:ascii="Aptos" w:hAnsi="Aptos"/>
        </w:rPr>
        <w:t>Zero silent or permanently missing documents.</w:t>
      </w:r>
    </w:p>
    <w:p>
      <w:pPr>
        <w:pStyle w:val="ListBullet"/>
        <w:spacing w:after="60" w:line="252" w:lineRule="auto"/>
      </w:pPr>
      <w:r>
        <w:rPr>
          <w:rFonts w:ascii="Aptos" w:hAnsi="Aptos"/>
        </w:rPr>
        <w:t>Known expected-failure PDFs (including 000164.pdf and 000357.pdf where applicable) are classified explicitly rather than silently omitted.</w:t>
      </w:r>
    </w:p>
    <w:p>
      <w:pPr>
        <w:pStyle w:val="Heading2"/>
        <w:keepNext/>
        <w:spacing w:after="120" w:line="259" w:lineRule="auto"/>
      </w:pPr>
      <w:r>
        <w:rPr>
          <w:rFonts w:ascii="Aptos" w:hAnsi="Aptos"/>
        </w:rPr>
        <w:t>4.2 LangGraph reference and gate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shd w:fill="1F4E78"/>
            <w:tcMar>
              <w:top w:w="120" w:type="dxa"/>
              <w:start w:w="120" w:type="dxa"/>
              <w:bottom w:w="120" w:type="dxa"/>
              <w:end w:w="120" w:type="dxa"/>
            </w:tcMar>
            <w:vAlign w:val="center"/>
          </w:tcPr>
          <w:p>
            <w:pPr>
              <w:jc w:val="left"/>
            </w:pPr>
            <w:r/>
            <w:r>
              <w:rPr>
                <w:rFonts w:ascii="Aptos" w:hAnsi="Aptos"/>
                <w:b/>
                <w:color w:val="FFFFFF"/>
                <w:sz w:val="17"/>
              </w:rPr>
              <w:t>Stage</w:t>
            </w:r>
          </w:p>
        </w:tc>
        <w:tc>
          <w:tcPr>
            <w:tcW w:type="dxa" w:w="4536"/>
            <w:shd w:fill="1F4E78"/>
            <w:tcMar>
              <w:top w:w="120" w:type="dxa"/>
              <w:start w:w="120" w:type="dxa"/>
              <w:bottom w:w="120" w:type="dxa"/>
              <w:end w:w="120" w:type="dxa"/>
            </w:tcMar>
            <w:vAlign w:val="center"/>
          </w:tcPr>
          <w:p>
            <w:pPr>
              <w:jc w:val="left"/>
            </w:pPr>
            <w:r/>
            <w:r>
              <w:rPr>
                <w:rFonts w:ascii="Aptos" w:hAnsi="Aptos"/>
                <w:b/>
                <w:color w:val="FFFFFF"/>
                <w:sz w:val="17"/>
              </w:rPr>
              <w:t>Reference generation</w:t>
            </w:r>
          </w:p>
        </w:tc>
        <w:tc>
          <w:tcPr>
            <w:tcW w:type="dxa" w:w="4392"/>
            <w:shd w:fill="1F4E78"/>
            <w:tcMar>
              <w:top w:w="120" w:type="dxa"/>
              <w:start w:w="120" w:type="dxa"/>
              <w:bottom w:w="120" w:type="dxa"/>
              <w:end w:w="120" w:type="dxa"/>
            </w:tcMar>
            <w:vAlign w:val="center"/>
          </w:tcPr>
          <w:p>
            <w:pPr>
              <w:jc w:val="left"/>
            </w:pPr>
            <w:r/>
            <w:r>
              <w:rPr>
                <w:rFonts w:ascii="Aptos" w:hAnsi="Aptos"/>
                <w:b/>
                <w:color w:val="FFFFFF"/>
                <w:sz w:val="17"/>
              </w:rPr>
              <w:t>PASS condition</w:t>
            </w:r>
          </w:p>
        </w:tc>
      </w:tr>
      <w:tr>
        <w:trPr>
          <w:cantSplit/>
        </w:trPr>
        <w:tc>
          <w:tcPr>
            <w:tcW w:type="dxa" w:w="1440"/>
            <w:tcMar>
              <w:top w:w="110" w:type="dxa"/>
              <w:start w:w="120" w:type="dxa"/>
              <w:bottom w:w="110" w:type="dxa"/>
              <w:end w:w="120" w:type="dxa"/>
            </w:tcMar>
            <w:vAlign w:val="center"/>
          </w:tcPr>
          <w:p>
            <w:pPr>
              <w:spacing w:after="0" w:line="245" w:lineRule="auto"/>
            </w:pPr>
            <w:r/>
            <w:r>
              <w:rPr>
                <w:rFonts w:ascii="Aptos" w:hAnsi="Aptos"/>
                <w:sz w:val="17"/>
              </w:rPr>
              <w:t>Parse</w:t>
            </w:r>
          </w:p>
        </w:tc>
        <w:tc>
          <w:tcPr>
            <w:tcW w:type="dxa" w:w="4536"/>
            <w:tcMar>
              <w:top w:w="110" w:type="dxa"/>
              <w:start w:w="120" w:type="dxa"/>
              <w:bottom w:w="110" w:type="dxa"/>
              <w:end w:w="120" w:type="dxa"/>
            </w:tcMar>
            <w:vAlign w:val="center"/>
          </w:tcPr>
          <w:p>
            <w:pPr>
              <w:spacing w:after="0" w:line="245" w:lineRule="auto"/>
            </w:pPr>
            <w:r/>
            <w:r>
              <w:rPr>
                <w:rFonts w:ascii="Aptos" w:hAnsi="Aptos"/>
                <w:sz w:val="17"/>
              </w:rPr>
              <w:t>Offline pinned pypdf extraction outside the server. Store extracted-text SHA256 (and supporting length/page metadata).</w:t>
            </w:r>
          </w:p>
        </w:tc>
        <w:tc>
          <w:tcPr>
            <w:tcW w:type="dxa" w:w="4392"/>
            <w:tcMar>
              <w:top w:w="110" w:type="dxa"/>
              <w:start w:w="120" w:type="dxa"/>
              <w:bottom w:w="110" w:type="dxa"/>
              <w:end w:w="120" w:type="dxa"/>
            </w:tcMar>
            <w:vAlign w:val="center"/>
          </w:tcPr>
          <w:p>
            <w:pPr>
              <w:spacing w:after="0" w:line="245" w:lineRule="auto"/>
            </w:pPr>
            <w:r/>
            <w:r>
              <w:rPr>
                <w:rFonts w:ascii="Aptos" w:hAnsi="Aptos"/>
                <w:sz w:val="17"/>
              </w:rPr>
              <w:t>Server extracted-text SHA256 equals the offline reference for every completed document.</w:t>
            </w:r>
          </w:p>
        </w:tc>
      </w:tr>
      <w:tr>
        <w:trPr>
          <w:cantSplit/>
        </w:trPr>
        <w:tc>
          <w:tcPr>
            <w:tcW w:type="dxa" w:w="1440"/>
            <w:tcMar>
              <w:top w:w="110" w:type="dxa"/>
              <w:start w:w="120" w:type="dxa"/>
              <w:bottom w:w="110" w:type="dxa"/>
              <w:end w:w="120" w:type="dxa"/>
            </w:tcMar>
            <w:vAlign w:val="center"/>
          </w:tcPr>
          <w:p>
            <w:pPr>
              <w:spacing w:after="0" w:line="245" w:lineRule="auto"/>
            </w:pPr>
            <w:r/>
            <w:r>
              <w:rPr>
                <w:rFonts w:ascii="Aptos" w:hAnsi="Aptos"/>
                <w:sz w:val="17"/>
              </w:rPr>
              <w:t>Chunk</w:t>
            </w:r>
          </w:p>
        </w:tc>
        <w:tc>
          <w:tcPr>
            <w:tcW w:type="dxa" w:w="4536"/>
            <w:tcMar>
              <w:top w:w="110" w:type="dxa"/>
              <w:start w:w="120" w:type="dxa"/>
              <w:bottom w:w="110" w:type="dxa"/>
              <w:end w:w="120" w:type="dxa"/>
            </w:tcMar>
            <w:vAlign w:val="center"/>
          </w:tcPr>
          <w:p>
            <w:pPr>
              <w:spacing w:after="0" w:line="245" w:lineRule="auto"/>
            </w:pPr>
            <w:r/>
            <w:r>
              <w:rPr>
                <w:rFonts w:ascii="Aptos" w:hAnsi="Aptos"/>
                <w:sz w:val="17"/>
              </w:rPr>
              <w:t>Run the pinned splitter offline over the reference extracted text; store ordered chunk hashes, lengths, and offsets where reliable.</w:t>
            </w:r>
          </w:p>
        </w:tc>
        <w:tc>
          <w:tcPr>
            <w:tcW w:type="dxa" w:w="4392"/>
            <w:tcMar>
              <w:top w:w="110" w:type="dxa"/>
              <w:start w:w="120" w:type="dxa"/>
              <w:bottom w:w="110" w:type="dxa"/>
              <w:end w:w="120" w:type="dxa"/>
            </w:tcMar>
            <w:vAlign w:val="center"/>
          </w:tcPr>
          <w:p>
            <w:pPr>
              <w:spacing w:after="0" w:line="245" w:lineRule="auto"/>
            </w:pPr>
            <w:r/>
            <w:r>
              <w:rPr>
                <w:rFonts w:ascii="Aptos" w:hAnsi="Aptos"/>
                <w:sz w:val="17"/>
              </w:rPr>
              <w:t>Chunk count, order, SHA256, and reliable offsets match exactly.</w:t>
            </w:r>
          </w:p>
        </w:tc>
      </w:tr>
      <w:tr>
        <w:trPr>
          <w:cantSplit/>
        </w:trPr>
        <w:tc>
          <w:tcPr>
            <w:tcW w:type="dxa" w:w="1440"/>
            <w:tcMar>
              <w:top w:w="110" w:type="dxa"/>
              <w:start w:w="120" w:type="dxa"/>
              <w:bottom w:w="110" w:type="dxa"/>
              <w:end w:w="120" w:type="dxa"/>
            </w:tcMar>
            <w:vAlign w:val="center"/>
          </w:tcPr>
          <w:p>
            <w:pPr>
              <w:spacing w:after="0" w:line="245" w:lineRule="auto"/>
            </w:pPr>
            <w:r/>
            <w:r>
              <w:rPr>
                <w:rFonts w:ascii="Aptos" w:hAnsi="Aptos"/>
                <w:sz w:val="17"/>
              </w:rPr>
              <w:t>Embed</w:t>
            </w:r>
          </w:p>
        </w:tc>
        <w:tc>
          <w:tcPr>
            <w:tcW w:type="dxa" w:w="4536"/>
            <w:tcMar>
              <w:top w:w="110" w:type="dxa"/>
              <w:start w:w="120" w:type="dxa"/>
              <w:bottom w:w="110" w:type="dxa"/>
              <w:end w:w="120" w:type="dxa"/>
            </w:tcMar>
            <w:vAlign w:val="center"/>
          </w:tcPr>
          <w:p>
            <w:pPr>
              <w:spacing w:after="0" w:line="245" w:lineRule="auto"/>
            </w:pPr>
            <w:r/>
            <w:r>
              <w:rPr>
                <w:rFonts w:ascii="Aptos" w:hAnsi="Aptos"/>
                <w:sz w:val="17"/>
              </w:rPr>
              <w:t>Independently embed each reference chunk with the pinned MiniLM model.</w:t>
            </w:r>
          </w:p>
        </w:tc>
        <w:tc>
          <w:tcPr>
            <w:tcW w:type="dxa" w:w="4392"/>
            <w:tcMar>
              <w:top w:w="110" w:type="dxa"/>
              <w:start w:w="120" w:type="dxa"/>
              <w:bottom w:w="110" w:type="dxa"/>
              <w:end w:w="120" w:type="dxa"/>
            </w:tcMar>
            <w:vAlign w:val="center"/>
          </w:tcPr>
          <w:p>
            <w:pPr>
              <w:spacing w:after="0" w:line="245" w:lineRule="auto"/>
            </w:pPr>
            <w:r/>
            <w:r>
              <w:rPr>
                <w:rFonts w:ascii="Aptos" w:hAnsi="Aptos"/>
                <w:sz w:val="17"/>
              </w:rPr>
              <w:t>Vector count/order match chunks; each vector is 384-D, finite, normalized, correct model identity, and numerically allclose to the reference within the frozen AWS tolerance.</w:t>
            </w:r>
          </w:p>
        </w:tc>
      </w:tr>
    </w:tbl>
    <w:p>
      <w:pPr>
        <w:spacing w:after="40"/>
      </w:pPr>
    </w:p>
    <w:p>
      <w:pPr>
        <w:pStyle w:val="Heading2"/>
        <w:keepNext/>
        <w:spacing w:after="120" w:line="259" w:lineRule="auto"/>
      </w:pPr>
      <w:r>
        <w:rPr>
          <w:rFonts w:ascii="Aptos" w:hAnsi="Aptos"/>
        </w:rPr>
        <w:t>4.3 RocketRide reference and gate</w:t>
      </w:r>
    </w:p>
    <w:p>
      <w:pPr>
        <w:spacing w:after="120" w:line="259" w:lineRule="auto"/>
      </w:pPr>
      <w:r>
        <w:rPr>
          <w:rFonts w:ascii="Aptos" w:hAnsi="Aptos"/>
        </w:rPr>
        <w:t>RocketRide uses an AWS-native sequential capture as its parser/chunker ground truth because Tika processing is engine-internal. This validates deterministic observable pipeline output without incorrectly using pypdf as RocketRide truth.</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shd w:fill="1F4E78"/>
            <w:tcMar>
              <w:top w:w="120" w:type="dxa"/>
              <w:start w:w="120" w:type="dxa"/>
              <w:bottom w:w="120" w:type="dxa"/>
              <w:end w:w="120" w:type="dxa"/>
            </w:tcMar>
            <w:vAlign w:val="center"/>
          </w:tcPr>
          <w:p>
            <w:pPr>
              <w:jc w:val="left"/>
            </w:pPr>
            <w:r/>
            <w:r>
              <w:rPr>
                <w:rFonts w:ascii="Aptos" w:hAnsi="Aptos"/>
                <w:b/>
                <w:color w:val="FFFFFF"/>
                <w:sz w:val="17"/>
              </w:rPr>
              <w:t>Stage</w:t>
            </w:r>
          </w:p>
        </w:tc>
        <w:tc>
          <w:tcPr>
            <w:tcW w:type="dxa" w:w="4536"/>
            <w:shd w:fill="1F4E78"/>
            <w:tcMar>
              <w:top w:w="120" w:type="dxa"/>
              <w:start w:w="120" w:type="dxa"/>
              <w:bottom w:w="120" w:type="dxa"/>
              <w:end w:w="120" w:type="dxa"/>
            </w:tcMar>
            <w:vAlign w:val="center"/>
          </w:tcPr>
          <w:p>
            <w:pPr>
              <w:jc w:val="left"/>
            </w:pPr>
            <w:r/>
            <w:r>
              <w:rPr>
                <w:rFonts w:ascii="Aptos" w:hAnsi="Aptos"/>
                <w:b/>
                <w:color w:val="FFFFFF"/>
                <w:sz w:val="17"/>
              </w:rPr>
              <w:t>Reference generation</w:t>
            </w:r>
          </w:p>
        </w:tc>
        <w:tc>
          <w:tcPr>
            <w:tcW w:type="dxa" w:w="4392"/>
            <w:shd w:fill="1F4E78"/>
            <w:tcMar>
              <w:top w:w="120" w:type="dxa"/>
              <w:start w:w="120" w:type="dxa"/>
              <w:bottom w:w="120" w:type="dxa"/>
              <w:end w:w="120" w:type="dxa"/>
            </w:tcMar>
            <w:vAlign w:val="center"/>
          </w:tcPr>
          <w:p>
            <w:pPr>
              <w:jc w:val="left"/>
            </w:pPr>
            <w:r/>
            <w:r>
              <w:rPr>
                <w:rFonts w:ascii="Aptos" w:hAnsi="Aptos"/>
                <w:b/>
                <w:color w:val="FFFFFF"/>
                <w:sz w:val="17"/>
              </w:rPr>
              <w:t>PASS condition</w:t>
            </w:r>
          </w:p>
        </w:tc>
      </w:tr>
      <w:tr>
        <w:trPr>
          <w:cantSplit/>
        </w:trPr>
        <w:tc>
          <w:tcPr>
            <w:tcW w:type="dxa" w:w="1440"/>
            <w:tcMar>
              <w:top w:w="110" w:type="dxa"/>
              <w:start w:w="120" w:type="dxa"/>
              <w:bottom w:w="110" w:type="dxa"/>
              <w:end w:w="120" w:type="dxa"/>
            </w:tcMar>
            <w:vAlign w:val="center"/>
          </w:tcPr>
          <w:p>
            <w:pPr>
              <w:spacing w:after="0" w:line="245" w:lineRule="auto"/>
            </w:pPr>
            <w:r/>
            <w:r>
              <w:rPr>
                <w:rFonts w:ascii="Aptos" w:hAnsi="Aptos"/>
                <w:sz w:val="17"/>
              </w:rPr>
              <w:t>Parse / observable text</w:t>
            </w:r>
          </w:p>
        </w:tc>
        <w:tc>
          <w:tcPr>
            <w:tcW w:type="dxa" w:w="4536"/>
            <w:tcMar>
              <w:top w:w="110" w:type="dxa"/>
              <w:start w:w="120" w:type="dxa"/>
              <w:bottom w:w="110" w:type="dxa"/>
              <w:end w:w="120" w:type="dxa"/>
            </w:tcMar>
            <w:vAlign w:val="center"/>
          </w:tcPr>
          <w:p>
            <w:pPr>
              <w:spacing w:after="0" w:line="245" w:lineRule="auto"/>
            </w:pPr>
            <w:r/>
            <w:r>
              <w:rPr>
                <w:rFonts w:ascii="Aptos" w:hAnsi="Aptos"/>
                <w:sz w:val="17"/>
              </w:rPr>
              <w:t>Run the certification corpus sequentially at client concurrency 1 on the pinned AWS RocketRide/Tika environment. Capture raw parsed text hash if exposed; otherwise use the strongest observable downstream representation.</w:t>
            </w:r>
          </w:p>
        </w:tc>
        <w:tc>
          <w:tcPr>
            <w:tcW w:type="dxa" w:w="4392"/>
            <w:tcMar>
              <w:top w:w="110" w:type="dxa"/>
              <w:start w:w="120" w:type="dxa"/>
              <w:bottom w:w="110" w:type="dxa"/>
              <w:end w:w="120" w:type="dxa"/>
            </w:tcMar>
            <w:vAlign w:val="center"/>
          </w:tcPr>
          <w:p>
            <w:pPr>
              <w:spacing w:after="0" w:line="245" w:lineRule="auto"/>
            </w:pPr>
            <w:r/>
            <w:r>
              <w:rPr>
                <w:rFonts w:ascii="Aptos" w:hAnsi="Aptos"/>
                <w:sz w:val="17"/>
              </w:rPr>
              <w:t>Later runs reproduce the captured observable parse result exactly for covered documents.</w:t>
            </w:r>
          </w:p>
        </w:tc>
      </w:tr>
      <w:tr>
        <w:trPr>
          <w:cantSplit/>
        </w:trPr>
        <w:tc>
          <w:tcPr>
            <w:tcW w:type="dxa" w:w="1440"/>
            <w:tcMar>
              <w:top w:w="110" w:type="dxa"/>
              <w:start w:w="120" w:type="dxa"/>
              <w:bottom w:w="110" w:type="dxa"/>
              <w:end w:w="120" w:type="dxa"/>
            </w:tcMar>
            <w:vAlign w:val="center"/>
          </w:tcPr>
          <w:p>
            <w:pPr>
              <w:spacing w:after="0" w:line="245" w:lineRule="auto"/>
            </w:pPr>
            <w:r/>
            <w:r>
              <w:rPr>
                <w:rFonts w:ascii="Aptos" w:hAnsi="Aptos"/>
                <w:sz w:val="17"/>
              </w:rPr>
              <w:t>Chunk</w:t>
            </w:r>
          </w:p>
        </w:tc>
        <w:tc>
          <w:tcPr>
            <w:tcW w:type="dxa" w:w="4536"/>
            <w:tcMar>
              <w:top w:w="110" w:type="dxa"/>
              <w:start w:w="120" w:type="dxa"/>
              <w:bottom w:w="110" w:type="dxa"/>
              <w:end w:w="120" w:type="dxa"/>
            </w:tcMar>
            <w:vAlign w:val="center"/>
          </w:tcPr>
          <w:p>
            <w:pPr>
              <w:spacing w:after="0" w:line="245" w:lineRule="auto"/>
            </w:pPr>
            <w:r/>
            <w:r>
              <w:rPr>
                <w:rFonts w:ascii="Aptos" w:hAnsi="Aptos"/>
                <w:sz w:val="17"/>
              </w:rPr>
              <w:t>From the same sequential capture, store ordered chunk count/hashes (and offsets if exposed).</w:t>
            </w:r>
          </w:p>
        </w:tc>
        <w:tc>
          <w:tcPr>
            <w:tcW w:type="dxa" w:w="4392"/>
            <w:tcMar>
              <w:top w:w="110" w:type="dxa"/>
              <w:start w:w="120" w:type="dxa"/>
              <w:bottom w:w="110" w:type="dxa"/>
              <w:end w:w="120" w:type="dxa"/>
            </w:tcMar>
            <w:vAlign w:val="center"/>
          </w:tcPr>
          <w:p>
            <w:pPr>
              <w:spacing w:after="0" w:line="245" w:lineRule="auto"/>
            </w:pPr>
            <w:r/>
            <w:r>
              <w:rPr>
                <w:rFonts w:ascii="Aptos" w:hAnsi="Aptos"/>
                <w:sz w:val="17"/>
              </w:rPr>
              <w:t>Chunk count, order, and hashes match the capture exactly.</w:t>
            </w:r>
          </w:p>
        </w:tc>
      </w:tr>
      <w:tr>
        <w:trPr>
          <w:cantSplit/>
        </w:trPr>
        <w:tc>
          <w:tcPr>
            <w:tcW w:type="dxa" w:w="1440"/>
            <w:tcMar>
              <w:top w:w="110" w:type="dxa"/>
              <w:start w:w="120" w:type="dxa"/>
              <w:bottom w:w="110" w:type="dxa"/>
              <w:end w:w="120" w:type="dxa"/>
            </w:tcMar>
            <w:vAlign w:val="center"/>
          </w:tcPr>
          <w:p>
            <w:pPr>
              <w:spacing w:after="0" w:line="245" w:lineRule="auto"/>
            </w:pPr>
            <w:r/>
            <w:r>
              <w:rPr>
                <w:rFonts w:ascii="Aptos" w:hAnsi="Aptos"/>
                <w:sz w:val="17"/>
              </w:rPr>
              <w:t>Embed</w:t>
            </w:r>
          </w:p>
        </w:tc>
        <w:tc>
          <w:tcPr>
            <w:tcW w:type="dxa" w:w="4536"/>
            <w:tcMar>
              <w:top w:w="110" w:type="dxa"/>
              <w:start w:w="120" w:type="dxa"/>
              <w:bottom w:w="110" w:type="dxa"/>
              <w:end w:w="120" w:type="dxa"/>
            </w:tcMar>
            <w:vAlign w:val="center"/>
          </w:tcPr>
          <w:p>
            <w:pPr>
              <w:spacing w:after="0" w:line="245" w:lineRule="auto"/>
            </w:pPr>
            <w:r/>
            <w:r>
              <w:rPr>
                <w:rFonts w:ascii="Aptos" w:hAnsi="Aptos"/>
                <w:sz w:val="17"/>
              </w:rPr>
              <w:t>Independently embed the captured RocketRide chunk strings with the pinned MiniLM model.</w:t>
            </w:r>
          </w:p>
        </w:tc>
        <w:tc>
          <w:tcPr>
            <w:tcW w:type="dxa" w:w="4392"/>
            <w:tcMar>
              <w:top w:w="110" w:type="dxa"/>
              <w:start w:w="120" w:type="dxa"/>
              <w:bottom w:w="110" w:type="dxa"/>
              <w:end w:w="120" w:type="dxa"/>
            </w:tcMar>
            <w:vAlign w:val="center"/>
          </w:tcPr>
          <w:p>
            <w:pPr>
              <w:spacing w:after="0" w:line="245" w:lineRule="auto"/>
            </w:pPr>
            <w:r/>
            <w:r>
              <w:rPr>
                <w:rFonts w:ascii="Aptos" w:hAnsi="Aptos"/>
                <w:sz w:val="17"/>
              </w:rPr>
              <w:t>Vector count/order match chunks; 384-D, finite, normalized, correct model field, and allclose to independent reference vectors within the frozen AWS tolerance.</w:t>
            </w:r>
          </w:p>
        </w:tc>
      </w:tr>
    </w:tbl>
    <w:p>
      <w:pPr>
        <w:spacing w:after="40"/>
      </w:pPr>
    </w:p>
    <w:p>
      <w:pPr>
        <w:pStyle w:val="Heading2"/>
        <w:keepNext/>
        <w:spacing w:after="120" w:line="259" w:lineRule="auto"/>
      </w:pPr>
      <w:r>
        <w:rPr>
          <w:rFonts w:ascii="Aptos" w:hAnsi="Aptos"/>
        </w:rPr>
        <w:t>4.4 Cross-arm embedding parity fixture</w:t>
      </w:r>
    </w:p>
    <w:p>
      <w:pPr>
        <w:spacing w:after="120" w:line="259" w:lineRule="auto"/>
      </w:pPr>
      <w:r>
        <w:rPr>
          <w:rFonts w:ascii="Aptos" w:hAnsi="Aptos"/>
        </w:rPr>
        <w:t>A small fixed text fixture is embedded through both arms before and after benchmark batches. Each arm must remain numerically close to the stored reference and to the other arm within the frozen tolerance. This is a drift/parity check for model/configuration changes; it does not replace full document correctness validation.</w:t>
      </w:r>
    </w:p>
    <w:p>
      <w:pPr>
        <w:pStyle w:val="Heading2"/>
        <w:keepNext/>
        <w:spacing w:after="120" w:line="259" w:lineRule="auto"/>
      </w:pPr>
      <w:r>
        <w:rPr>
          <w:rFonts w:ascii="Aptos" w:hAnsi="Aptos"/>
        </w:rPr>
        <w:t>4.5 Run status rule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shd w:fill="1F4E78"/>
            <w:tcMar>
              <w:top w:w="120" w:type="dxa"/>
              <w:start w:w="120" w:type="dxa"/>
              <w:bottom w:w="120" w:type="dxa"/>
              <w:end w:w="120" w:type="dxa"/>
            </w:tcMar>
            <w:vAlign w:val="center"/>
          </w:tcPr>
          <w:p>
            <w:pPr>
              <w:jc w:val="left"/>
            </w:pPr>
            <w:r/>
            <w:r>
              <w:rPr>
                <w:rFonts w:ascii="Aptos" w:hAnsi="Aptos"/>
                <w:b/>
                <w:color w:val="FFFFFF"/>
                <w:sz w:val="17"/>
              </w:rPr>
              <w:t>Gate</w:t>
            </w:r>
          </w:p>
        </w:tc>
        <w:tc>
          <w:tcPr>
            <w:tcW w:type="dxa" w:w="3744"/>
            <w:shd w:fill="1F4E78"/>
            <w:tcMar>
              <w:top w:w="120" w:type="dxa"/>
              <w:start w:w="120" w:type="dxa"/>
              <w:bottom w:w="120" w:type="dxa"/>
              <w:end w:w="120" w:type="dxa"/>
            </w:tcMar>
            <w:vAlign w:val="center"/>
          </w:tcPr>
          <w:p>
            <w:pPr>
              <w:jc w:val="left"/>
            </w:pPr>
            <w:r/>
            <w:r>
              <w:rPr>
                <w:rFonts w:ascii="Aptos" w:hAnsi="Aptos"/>
                <w:b/>
                <w:color w:val="FFFFFF"/>
                <w:sz w:val="17"/>
              </w:rPr>
              <w:t>LangGraph</w:t>
            </w:r>
          </w:p>
        </w:tc>
        <w:tc>
          <w:tcPr>
            <w:tcW w:type="dxa" w:w="3744"/>
            <w:shd w:fill="1F4E78"/>
            <w:tcMar>
              <w:top w:w="120" w:type="dxa"/>
              <w:start w:w="120" w:type="dxa"/>
              <w:bottom w:w="120" w:type="dxa"/>
              <w:end w:w="120" w:type="dxa"/>
            </w:tcMar>
            <w:vAlign w:val="center"/>
          </w:tcPr>
          <w:p>
            <w:pPr>
              <w:jc w:val="left"/>
            </w:pPr>
            <w:r/>
            <w:r>
              <w:rPr>
                <w:rFonts w:ascii="Aptos" w:hAnsi="Aptos"/>
                <w:b/>
                <w:color w:val="FFFFFF"/>
                <w:sz w:val="17"/>
              </w:rPr>
              <w:t>RocketRide</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Census</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PASS required</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PASS required</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Expected-failure classification</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PASS required</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PASS required</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Parse</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match to offline pypdf reference</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match to AWS sequential observable capture for covered documents</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Chunk</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exact count/order/hash match</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exact count/order/hash match</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Embedding structure</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valid</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valid</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Embedding numerical comparison</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within frozen tolerance</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100% within frozen tolerance</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7"/>
              </w:rPr>
              <w:t>Parity fixture</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PASS</w:t>
            </w:r>
          </w:p>
        </w:tc>
        <w:tc>
          <w:tcPr>
            <w:tcW w:type="dxa" w:w="3744"/>
            <w:tcMar>
              <w:top w:w="110" w:type="dxa"/>
              <w:start w:w="120" w:type="dxa"/>
              <w:bottom w:w="110" w:type="dxa"/>
              <w:end w:w="120" w:type="dxa"/>
            </w:tcMar>
            <w:vAlign w:val="center"/>
          </w:tcPr>
          <w:p>
            <w:pPr>
              <w:spacing w:after="0" w:line="245" w:lineRule="auto"/>
            </w:pPr>
            <w:r/>
            <w:r>
              <w:rPr>
                <w:rFonts w:ascii="Aptos" w:hAnsi="Aptos"/>
                <w:sz w:val="17"/>
              </w:rPr>
              <w:t>PASS</w:t>
            </w:r>
          </w:p>
        </w:tc>
      </w:tr>
    </w:tbl>
    <w:p>
      <w:pPr>
        <w:spacing w:after="40"/>
      </w:pPr>
    </w:p>
    <w:tbl>
      <w:tblPr>
        <w:tblStyle w:val="TableGrid"/>
        <w:tblW w:type="auto" w:w="0"/>
        <w:jc w:val="center"/>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tcPr>
          <w:p>
            <w:pPr>
              <w:spacing w:after="0" w:line="259" w:lineRule="auto"/>
            </w:pPr>
            <w:r>
              <w:rPr>
                <w:rFonts w:ascii="Aptos" w:hAnsi="Aptos"/>
                <w:b/>
                <w:color w:val="1F4E78"/>
              </w:rPr>
              <w:t xml:space="preserve">INVALID rule  </w:t>
            </w:r>
            <w:r>
              <w:rPr>
                <w:rFonts w:ascii="Aptos" w:hAnsi="Aptos"/>
              </w:rPr>
              <w:t>If any required correctness gate fails, the repetition is retained for diagnosis but its performance numbers are not accepted as valid benchmark results.</w:t>
            </w:r>
          </w:p>
        </w:tc>
      </w:tr>
    </w:tbl>
    <w:p>
      <w:pPr>
        <w:spacing w:after="40"/>
      </w:pPr>
    </w:p>
    <w:p>
      <w:pPr>
        <w:pStyle w:val="Heading1"/>
      </w:pPr>
      <w:r>
        <w:t>5. Concurrency Policy</w:t>
      </w:r>
    </w:p>
    <w:p>
      <w:pPr>
        <w:spacing w:after="120" w:line="259" w:lineRule="auto"/>
      </w:pPr>
      <w:r>
        <w:rPr>
          <w:rFonts w:ascii="Aptos" w:hAnsi="Aptos"/>
        </w:rPr>
        <w:t>The primary benchmark controls external/client concurrency identically and leaves each framework's internal concurrency at its default. This evaluates the frameworks as normally configured rather than forcing an artificial equal-thread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96"/>
            <w:shd w:fill="1F4E78"/>
            <w:tcMar>
              <w:top w:w="120" w:type="dxa"/>
              <w:start w:w="120" w:type="dxa"/>
              <w:bottom w:w="120" w:type="dxa"/>
              <w:end w:w="120" w:type="dxa"/>
            </w:tcMar>
            <w:vAlign w:val="center"/>
          </w:tcPr>
          <w:p>
            <w:pPr>
              <w:jc w:val="left"/>
            </w:pPr>
            <w:r/>
            <w:r>
              <w:rPr>
                <w:rFonts w:ascii="Aptos" w:hAnsi="Aptos"/>
                <w:b/>
                <w:color w:val="FFFFFF"/>
                <w:sz w:val="18"/>
              </w:rPr>
              <w:t>Dimension</w:t>
            </w:r>
          </w:p>
        </w:tc>
        <w:tc>
          <w:tcPr>
            <w:tcW w:type="dxa" w:w="7272"/>
            <w:shd w:fill="1F4E78"/>
            <w:tcMar>
              <w:top w:w="120" w:type="dxa"/>
              <w:start w:w="120" w:type="dxa"/>
              <w:bottom w:w="120" w:type="dxa"/>
              <w:end w:w="120" w:type="dxa"/>
            </w:tcMar>
            <w:vAlign w:val="center"/>
          </w:tcPr>
          <w:p>
            <w:pPr>
              <w:jc w:val="left"/>
            </w:pPr>
            <w:r/>
            <w:r>
              <w:rPr>
                <w:rFonts w:ascii="Aptos" w:hAnsi="Aptos"/>
                <w:b/>
                <w:color w:val="FFFFFF"/>
                <w:sz w:val="18"/>
              </w:rPr>
              <w:t>Primary benchmark decision</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Client concurrency</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Same level for both arms at each comparison point.</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Planned ladder</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1, 2, 4, 8, 16, 32; add 64 only if 32 has not clearly saturated the system.</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RocketRide internal concurrency</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Leave default threadCount; record configured/default and observed thread behavior.</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LangGraph internal concurrency</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Leave Python/FastAPI/LangGraph default execution behavior; record observed executor/thread behavior on the 32-vCPU host.</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Equal thread declaration</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No - do not force the same internal thread count in the primary benchmark.</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Timeout</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Same fixed 300 s per-document timeout.</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Run style</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Closed-loop; next work is driven by completion slots, not unbounded open-loop submission.</w:t>
            </w:r>
          </w:p>
        </w:tc>
      </w:tr>
      <w:tr>
        <w:trPr>
          <w:cantSplit/>
        </w:trPr>
        <w:tc>
          <w:tcPr>
            <w:tcW w:type="dxa" w:w="3096"/>
            <w:tcMar>
              <w:top w:w="110" w:type="dxa"/>
              <w:start w:w="120" w:type="dxa"/>
              <w:bottom w:w="110" w:type="dxa"/>
              <w:end w:w="120" w:type="dxa"/>
            </w:tcMar>
            <w:vAlign w:val="center"/>
          </w:tcPr>
          <w:p>
            <w:pPr>
              <w:spacing w:after="0" w:line="245" w:lineRule="auto"/>
            </w:pPr>
            <w:r/>
            <w:r>
              <w:rPr>
                <w:rFonts w:ascii="Aptos" w:hAnsi="Aptos"/>
                <w:sz w:val="18"/>
              </w:rPr>
              <w:t>Arm isolation</w:t>
            </w:r>
          </w:p>
        </w:tc>
        <w:tc>
          <w:tcPr>
            <w:tcW w:type="dxa" w:w="7272"/>
            <w:tcMar>
              <w:top w:w="110" w:type="dxa"/>
              <w:start w:w="120" w:type="dxa"/>
              <w:bottom w:w="110" w:type="dxa"/>
              <w:end w:w="120" w:type="dxa"/>
            </w:tcMar>
            <w:vAlign w:val="center"/>
          </w:tcPr>
          <w:p>
            <w:pPr>
              <w:spacing w:after="0" w:line="245" w:lineRule="auto"/>
            </w:pPr>
            <w:r/>
            <w:r>
              <w:rPr>
                <w:rFonts w:ascii="Aptos" w:hAnsi="Aptos"/>
                <w:sz w:val="18"/>
              </w:rPr>
              <w:t>Arms run separately, not simultaneously on the same host.</w:t>
            </w:r>
          </w:p>
        </w:tc>
      </w:tr>
    </w:tbl>
    <w:p>
      <w:pPr>
        <w:spacing w:after="40"/>
      </w:pPr>
    </w:p>
    <w:p>
      <w:pPr>
        <w:pStyle w:val="Heading2"/>
        <w:keepNext/>
        <w:spacing w:after="120" w:line="259" w:lineRule="auto"/>
      </w:pPr>
      <w:r>
        <w:rPr>
          <w:rFonts w:ascii="Aptos" w:hAnsi="Aptos"/>
        </w:rPr>
        <w:t>Why defaults are the primary comparison</w:t>
      </w:r>
    </w:p>
    <w:p>
      <w:pPr>
        <w:pStyle w:val="ListBullet"/>
        <w:spacing w:after="60" w:line="252" w:lineRule="auto"/>
      </w:pPr>
      <w:r>
        <w:rPr>
          <w:rFonts w:ascii="Aptos" w:hAnsi="Aptos"/>
        </w:rPr>
        <w:t>Internal concurrency is part of each framework's execution model and should be observed rather than normalized away.</w:t>
      </w:r>
    </w:p>
    <w:p>
      <w:pPr>
        <w:pStyle w:val="ListBullet"/>
        <w:spacing w:after="60" w:line="252" w:lineRule="auto"/>
      </w:pPr>
      <w:r>
        <w:rPr>
          <w:rFonts w:ascii="Aptos" w:hAnsi="Aptos"/>
        </w:rPr>
        <w:t>Forcing equal thread counts may create a configuration that is unnatural for one or both systems.</w:t>
      </w:r>
    </w:p>
    <w:p>
      <w:pPr>
        <w:pStyle w:val="ListBullet"/>
        <w:spacing w:after="60" w:line="252" w:lineRule="auto"/>
      </w:pPr>
      <w:r>
        <w:rPr>
          <w:rFonts w:ascii="Aptos" w:hAnsi="Aptos"/>
        </w:rPr>
        <w:t>Identical client concurrency and identical machine resources provide the controlled workload; observed internal workers/threads become an explanatory resource metric.</w:t>
      </w:r>
    </w:p>
    <w:p>
      <w:pPr>
        <w:pStyle w:val="ListBullet"/>
        <w:spacing w:after="60" w:line="252" w:lineRule="auto"/>
      </w:pPr>
      <w:r>
        <w:rPr>
          <w:rFonts w:ascii="Aptos" w:hAnsi="Aptos"/>
        </w:rPr>
        <w:t>If desired later, a separately labeled sensitivity experiment may normalize worker limits, but it must not be mixed with the default-config headline benchmark.</w:t>
      </w:r>
    </w:p>
    <w:p>
      <w:pPr>
        <w:pStyle w:val="Heading2"/>
        <w:keepNext/>
        <w:spacing w:after="120" w:line="259" w:lineRule="auto"/>
      </w:pPr>
      <w:r>
        <w:rPr>
          <w:rFonts w:ascii="Aptos" w:hAnsi="Aptos"/>
        </w:rPr>
        <w:t>Concurrency-run reporting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456"/>
            <w:shd w:fill="1F4E78"/>
            <w:tcMar>
              <w:top w:w="120" w:type="dxa"/>
              <w:start w:w="120" w:type="dxa"/>
              <w:bottom w:w="120" w:type="dxa"/>
              <w:end w:w="120" w:type="dxa"/>
            </w:tcMar>
            <w:vAlign w:val="center"/>
          </w:tcPr>
          <w:p>
            <w:pPr>
              <w:jc w:val="left"/>
            </w:pPr>
            <w:r/>
            <w:r>
              <w:rPr>
                <w:rFonts w:ascii="Aptos" w:hAnsi="Aptos"/>
                <w:b/>
                <w:color w:val="FFFFFF"/>
                <w:sz w:val="18"/>
              </w:rPr>
              <w:t>At each concurrency level</w:t>
            </w:r>
          </w:p>
        </w:tc>
        <w:tc>
          <w:tcPr>
            <w:tcW w:type="dxa" w:w="6912"/>
            <w:shd w:fill="1F4E78"/>
            <w:tcMar>
              <w:top w:w="120" w:type="dxa"/>
              <w:start w:w="120" w:type="dxa"/>
              <w:bottom w:w="120" w:type="dxa"/>
              <w:end w:w="120" w:type="dxa"/>
            </w:tcMar>
            <w:vAlign w:val="center"/>
          </w:tcPr>
          <w:p>
            <w:pPr>
              <w:jc w:val="left"/>
            </w:pPr>
            <w:r/>
            <w:r>
              <w:rPr>
                <w:rFonts w:ascii="Aptos" w:hAnsi="Aptos"/>
                <w:b/>
                <w:color w:val="FFFFFF"/>
                <w:sz w:val="18"/>
              </w:rPr>
              <w:t>Report</w:t>
            </w:r>
          </w:p>
        </w:tc>
      </w:tr>
      <w:tr>
        <w:trPr>
          <w:cantSplit/>
        </w:trPr>
        <w:tc>
          <w:tcPr>
            <w:tcW w:type="dxa" w:w="3456"/>
            <w:tcMar>
              <w:top w:w="110" w:type="dxa"/>
              <w:start w:w="120" w:type="dxa"/>
              <w:bottom w:w="110" w:type="dxa"/>
              <w:end w:w="120" w:type="dxa"/>
            </w:tcMar>
            <w:vAlign w:val="center"/>
          </w:tcPr>
          <w:p>
            <w:pPr>
              <w:spacing w:after="0" w:line="245" w:lineRule="auto"/>
            </w:pPr>
            <w:r/>
            <w:r>
              <w:rPr>
                <w:rFonts w:ascii="Aptos" w:hAnsi="Aptos"/>
                <w:sz w:val="18"/>
              </w:rPr>
              <w:t>Correctness</w:t>
            </w:r>
          </w:p>
        </w:tc>
        <w:tc>
          <w:tcPr>
            <w:tcW w:type="dxa" w:w="6912"/>
            <w:tcMar>
              <w:top w:w="110" w:type="dxa"/>
              <w:start w:w="120" w:type="dxa"/>
              <w:bottom w:w="110" w:type="dxa"/>
              <w:end w:w="120" w:type="dxa"/>
            </w:tcMar>
            <w:vAlign w:val="center"/>
          </w:tcPr>
          <w:p>
            <w:pPr>
              <w:spacing w:after="0" w:line="245" w:lineRule="auto"/>
            </w:pPr>
            <w:r/>
            <w:r>
              <w:rPr>
                <w:rFonts w:ascii="Aptos" w:hAnsi="Aptos"/>
                <w:sz w:val="18"/>
              </w:rPr>
              <w:t>M0 status first</w:t>
            </w:r>
          </w:p>
        </w:tc>
      </w:tr>
      <w:tr>
        <w:trPr>
          <w:cantSplit/>
        </w:trPr>
        <w:tc>
          <w:tcPr>
            <w:tcW w:type="dxa" w:w="3456"/>
            <w:tcMar>
              <w:top w:w="110" w:type="dxa"/>
              <w:start w:w="120" w:type="dxa"/>
              <w:bottom w:w="110" w:type="dxa"/>
              <w:end w:w="120" w:type="dxa"/>
            </w:tcMar>
            <w:vAlign w:val="center"/>
          </w:tcPr>
          <w:p>
            <w:pPr>
              <w:spacing w:after="0" w:line="245" w:lineRule="auto"/>
            </w:pPr>
            <w:r/>
            <w:r>
              <w:rPr>
                <w:rFonts w:ascii="Aptos" w:hAnsi="Aptos"/>
                <w:sz w:val="18"/>
              </w:rPr>
              <w:t>Throughput</w:t>
            </w:r>
          </w:p>
        </w:tc>
        <w:tc>
          <w:tcPr>
            <w:tcW w:type="dxa" w:w="6912"/>
            <w:tcMar>
              <w:top w:w="110" w:type="dxa"/>
              <w:start w:w="120" w:type="dxa"/>
              <w:bottom w:w="110" w:type="dxa"/>
              <w:end w:w="120" w:type="dxa"/>
            </w:tcMar>
            <w:vAlign w:val="center"/>
          </w:tcPr>
          <w:p>
            <w:pPr>
              <w:spacing w:after="0" w:line="245" w:lineRule="auto"/>
            </w:pPr>
            <w:r/>
            <w:r>
              <w:rPr>
                <w:rFonts w:ascii="Aptos" w:hAnsi="Aptos"/>
                <w:sz w:val="18"/>
              </w:rPr>
              <w:t>successful docs/s</w:t>
            </w:r>
          </w:p>
        </w:tc>
      </w:tr>
      <w:tr>
        <w:trPr>
          <w:cantSplit/>
        </w:trPr>
        <w:tc>
          <w:tcPr>
            <w:tcW w:type="dxa" w:w="3456"/>
            <w:tcMar>
              <w:top w:w="110" w:type="dxa"/>
              <w:start w:w="120" w:type="dxa"/>
              <w:bottom w:w="110" w:type="dxa"/>
              <w:end w:w="120" w:type="dxa"/>
            </w:tcMar>
            <w:vAlign w:val="center"/>
          </w:tcPr>
          <w:p>
            <w:pPr>
              <w:spacing w:after="0" w:line="245" w:lineRule="auto"/>
            </w:pPr>
            <w:r/>
            <w:r>
              <w:rPr>
                <w:rFonts w:ascii="Aptos" w:hAnsi="Aptos"/>
                <w:sz w:val="18"/>
              </w:rPr>
              <w:t>Latency</w:t>
            </w:r>
          </w:p>
        </w:tc>
        <w:tc>
          <w:tcPr>
            <w:tcW w:type="dxa" w:w="6912"/>
            <w:tcMar>
              <w:top w:w="110" w:type="dxa"/>
              <w:start w:w="120" w:type="dxa"/>
              <w:bottom w:w="110" w:type="dxa"/>
              <w:end w:w="120" w:type="dxa"/>
            </w:tcMar>
            <w:vAlign w:val="center"/>
          </w:tcPr>
          <w:p>
            <w:pPr>
              <w:spacing w:after="0" w:line="245" w:lineRule="auto"/>
            </w:pPr>
            <w:r/>
            <w:r>
              <w:rPr>
                <w:rFonts w:ascii="Aptos" w:hAnsi="Aptos"/>
                <w:sz w:val="18"/>
              </w:rPr>
              <w:t>p50, p90, p95, p99, max</w:t>
            </w:r>
          </w:p>
        </w:tc>
      </w:tr>
      <w:tr>
        <w:trPr>
          <w:cantSplit/>
        </w:trPr>
        <w:tc>
          <w:tcPr>
            <w:tcW w:type="dxa" w:w="3456"/>
            <w:tcMar>
              <w:top w:w="110" w:type="dxa"/>
              <w:start w:w="120" w:type="dxa"/>
              <w:bottom w:w="110" w:type="dxa"/>
              <w:end w:w="120" w:type="dxa"/>
            </w:tcMar>
            <w:vAlign w:val="center"/>
          </w:tcPr>
          <w:p>
            <w:pPr>
              <w:spacing w:after="0" w:line="245" w:lineRule="auto"/>
            </w:pPr>
            <w:r/>
            <w:r>
              <w:rPr>
                <w:rFonts w:ascii="Aptos" w:hAnsi="Aptos"/>
                <w:sz w:val="18"/>
              </w:rPr>
              <w:t>Resources</w:t>
            </w:r>
          </w:p>
        </w:tc>
        <w:tc>
          <w:tcPr>
            <w:tcW w:type="dxa" w:w="6912"/>
            <w:tcMar>
              <w:top w:w="110" w:type="dxa"/>
              <w:start w:w="120" w:type="dxa"/>
              <w:bottom w:w="110" w:type="dxa"/>
              <w:end w:w="120" w:type="dxa"/>
            </w:tcMar>
            <w:vAlign w:val="center"/>
          </w:tcPr>
          <w:p>
            <w:pPr>
              <w:spacing w:after="0" w:line="245" w:lineRule="auto"/>
            </w:pPr>
            <w:r/>
            <w:r>
              <w:rPr>
                <w:rFonts w:ascii="Aptos" w:hAnsi="Aptos"/>
                <w:sz w:val="18"/>
              </w:rPr>
              <w:t>CPU, CPU time, RSS, threads/processes, I/O</w:t>
            </w:r>
          </w:p>
        </w:tc>
      </w:tr>
      <w:tr>
        <w:trPr>
          <w:cantSplit/>
        </w:trPr>
        <w:tc>
          <w:tcPr>
            <w:tcW w:type="dxa" w:w="3456"/>
            <w:tcMar>
              <w:top w:w="110" w:type="dxa"/>
              <w:start w:w="120" w:type="dxa"/>
              <w:bottom w:w="110" w:type="dxa"/>
              <w:end w:w="120" w:type="dxa"/>
            </w:tcMar>
            <w:vAlign w:val="center"/>
          </w:tcPr>
          <w:p>
            <w:pPr>
              <w:spacing w:after="0" w:line="245" w:lineRule="auto"/>
            </w:pPr>
            <w:r/>
            <w:r>
              <w:rPr>
                <w:rFonts w:ascii="Aptos" w:hAnsi="Aptos"/>
                <w:sz w:val="18"/>
              </w:rPr>
              <w:t>Efficiency</w:t>
            </w:r>
          </w:p>
        </w:tc>
        <w:tc>
          <w:tcPr>
            <w:tcW w:type="dxa" w:w="6912"/>
            <w:tcMar>
              <w:top w:w="110" w:type="dxa"/>
              <w:start w:w="120" w:type="dxa"/>
              <w:bottom w:w="110" w:type="dxa"/>
              <w:end w:w="120" w:type="dxa"/>
            </w:tcMar>
            <w:vAlign w:val="center"/>
          </w:tcPr>
          <w:p>
            <w:pPr>
              <w:spacing w:after="0" w:line="245" w:lineRule="auto"/>
            </w:pPr>
            <w:r/>
            <w:r>
              <w:rPr>
                <w:rFonts w:ascii="Aptos" w:hAnsi="Aptos"/>
                <w:sz w:val="18"/>
              </w:rPr>
              <w:t>docs/CPU-second and CPU-seconds/document</w:t>
            </w:r>
          </w:p>
        </w:tc>
      </w:tr>
      <w:tr>
        <w:trPr>
          <w:cantSplit/>
        </w:trPr>
        <w:tc>
          <w:tcPr>
            <w:tcW w:type="dxa" w:w="3456"/>
            <w:tcMar>
              <w:top w:w="110" w:type="dxa"/>
              <w:start w:w="120" w:type="dxa"/>
              <w:bottom w:w="110" w:type="dxa"/>
              <w:end w:w="120" w:type="dxa"/>
            </w:tcMar>
            <w:vAlign w:val="center"/>
          </w:tcPr>
          <w:p>
            <w:pPr>
              <w:spacing w:after="0" w:line="245" w:lineRule="auto"/>
            </w:pPr>
            <w:r/>
            <w:r>
              <w:rPr>
                <w:rFonts w:ascii="Aptos" w:hAnsi="Aptos"/>
                <w:sz w:val="18"/>
              </w:rPr>
              <w:t>Stability</w:t>
            </w:r>
          </w:p>
        </w:tc>
        <w:tc>
          <w:tcPr>
            <w:tcW w:type="dxa" w:w="6912"/>
            <w:tcMar>
              <w:top w:w="110" w:type="dxa"/>
              <w:start w:w="120" w:type="dxa"/>
              <w:bottom w:w="110" w:type="dxa"/>
              <w:end w:w="120" w:type="dxa"/>
            </w:tcMar>
            <w:vAlign w:val="center"/>
          </w:tcPr>
          <w:p>
            <w:pPr>
              <w:spacing w:after="0" w:line="245" w:lineRule="auto"/>
            </w:pPr>
            <w:r/>
            <w:r>
              <w:rPr>
                <w:rFonts w:ascii="Aptos" w:hAnsi="Aptos"/>
                <w:sz w:val="18"/>
              </w:rPr>
              <w:t>timeouts, failures, wedges, or stalled work</w:t>
            </w:r>
          </w:p>
        </w:tc>
      </w:tr>
    </w:tbl>
    <w:p>
      <w:pPr>
        <w:spacing w:after="40"/>
      </w:pPr>
    </w:p>
    <w:p>
      <w:pPr>
        <w:pStyle w:val="Heading1"/>
      </w:pPr>
      <w:r>
        <w:t>Final Locked Decisions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tcMar>
              <w:top w:w="120" w:type="dxa"/>
              <w:start w:w="120" w:type="dxa"/>
              <w:bottom w:w="120" w:type="dxa"/>
              <w:end w:w="120" w:type="dxa"/>
            </w:tcMar>
            <w:vAlign w:val="center"/>
          </w:tcPr>
          <w:p>
            <w:pPr>
              <w:jc w:val="left"/>
            </w:pPr>
            <w:r/>
            <w:r>
              <w:rPr>
                <w:rFonts w:ascii="Aptos" w:hAnsi="Aptos"/>
                <w:b/>
                <w:color w:val="FFFFFF"/>
                <w:sz w:val="18"/>
              </w:rPr>
              <w:t>Question</w:t>
            </w:r>
          </w:p>
        </w:tc>
        <w:tc>
          <w:tcPr>
            <w:tcW w:type="dxa" w:w="7488"/>
            <w:shd w:fill="1F4E78"/>
            <w:tcMar>
              <w:top w:w="120" w:type="dxa"/>
              <w:start w:w="120" w:type="dxa"/>
              <w:bottom w:w="120" w:type="dxa"/>
              <w:end w:w="120" w:type="dxa"/>
            </w:tcMar>
            <w:vAlign w:val="center"/>
          </w:tcPr>
          <w:p>
            <w:pPr>
              <w:jc w:val="left"/>
            </w:pPr>
            <w:r/>
            <w:r>
              <w:rPr>
                <w:rFonts w:ascii="Aptos" w:hAnsi="Aptos"/>
                <w:b/>
                <w:color w:val="FFFFFF"/>
                <w:sz w:val="18"/>
              </w:rPr>
              <w:t>Locked answer</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1. Setup check</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Same c7i.8xlarge AWS class and environment verification; framework-specific 10-document probes before measurement.</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2. Metrics</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M0 correctness, M1 throughput, M2 latency, M3 N/A tokens/cost, M4 blast radius, M5 fault isolation/recovery, M6 LOC, M7 resource efficiency.</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3. Pipeline</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Equivalent logical pipeline: PDF -&gt; extract -&gt; chunk -&gt; embed -&gt; assemble. Tika vs pypdf is an explicit parser inequality.</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4. Correctness</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LangGraph uses offline pypdf/splitter/MiniLM references. RocketRide uses sequential AWS capture for observable Tika/chunk output plus independent MiniLM vector validation. Census gates both.</w:t>
            </w:r>
          </w:p>
        </w:tc>
      </w:tr>
      <w:tr>
        <w:trPr>
          <w:cantSplit/>
        </w:trPr>
        <w:tc>
          <w:tcPr>
            <w:tcW w:type="dxa" w:w="2880"/>
            <w:tcMar>
              <w:top w:w="110" w:type="dxa"/>
              <w:start w:w="120" w:type="dxa"/>
              <w:bottom w:w="110" w:type="dxa"/>
              <w:end w:w="120" w:type="dxa"/>
            </w:tcMar>
            <w:vAlign w:val="center"/>
          </w:tcPr>
          <w:p>
            <w:pPr>
              <w:spacing w:after="0" w:line="245" w:lineRule="auto"/>
            </w:pPr>
            <w:r/>
            <w:r>
              <w:rPr>
                <w:rFonts w:ascii="Aptos" w:hAnsi="Aptos"/>
                <w:sz w:val="18"/>
              </w:rPr>
              <w:t>5. Concurrency</w:t>
            </w:r>
          </w:p>
        </w:tc>
        <w:tc>
          <w:tcPr>
            <w:tcW w:type="dxa" w:w="7488"/>
            <w:tcMar>
              <w:top w:w="110" w:type="dxa"/>
              <w:start w:w="120" w:type="dxa"/>
              <w:bottom w:w="110" w:type="dxa"/>
              <w:end w:w="120" w:type="dxa"/>
            </w:tcMar>
            <w:vAlign w:val="center"/>
          </w:tcPr>
          <w:p>
            <w:pPr>
              <w:spacing w:after="0" w:line="245" w:lineRule="auto"/>
            </w:pPr>
            <w:r/>
            <w:r>
              <w:rPr>
                <w:rFonts w:ascii="Aptos" w:hAnsi="Aptos"/>
                <w:sz w:val="18"/>
              </w:rPr>
              <w:t>Same external client-concurrency ladder; internal framework concurrency remains default and is measured/recorded, not forced equal.</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LangGraph vs RocketRide Benchmark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F7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LangGraph vs RocketRide Benchmark Specification</dc:title>
  <dc:subject>Benchmark setup, metrics, pipeline reproduction, correctness gates, and concurrency policy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