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rb6nnsn5bb5" w:id="0"/>
      <w:bookmarkEnd w:id="0"/>
      <w:r w:rsidDel="00000000" w:rsidR="00000000" w:rsidRPr="00000000">
        <w:rPr>
          <w:rtl w:val="0"/>
        </w:rPr>
        <w:t xml:space="preserve">Préparation du projet: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des VM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Ubuntu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Windows 10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Windows Server 2022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Ubuntu Server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du plan d’adressage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s29mhvmysv02" w:id="1"/>
      <w:bookmarkEnd w:id="1"/>
      <w:r w:rsidDel="00000000" w:rsidR="00000000" w:rsidRPr="00000000">
        <w:rPr>
          <w:rtl w:val="0"/>
        </w:rPr>
        <w:t xml:space="preserve">Exploitation des solutions: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et configuration de Prometheus &amp; Grafana.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et configuration de PRTG Network Monitor.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et configuration de Percona Monitoring and Management (PMM).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pbi9kek568by" w:id="2"/>
      <w:bookmarkEnd w:id="2"/>
      <w:r w:rsidDel="00000000" w:rsidR="00000000" w:rsidRPr="00000000">
        <w:rPr>
          <w:rtl w:val="0"/>
        </w:rPr>
        <w:t xml:space="preserve">Problème rencontré &amp; solutions: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 PC qui ne permettent pas la configuration du bridge sur VMWare ( Pas de droit admin 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Changement du CG, alors que nous avions déjà préparer le windows server.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Paquet défectueux sur Ubuntu lors de l’installation de percona, obligé de tout refaire.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