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Problématique</w:t>
      </w:r>
      <w:r w:rsidDel="00000000" w:rsidR="00000000" w:rsidRPr="00000000">
        <w:rPr>
          <w:rtl w:val="0"/>
        </w:rPr>
        <w:t xml:space="preserve">: Comment protéger une OIV dans le cyberespace ?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src: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https://cyber.gouv.fr/structurer-ses-mesures-de-securite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Labellisation ansii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gouvernance -&gt; Jeremie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prévention -&gt; Romain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détection -&gt; Emmanuel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réponse incident -&gt; Leelou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sensibilisation/formation -&gt; Minh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Défense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Gouvernance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Résilience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Prévention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Sensibilisation &amp; Formation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Gouvernance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Encourager, soutenir et consolider les recommandations de l'ANSSI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Élaborer des dispositions claires pour la gouvernance et la transparence au plan national en ce qui concerne la cybersécurité de l’OIV.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Sensibiliser les collaborateurs aux cyber risques et aux vulnérabilités humaines qui les provoquent.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Allocation d’un budget suffisant à la cybersécurité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des effectifs dédiés.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Acquisition de logiciels permettant de mieux protéger les OIV des cyberattaques.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Réponse à incident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Grille budgétaire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base DIVA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 grands blocs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Moyen de gouvernance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Prévention risque cyber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Prévention attaque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Réponse aux incidents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Sensibilisation et formation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Dépend des lois de programmation militaire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Prestataire certifié par l’Anssi (les types de labellisation pour chaque type)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Pour chaque brique mettre un outil labellisé et un non labellisé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yber.gouv.fr/structurer-ses-mesures-de-secu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