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Kanit" w:cs="Kanit" w:eastAsia="Kanit" w:hAnsi="Kani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rFonts w:ascii="Kanit" w:cs="Kanit" w:eastAsia="Kanit" w:hAnsi="Kanit"/>
          <w:b w:val="1"/>
        </w:rPr>
      </w:pPr>
      <w:bookmarkStart w:colFirst="0" w:colLast="0" w:name="_jtffh69b6v5k" w:id="0"/>
      <w:bookmarkEnd w:id="0"/>
      <w:r w:rsidDel="00000000" w:rsidR="00000000" w:rsidRPr="00000000">
        <w:rPr>
          <w:rFonts w:ascii="Kanit" w:cs="Kanit" w:eastAsia="Kanit" w:hAnsi="Kanit"/>
          <w:b w:val="1"/>
          <w:sz w:val="22"/>
          <w:szCs w:val="22"/>
          <w:u w:val="single"/>
          <w:rtl w:val="0"/>
        </w:rPr>
        <w:t xml:space="preserve">Cadre de maîtrise du risque: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Stratégie de sécurité numérique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Définition des objectifs de sécurité spécifiques au OIV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Alignement avec les réglementations et normes en vigueur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Organisation du management du risque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Mise en place d’un comité des risques numériques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Responsabilités et rôle au sein de l’organisation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Amélioration continu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Mécanisme de feedback et d’adaptation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Intégration des retours d’expérience dans la stratégie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rFonts w:ascii="Kanit" w:cs="Kanit" w:eastAsia="Kanit" w:hAnsi="Kanit"/>
          <w:b w:val="1"/>
        </w:rPr>
      </w:pPr>
      <w:bookmarkStart w:colFirst="0" w:colLast="0" w:name="_rbsdoejxghrg" w:id="1"/>
      <w:bookmarkEnd w:id="1"/>
      <w:r w:rsidDel="00000000" w:rsidR="00000000" w:rsidRPr="00000000">
        <w:rPr>
          <w:rFonts w:ascii="Kanit" w:cs="Kanit" w:eastAsia="Kanit" w:hAnsi="Kanit"/>
          <w:b w:val="1"/>
          <w:sz w:val="22"/>
          <w:szCs w:val="22"/>
          <w:u w:val="single"/>
          <w:rtl w:val="0"/>
        </w:rPr>
        <w:t xml:space="preserve">Maîtrise de l’écosystème: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Clauses de sécurité dans les contrats de sous-traitance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Identification des risques liés aux partenaires externes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Intégration des risques liés aux partenaires externes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Intégration de clauses de sécurité dans les accords contractuels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Sécurité des processus de développement et d’acquisition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Intégration de la sécurité dès les phases initiales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Gestion sécurisée des acquisitions technologiques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rFonts w:ascii="Kanit" w:cs="Kanit" w:eastAsia="Kanit" w:hAnsi="Kanit"/>
          <w:b w:val="1"/>
        </w:rPr>
      </w:pPr>
      <w:bookmarkStart w:colFirst="0" w:colLast="0" w:name="_si1syb8zkh18" w:id="2"/>
      <w:bookmarkEnd w:id="2"/>
      <w:r w:rsidDel="00000000" w:rsidR="00000000" w:rsidRPr="00000000">
        <w:rPr>
          <w:rFonts w:ascii="Kanit" w:cs="Kanit" w:eastAsia="Kanit" w:hAnsi="Kanit"/>
          <w:b w:val="1"/>
          <w:sz w:val="22"/>
          <w:szCs w:val="22"/>
          <w:u w:val="single"/>
          <w:rtl w:val="0"/>
        </w:rPr>
        <w:t xml:space="preserve">Veille sur les vulnérabilités et les menaces: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Processus de veille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Identification des sources d’informations pertinentes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Analyse et évaluation continue des menaces émergentes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Réactivité et adaptabilité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Mécanismes d’alerte et de réaction rapide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Intégration des nouvelles vulnérabilités dans les plans de sécurité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rFonts w:ascii="Kanit" w:cs="Kanit" w:eastAsia="Kanit" w:hAnsi="Kanit"/>
          <w:b w:val="1"/>
        </w:rPr>
      </w:pPr>
      <w:bookmarkStart w:colFirst="0" w:colLast="0" w:name="_nr5vqrqd1gut" w:id="3"/>
      <w:bookmarkEnd w:id="3"/>
      <w:r w:rsidDel="00000000" w:rsidR="00000000" w:rsidRPr="00000000">
        <w:rPr>
          <w:rFonts w:ascii="Kanit" w:cs="Kanit" w:eastAsia="Kanit" w:hAnsi="Kanit"/>
          <w:b w:val="1"/>
          <w:sz w:val="22"/>
          <w:szCs w:val="22"/>
          <w:u w:val="single"/>
          <w:rtl w:val="0"/>
        </w:rPr>
        <w:t xml:space="preserve">Évaluation et suivi du niveau de sécurité: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Audits et contrôles internes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Planification régulière d’audits de sécurité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Suivi des recommandations et des actions correctives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Indicateurs de pilotage de la performance numérique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Définition et suivi d’indicateurs clés de sécurité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Utilisation des données pour ajuster la stratégie de sécurité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rFonts w:ascii="Kanit" w:cs="Kanit" w:eastAsia="Kanit" w:hAnsi="Kanit"/>
          <w:b w:val="1"/>
        </w:rPr>
      </w:pPr>
      <w:bookmarkStart w:colFirst="0" w:colLast="0" w:name="_47qwnba7bmb" w:id="4"/>
      <w:bookmarkEnd w:id="4"/>
      <w:r w:rsidDel="00000000" w:rsidR="00000000" w:rsidRPr="00000000">
        <w:rPr>
          <w:rFonts w:ascii="Kanit" w:cs="Kanit" w:eastAsia="Kanit" w:hAnsi="Kanit"/>
          <w:b w:val="1"/>
          <w:sz w:val="22"/>
          <w:szCs w:val="22"/>
          <w:u w:val="single"/>
          <w:rtl w:val="0"/>
        </w:rPr>
        <w:t xml:space="preserve">Gestion du facteur humain: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Sensibilisations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Programmes de sensibilisation réguliers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Intégration de la culture de la sécurité au sein de l’organisation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Entraînements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Simulations d’incidents et exercices de gestion de crise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Renforcement des compétences des équipes face aux menaces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spacing w:after="0" w:before="0" w:lineRule="auto"/>
        <w:ind w:left="720" w:hanging="360"/>
        <w:rPr>
          <w:rFonts w:ascii="Kanit" w:cs="Kanit" w:eastAsia="Kanit" w:hAnsi="Kanit"/>
          <w:b w:val="1"/>
        </w:rPr>
      </w:pPr>
      <w:bookmarkStart w:colFirst="0" w:colLast="0" w:name="_jf2d6qwxiwcc" w:id="5"/>
      <w:bookmarkEnd w:id="5"/>
      <w:r w:rsidDel="00000000" w:rsidR="00000000" w:rsidRPr="00000000">
        <w:rPr>
          <w:rFonts w:ascii="Kanit" w:cs="Kanit" w:eastAsia="Kanit" w:hAnsi="Kanit"/>
          <w:b w:val="1"/>
          <w:sz w:val="22"/>
          <w:szCs w:val="22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Kanit" w:cs="Kanit" w:eastAsia="Kanit" w:hAnsi="Kanit"/>
        </w:rPr>
      </w:pPr>
      <w:r w:rsidDel="00000000" w:rsidR="00000000" w:rsidRPr="00000000">
        <w:rPr>
          <w:rFonts w:ascii="Kanit" w:cs="Kanit" w:eastAsia="Kanit" w:hAnsi="Kanit"/>
          <w:rtl w:val="0"/>
        </w:rPr>
        <w:t xml:space="preserve">Synthèse des mesures de gouvernance proposées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Kani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center"/>
      <w:rPr>
        <w:rFonts w:ascii="Kanit" w:cs="Kanit" w:eastAsia="Kanit" w:hAnsi="Kanit"/>
        <w:b w:val="1"/>
        <w:sz w:val="30"/>
        <w:szCs w:val="30"/>
        <w:u w:val="single"/>
      </w:rPr>
    </w:pPr>
    <w:r w:rsidDel="00000000" w:rsidR="00000000" w:rsidRPr="00000000">
      <w:rPr>
        <w:rFonts w:ascii="Kanit" w:cs="Kanit" w:eastAsia="Kanit" w:hAnsi="Kanit"/>
        <w:b w:val="1"/>
        <w:sz w:val="30"/>
        <w:szCs w:val="30"/>
        <w:u w:val="single"/>
        <w:rtl w:val="0"/>
      </w:rPr>
      <w:t xml:space="preserve">Plan de la gouvernance pour une OIV dans le cyberespace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anit-regular.ttf"/><Relationship Id="rId2" Type="http://schemas.openxmlformats.org/officeDocument/2006/relationships/font" Target="fonts/Kanit-bold.ttf"/><Relationship Id="rId3" Type="http://schemas.openxmlformats.org/officeDocument/2006/relationships/font" Target="fonts/Kanit-italic.ttf"/><Relationship Id="rId4" Type="http://schemas.openxmlformats.org/officeDocument/2006/relationships/font" Target="fonts/Kani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