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kloo8bbnz9" w:id="0"/>
      <w:bookmarkEnd w:id="0"/>
      <w:r w:rsidDel="00000000" w:rsidR="00000000" w:rsidRPr="00000000">
        <w:rPr>
          <w:rtl w:val="0"/>
        </w:rPr>
        <w:t xml:space="preserve">NIS 2 redéfinit les catégories d'entités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Abandon des termes d'opérateurs de services essentiels (OSE) et de fournisseurs de services numériques (FSN) </w:t>
      </w:r>
      <w:r w:rsidDel="00000000" w:rsidR="00000000" w:rsidRPr="00000000">
        <w:rPr>
          <w:rtl w:val="0"/>
        </w:rPr>
        <w:t xml:space="preserve">de NIS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Introduit les notions d'entité essentielle et d'entité importante pour adapter les obligations en fonction du niveau de l'entité.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24120t1vznwq" w:id="1"/>
      <w:bookmarkEnd w:id="1"/>
      <w:r w:rsidDel="00000000" w:rsidR="00000000" w:rsidRPr="00000000">
        <w:rPr>
          <w:rtl w:val="0"/>
        </w:rPr>
        <w:t xml:space="preserve">Critères de taille et de catégorisation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entités sont classées selon la taille (50 employés ou plus ou un chiffre d'affaires annuel de 10 millions d'euros ou plus).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Indépendamment de la taille, l'entité peut être considérée comme critique, fournissant certains services spécifiques, ou relevant de l'administration publique avec un impact significatif sur les activités sociétales ou économiques critiques.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q8uv7wrhc9nr" w:id="2"/>
      <w:bookmarkEnd w:id="2"/>
      <w:r w:rsidDel="00000000" w:rsidR="00000000" w:rsidRPr="00000000">
        <w:rPr>
          <w:rtl w:val="0"/>
        </w:rPr>
        <w:t xml:space="preserve">Sécurité informatique 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NIS 2 impose des mesures minimales pour toutes les entités, y compris 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Politiques d'analyse des risques et de PSSI.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 des incidents.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Plans de continuité de l'activité, de reprise, de gestion des sauvegardes et des crises.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Sécurité de l'acquisition, du développement et de la maintenance des réseaux et des SI.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Évaluation des mesures de gestion des risques cyber.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Politiques et procédures liées à la cryptographie.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Sécurité des ressources humaines, contrôle d'accès et gestion des actifs.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solutions d'authentification à plusieurs facteurs ou d'authentification continue.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d'outils de communication sécurisés et de systèmes de communication d'urgence en cas de crise.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geu30rzadpy5" w:id="3"/>
      <w:bookmarkEnd w:id="3"/>
      <w:r w:rsidDel="00000000" w:rsidR="00000000" w:rsidRPr="00000000">
        <w:rPr>
          <w:rtl w:val="0"/>
        </w:rPr>
        <w:t xml:space="preserve">Similarité avec les normes existantes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Ces mesures de sécurité présentent des similitudes avec les normes ISO/27000 et la norme américaine NIST.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src:</w:t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https://ccb.belgium.be/fr/la-directive-nis2-que-cela-signifie-il-pour-mon-organisation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https://shift-avocats.com/directive-nis-2/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https://provigis.com/blog/actualite/nis-2-evolution-cadre-legislatif-europeen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>
        <w:sz w:val="44"/>
        <w:szCs w:val="44"/>
      </w:rPr>
    </w:pPr>
    <w:r w:rsidDel="00000000" w:rsidR="00000000" w:rsidRPr="00000000">
      <w:rPr>
        <w:sz w:val="44"/>
        <w:szCs w:val="44"/>
        <w:rtl w:val="0"/>
      </w:rPr>
      <w:t xml:space="preserve">Différences entre </w:t>
    </w:r>
    <w:r w:rsidDel="00000000" w:rsidR="00000000" w:rsidRPr="00000000">
      <w:rPr>
        <w:sz w:val="44"/>
        <w:szCs w:val="44"/>
        <w:rtl w:val="0"/>
      </w:rPr>
      <w:t xml:space="preserve">NIS</w:t>
    </w:r>
    <w:r w:rsidDel="00000000" w:rsidR="00000000" w:rsidRPr="00000000">
      <w:rPr>
        <w:sz w:val="44"/>
        <w:szCs w:val="44"/>
        <w:rtl w:val="0"/>
      </w:rPr>
      <w:t xml:space="preserve"> 1 et NIS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cb.belgium.be/fr/la-directive-nis2-que-cela-signifie-il-pour-mon-organisation" TargetMode="External"/><Relationship Id="rId7" Type="http://schemas.openxmlformats.org/officeDocument/2006/relationships/hyperlink" Target="https://shift-avocats.com/directive-nis-2/" TargetMode="External"/><Relationship Id="rId8" Type="http://schemas.openxmlformats.org/officeDocument/2006/relationships/hyperlink" Target="https://provigis.com/blog/actualite/nis-2-evolution-cadre-legislatif-europ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