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40" w:after="100"/>
        <w:jc w:val="right"/>
      </w:pPr>
      <w:r>
        <w:rPr>
          <w:rFonts w:ascii="Noto Sans Arabic" w:hAnsi="Noto Sans Arabic" w:cs="Noto Sans Arabic" w:eastAsia="Noto Sans Arabic"/>
          <w:b/>
          <w:sz w:val="32"/>
        </w:rPr>
        <w:t>تقرير مراجعة إجراءات المشتريات والموافقات التشغيلية - النصف الأول 2026</w:t>
      </w:r>
    </w:p>
    <w:p>
      <w:pPr>
        <w:bidi w:val="1"/>
        <w:spacing w:after="100" w:line="252" w:lineRule="auto"/>
        <w:jc w:val="right"/>
      </w:pPr>
      <w:r>
        <w:rPr>
          <w:rFonts w:ascii="Noto Sans Arabic" w:hAnsi="Noto Sans Arabic" w:cs="Noto Sans Arabic" w:eastAsia="Noto Sans Arabic"/>
          <w:b w:val="0"/>
          <w:sz w:val="18"/>
        </w:rPr>
        <w:t>وثيقة اصطناعية مضبوطة أُنشئت لاختبار تلخيص المستندات الطويلة.</w:t>
      </w:r>
    </w:p>
    <w:p>
      <w:pPr>
        <w:bidi w:val="1"/>
        <w:spacing w:before="40" w:after="100"/>
        <w:jc w:val="right"/>
      </w:pPr>
      <w:r>
        <w:rPr>
          <w:rFonts w:ascii="Noto Sans Arabic" w:hAnsi="Noto Sans Arabic" w:cs="Noto Sans Arabic" w:eastAsia="Noto Sans Arabic"/>
          <w:b/>
          <w:sz w:val="25"/>
        </w:rPr>
        <w:t>الملخص التنفيذي</w:t>
      </w:r>
    </w:p>
    <w:p>
      <w:pPr>
        <w:bidi w:val="1"/>
        <w:spacing w:after="100" w:line="252" w:lineRule="auto"/>
        <w:jc w:val="right"/>
      </w:pPr>
      <w:r>
        <w:rPr>
          <w:rFonts w:ascii="Noto Sans Arabic" w:hAnsi="Noto Sans Arabic" w:cs="Noto Sans Arabic" w:eastAsia="Noto Sans Arabic"/>
          <w:b w:val="0"/>
          <w:sz w:val="20"/>
        </w:rPr>
        <w:t>أنهت إدارة المشتريات مراجعة نصف سنوية لإجراءات طلبات الشراء والموافقات المالية في أربع وحدات تشغيلية. شملت المراجعة 1,260 طلب شراء بقيمة إجمالية بلغت 18.4 مليون دولار. انخفض متوسط زمن الموافقة من 6.2 أيام عمل في النصف الثاني من عام 2025 إلى 4.8 أيام عمل خلال الفترة الحالية. وعزت الإدارة التحسن إلى اعتماد نموذج موحد للطلبات وإضافة خطوة تحقق آلية من مركز التكلفة قبل إرسال الطلب إلى المدير المالي.</w:t>
      </w:r>
    </w:p>
    <w:p>
      <w:pPr>
        <w:bidi w:val="1"/>
        <w:spacing w:before="40" w:after="100"/>
        <w:jc w:val="right"/>
      </w:pPr>
      <w:r>
        <w:rPr>
          <w:rFonts w:ascii="Noto Sans Arabic" w:hAnsi="Noto Sans Arabic" w:cs="Noto Sans Arabic" w:eastAsia="Noto Sans Arabic"/>
          <w:b/>
          <w:sz w:val="25"/>
        </w:rPr>
        <w:t>نتائج التدقيق الأولية</w:t>
      </w:r>
    </w:p>
    <w:p>
      <w:pPr>
        <w:bidi w:val="1"/>
        <w:spacing w:after="100" w:line="252" w:lineRule="auto"/>
        <w:jc w:val="right"/>
      </w:pPr>
      <w:r>
        <w:rPr>
          <w:rFonts w:ascii="Noto Sans Arabic" w:hAnsi="Noto Sans Arabic" w:cs="Noto Sans Arabic" w:eastAsia="Noto Sans Arabic"/>
          <w:b w:val="0"/>
          <w:sz w:val="20"/>
        </w:rPr>
        <w:t>أظهر التدقيق أن 91% من الطلبات احتوت جميع المستندات المطلوبة عند التقديم الأول، مقارنة بنسبة 83% في الفترة السابقة. مع ذلك، ظهرت 37 حالة تم فيها إرفاق عروض أسعار منتهية الصلاحية، و12 حالة تجاوزت فيها قيمة الطلب الحد المعتمد دون إرفاق مذكرة استثناء. لم تُصنف هذه الحالات على أنها مخالفات متعمدة، لكن لجنة المراجعة طلبت تصحيحها وتحديث الإرشادات قبل 10 سبتمبر.</w:t>
      </w:r>
    </w:p>
    <w:p>
      <w:pPr>
        <w:bidi w:val="1"/>
        <w:spacing w:before="40" w:after="100"/>
        <w:jc w:val="right"/>
      </w:pPr>
      <w:r>
        <w:rPr>
          <w:rFonts w:ascii="Noto Sans Arabic" w:hAnsi="Noto Sans Arabic" w:cs="Noto Sans Arabic" w:eastAsia="Noto Sans Arabic"/>
          <w:b/>
          <w:sz w:val="25"/>
        </w:rPr>
        <w:t>القرارات المعتمدة</w:t>
      </w:r>
    </w:p>
    <w:p>
      <w:pPr>
        <w:bidi w:val="1"/>
        <w:spacing w:after="100" w:line="252" w:lineRule="auto"/>
        <w:jc w:val="right"/>
      </w:pPr>
      <w:r>
        <w:rPr>
          <w:rFonts w:ascii="Noto Sans Arabic" w:hAnsi="Noto Sans Arabic" w:cs="Noto Sans Arabic" w:eastAsia="Noto Sans Arabic"/>
          <w:b w:val="0"/>
          <w:sz w:val="20"/>
        </w:rPr>
        <w:t>وافقت الإدارة التنفيذية على تطبيق فحص إلزامي جديد للطلبات التي تتجاوز قيمتها 50 ألف دولار ابتداءً من 1 أكتوبر. كما تم اعتماد ميزانية قدرها 42 ألف دولار لتحديث قوالب الموافقات وتدريب مسؤولي المشتريات في الوحدات الأربع. أما مقترح شراء منصة إلكترونية جديدة للمشتريات بقيمة تقديرية تبلغ 210 آلاف دولار فما يزال قيد الدراسة ولم يحصل على موافقة نهائية.</w:t>
      </w:r>
    </w:p>
    <w:p>
      <w:r>
        <w:br w:type="page"/>
      </w:r>
    </w:p>
    <w:p>
      <w:pPr>
        <w:bidi w:val="1"/>
        <w:spacing w:before="40" w:after="100"/>
        <w:jc w:val="right"/>
      </w:pPr>
      <w:r>
        <w:rPr>
          <w:rFonts w:ascii="Noto Sans Arabic" w:hAnsi="Noto Sans Arabic" w:cs="Noto Sans Arabic" w:eastAsia="Noto Sans Arabic"/>
          <w:b/>
          <w:sz w:val="32"/>
        </w:rPr>
        <w:t>الصفحة 2 - سير الموافقات والحالات الاستثنائية</w:t>
      </w:r>
    </w:p>
    <w:p>
      <w:pPr>
        <w:bidi w:val="1"/>
        <w:spacing w:before="40" w:after="100"/>
        <w:jc w:val="right"/>
      </w:pPr>
      <w:r>
        <w:rPr>
          <w:rFonts w:ascii="Noto Sans Arabic" w:hAnsi="Noto Sans Arabic" w:cs="Noto Sans Arabic" w:eastAsia="Noto Sans Arabic"/>
          <w:b/>
          <w:sz w:val="25"/>
        </w:rPr>
        <w:t>مسار الموافقة القياسي</w:t>
      </w:r>
    </w:p>
    <w:p>
      <w:pPr>
        <w:bidi w:val="1"/>
        <w:spacing w:after="100" w:line="252" w:lineRule="auto"/>
        <w:jc w:val="right"/>
      </w:pPr>
      <w:r>
        <w:rPr>
          <w:rFonts w:ascii="Noto Sans Arabic" w:hAnsi="Noto Sans Arabic" w:cs="Noto Sans Arabic" w:eastAsia="Noto Sans Arabic"/>
          <w:b w:val="0"/>
          <w:sz w:val="20"/>
        </w:rPr>
        <w:t>تبدأ العملية بإنشاء طلب الشراء من القسم الطالب، ثم يراجع مسؤول الميزانية مركز التكلفة وتوفر الاعتماد. بعد ذلك ينتقل الطلب إلى مدير الوحدة، وإذا تجاوزت القيمة 25 ألف دولار ينتقل إلى مدير المشتريات. الطلبات التي تتجاوز 100 ألف دولار تتطلب أيضاً موافقة المدير المالي. يجب إكمال كل مرحلة خلال يومي عمل، باستثناء الحالات التي تتطلب مراجعة قانونية أو فنية إضافية.</w:t>
      </w:r>
    </w:p>
    <w:p>
      <w:pPr>
        <w:bidi w:val="1"/>
        <w:spacing w:before="40" w:after="100"/>
        <w:jc w:val="right"/>
      </w:pPr>
      <w:r>
        <w:rPr>
          <w:rFonts w:ascii="Noto Sans Arabic" w:hAnsi="Noto Sans Arabic" w:cs="Noto Sans Arabic" w:eastAsia="Noto Sans Arabic"/>
          <w:b/>
          <w:sz w:val="25"/>
        </w:rPr>
        <w:t>الحالات العاجلة</w:t>
      </w:r>
    </w:p>
    <w:p>
      <w:pPr>
        <w:bidi w:val="1"/>
        <w:spacing w:after="100" w:line="252" w:lineRule="auto"/>
        <w:jc w:val="right"/>
      </w:pPr>
      <w:r>
        <w:rPr>
          <w:rFonts w:ascii="Noto Sans Arabic" w:hAnsi="Noto Sans Arabic" w:cs="Noto Sans Arabic" w:eastAsia="Noto Sans Arabic"/>
          <w:b w:val="0"/>
          <w:sz w:val="20"/>
        </w:rPr>
        <w:t>يمكن للجهات التشغيلية طلب معالجة عاجلة عندما يؤدي التأخير إلى توقف خدمة أساسية أو خسارة تعاقدية مباشرة. خلال الفترة تمت معالجة 29 طلباً كحالات عاجلة. تبين لاحقاً أن 5 منها لم تستوفِ تعريف الحالة العاجلة بشكل كامل. أوصت لجنة التدقيق بعدم إلغاء آلية الاستثناء، لكنها طلبت أن يذكر مقدم الطلب سبب الاستعجال والأثر المالي المتوقع وأن يعتمد الاستثناء مدير الوحدة ومدير المشتريات معاً.</w:t>
      </w:r>
    </w:p>
    <w:p>
      <w:pPr>
        <w:bidi w:val="1"/>
        <w:spacing w:before="40" w:after="100"/>
        <w:jc w:val="right"/>
      </w:pPr>
      <w:r>
        <w:rPr>
          <w:rFonts w:ascii="Noto Sans Arabic" w:hAnsi="Noto Sans Arabic" w:cs="Noto Sans Arabic" w:eastAsia="Noto Sans Arabic"/>
          <w:b/>
          <w:sz w:val="25"/>
        </w:rPr>
        <w:t>ضبط الموردين</w:t>
      </w:r>
    </w:p>
    <w:p>
      <w:pPr>
        <w:bidi w:val="1"/>
        <w:spacing w:after="100" w:line="252" w:lineRule="auto"/>
        <w:jc w:val="right"/>
      </w:pPr>
      <w:r>
        <w:rPr>
          <w:rFonts w:ascii="Noto Sans Arabic" w:hAnsi="Noto Sans Arabic" w:cs="Noto Sans Arabic" w:eastAsia="Noto Sans Arabic"/>
          <w:b w:val="0"/>
          <w:sz w:val="20"/>
        </w:rPr>
        <w:t>بلغ عدد الموردين النشطين 318 مورداً. أظهرت المراجعة أن 24 مورداً لم تُحدّث بياناتهم الضريبية خلال آخر 12 شهراً. قررت الإدارة إيقاف إنشاء أوامر شراء جديدة لهؤلاء الموردين بعد 30 سبتمبر إذا لم يتم استكمال البيانات. هذا الإيقاف مؤقت ولا يعني إنهاء العقود الحالية. كما طلبت الإدارة إعداد قائمة بديلة للموردين في الفئات الحرجة بحلول 20 أكتوبر.</w:t>
      </w:r>
    </w:p>
    <w:p>
      <w:r>
        <w:br w:type="page"/>
      </w:r>
    </w:p>
    <w:p>
      <w:pPr>
        <w:bidi w:val="1"/>
        <w:spacing w:before="40" w:after="100"/>
        <w:jc w:val="right"/>
      </w:pPr>
      <w:r>
        <w:rPr>
          <w:rFonts w:ascii="Noto Sans Arabic" w:hAnsi="Noto Sans Arabic" w:cs="Noto Sans Arabic" w:eastAsia="Noto Sans Arabic"/>
          <w:b/>
          <w:sz w:val="32"/>
        </w:rPr>
        <w:t>الصفحة 3 - مؤشرات الأداء وخطة المتابعة</w:t>
      </w:r>
    </w:p>
    <w:p>
      <w:pPr>
        <w:bidi w:val="1"/>
        <w:spacing w:before="40" w:after="100"/>
        <w:jc w:val="right"/>
      </w:pPr>
      <w:r>
        <w:rPr>
          <w:rFonts w:ascii="Noto Sans Arabic" w:hAnsi="Noto Sans Arabic" w:cs="Noto Sans Arabic" w:eastAsia="Noto Sans Arabic"/>
          <w:b/>
          <w:sz w:val="25"/>
        </w:rPr>
        <w:t>مؤشرات الأداء</w:t>
      </w:r>
    </w:p>
    <w:p>
      <w:pPr>
        <w:bidi w:val="1"/>
        <w:spacing w:after="100" w:line="252" w:lineRule="auto"/>
        <w:jc w:val="right"/>
      </w:pPr>
      <w:r>
        <w:rPr>
          <w:rFonts w:ascii="Noto Sans Arabic" w:hAnsi="Noto Sans Arabic" w:cs="Noto Sans Arabic" w:eastAsia="Noto Sans Arabic"/>
          <w:b w:val="0"/>
          <w:sz w:val="20"/>
        </w:rPr>
        <w:t>حددت الإدارة أربعة مؤشرات للربع القادم: خفض متوسط زمن الموافقة إلى أقل من 4.5 أيام عمل، رفع نسبة الطلبات المكتملة من المرة الأولى إلى 95%، تقليل حالات الاستثناء غير المبررة إلى أقل من حالتين شهرياً، واستكمال تحديث ملفات الموردين الحرجة بنسبة 100%. سيتم قياس المؤشرات أسبوعياً وعرضها في تقرير شهري على الإدارة التنفيذية.</w:t>
      </w:r>
    </w:p>
    <w:p>
      <w:pPr>
        <w:bidi w:val="1"/>
        <w:spacing w:before="40" w:after="100"/>
        <w:jc w:val="right"/>
      </w:pPr>
      <w:r>
        <w:rPr>
          <w:rFonts w:ascii="Noto Sans Arabic" w:hAnsi="Noto Sans Arabic" w:cs="Noto Sans Arabic" w:eastAsia="Noto Sans Arabic"/>
          <w:b/>
          <w:sz w:val="25"/>
        </w:rPr>
        <w:t>خطة التنفيذ</w:t>
      </w:r>
    </w:p>
    <w:p>
      <w:pPr>
        <w:bidi w:val="1"/>
        <w:spacing w:after="100" w:line="252" w:lineRule="auto"/>
        <w:jc w:val="right"/>
      </w:pPr>
      <w:r>
        <w:rPr>
          <w:rFonts w:ascii="Noto Sans Arabic" w:hAnsi="Noto Sans Arabic" w:cs="Noto Sans Arabic" w:eastAsia="Noto Sans Arabic"/>
          <w:b w:val="0"/>
          <w:sz w:val="20"/>
        </w:rPr>
        <w:t>سيبدأ تحديث النماذج في 5 سبتمبر، ويبدأ تدريب مسؤولي المشتريات في 18 سبتمبر، ثم يدخل الفحص الجديد للطلبات فوق 50 ألف دولار حيز التنفيذ في 1 أكتوبر. وسيتم تشغيل لوحة متابعة مؤقتة باستخدام النظام الحالي إلى حين اتخاذ قرار نهائي بشأن المنصة المقترحة. فريق تقنية المعلومات مسؤول فقط عن التكامل واللوحة المؤقتة، وليس عن اختيار المورد النهائي.</w:t>
      </w:r>
    </w:p>
    <w:p>
      <w:pPr>
        <w:bidi w:val="1"/>
        <w:spacing w:before="40" w:after="100"/>
        <w:jc w:val="right"/>
      </w:pPr>
      <w:r>
        <w:rPr>
          <w:rFonts w:ascii="Noto Sans Arabic" w:hAnsi="Noto Sans Arabic" w:cs="Noto Sans Arabic" w:eastAsia="Noto Sans Arabic"/>
          <w:b/>
          <w:sz w:val="25"/>
        </w:rPr>
        <w:t>الخلاصة</w:t>
      </w:r>
    </w:p>
    <w:p>
      <w:pPr>
        <w:bidi w:val="1"/>
        <w:spacing w:after="100" w:line="252" w:lineRule="auto"/>
        <w:jc w:val="right"/>
      </w:pPr>
      <w:r>
        <w:rPr>
          <w:rFonts w:ascii="Noto Sans Arabic" w:hAnsi="Noto Sans Arabic" w:cs="Noto Sans Arabic" w:eastAsia="Noto Sans Arabic"/>
          <w:b w:val="0"/>
          <w:sz w:val="20"/>
        </w:rPr>
        <w:t>ترى الإدارة أن الإجراءات الحالية تحسنت لكنها ما تزال بحاجة إلى ضبط أكبر للحالات الاستثنائية وبيانات الموردين. القرارات المعتمدة تتعلق بالفحص الإلزامي والتدريب وتحديث النماذج. أما شراء المنصة الجديدة فليس قراراً معتمداً بعد. ستُعاد المراجعة في نهاية ديسمبر لتحديد ما إذا كانت التحسينات التشغيلية كافية أو إذا كان الانتقال إلى منصة جديدة مبرراً.</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s="Aptos" w:eastAsia="Aptos"/>
        <w:b w:val="0"/>
        <w:sz w:val="15"/>
      </w:rPr>
      <w:t>Synthetic evaluation document - created for portfolio/testing - no company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