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0" w:after="100"/>
        <w:jc w:val="right"/>
      </w:pPr>
      <w:r>
        <w:rPr>
          <w:rFonts w:ascii="Noto Sans Arabic" w:hAnsi="Noto Sans Arabic" w:cs="Noto Sans Arabic" w:eastAsia="Noto Sans Arabic"/>
          <w:b/>
          <w:sz w:val="32"/>
        </w:rPr>
        <w:t>تقرير جاهزية منصة الخدمات الرقمية والتحول التشغيلي</w:t>
      </w:r>
    </w:p>
    <w:p>
      <w:pPr>
        <w:bidi w:val="1"/>
        <w:spacing w:after="100" w:line="252" w:lineRule="auto"/>
        <w:jc w:val="right"/>
      </w:pPr>
      <w:r>
        <w:rPr>
          <w:rFonts w:ascii="Noto Sans Arabic" w:hAnsi="Noto Sans Arabic" w:cs="Noto Sans Arabic" w:eastAsia="Noto Sans Arabic"/>
          <w:b w:val="0"/>
          <w:sz w:val="18"/>
        </w:rPr>
        <w:t>وثيقة اصطناعية مضبوطة أُنشئت لاختبار تلخيص المستندات الطويلة.</w:t>
      </w:r>
    </w:p>
    <w:p>
      <w:pPr>
        <w:bidi w:val="1"/>
        <w:spacing w:before="40" w:after="100"/>
        <w:jc w:val="right"/>
      </w:pPr>
      <w:r>
        <w:rPr>
          <w:rFonts w:ascii="Noto Sans Arabic" w:hAnsi="Noto Sans Arabic" w:cs="Noto Sans Arabic" w:eastAsia="Noto Sans Arabic"/>
          <w:b/>
          <w:sz w:val="25"/>
        </w:rPr>
        <w:t>نطاق البرنامج</w:t>
      </w:r>
    </w:p>
    <w:p>
      <w:pPr>
        <w:bidi w:val="1"/>
        <w:spacing w:after="100" w:line="252" w:lineRule="auto"/>
        <w:jc w:val="right"/>
      </w:pPr>
      <w:r>
        <w:rPr>
          <w:rFonts w:ascii="Noto Sans Arabic" w:hAnsi="Noto Sans Arabic" w:cs="Noto Sans Arabic" w:eastAsia="Noto Sans Arabic"/>
          <w:b w:val="0"/>
          <w:sz w:val="20"/>
        </w:rPr>
        <w:t>يهدف البرنامج إلى نقل 14 خدمة داخلية كانت تعتمد على طلبات ورقية أو بريد إلكتروني إلى منصة رقمية موحدة. تشمل الخدمات طلبات الوصول للأنظمة، طلبات المشتريات الصغيرة، تحديث بيانات الموظفين، طلبات الدعم التقني، وخمس خدمات إدارية أخرى. أطلقت المرحلة التجريبية في 3 يونيو وشملت 420 موظفاً في إدارتين. حتى نهاية يوليو تم تقديم 2,860 طلباً عبر المنصة الجديدة.</w:t>
      </w:r>
    </w:p>
    <w:p>
      <w:pPr>
        <w:bidi w:val="1"/>
        <w:spacing w:before="40" w:after="100"/>
        <w:jc w:val="right"/>
      </w:pPr>
      <w:r>
        <w:rPr>
          <w:rFonts w:ascii="Noto Sans Arabic" w:hAnsi="Noto Sans Arabic" w:cs="Noto Sans Arabic" w:eastAsia="Noto Sans Arabic"/>
          <w:b/>
          <w:sz w:val="25"/>
        </w:rPr>
        <w:t>النتائج الأولية</w:t>
      </w:r>
    </w:p>
    <w:p>
      <w:pPr>
        <w:bidi w:val="1"/>
        <w:spacing w:after="100" w:line="252" w:lineRule="auto"/>
        <w:jc w:val="right"/>
      </w:pPr>
      <w:r>
        <w:rPr>
          <w:rFonts w:ascii="Noto Sans Arabic" w:hAnsi="Noto Sans Arabic" w:cs="Noto Sans Arabic" w:eastAsia="Noto Sans Arabic"/>
          <w:b w:val="0"/>
          <w:sz w:val="20"/>
        </w:rPr>
        <w:t>انخفض متوسط زمن إغلاق الطلب من 2.9 يوم عمل إلى 2.1 يوم، وارتفعت نسبة الطلبات التي تمت معالجتها دون إعادة فتح من 76% إلى 84%. مع ذلك، سجلت فرق الدعم 118 حالة فشل في إشعارات البريد الإلكتروني، وظهرت مشكلة في مزامنة الصلاحيات لدى 17 مستخدماً. لم تؤد هذه المشاكل إلى فقدان بيانات، لكنها أثرت على الثقة بالتجربة لدى بعض المستخدمين.</w:t>
      </w:r>
    </w:p>
    <w:p>
      <w:pPr>
        <w:bidi w:val="1"/>
        <w:spacing w:before="40" w:after="100"/>
        <w:jc w:val="right"/>
      </w:pPr>
      <w:r>
        <w:rPr>
          <w:rFonts w:ascii="Noto Sans Arabic" w:hAnsi="Noto Sans Arabic" w:cs="Noto Sans Arabic" w:eastAsia="Noto Sans Arabic"/>
          <w:b/>
          <w:sz w:val="25"/>
        </w:rPr>
        <w:t>قرار المرحلة التالية</w:t>
      </w:r>
    </w:p>
    <w:p>
      <w:pPr>
        <w:bidi w:val="1"/>
        <w:spacing w:after="100" w:line="252" w:lineRule="auto"/>
        <w:jc w:val="right"/>
      </w:pPr>
      <w:r>
        <w:rPr>
          <w:rFonts w:ascii="Noto Sans Arabic" w:hAnsi="Noto Sans Arabic" w:cs="Noto Sans Arabic" w:eastAsia="Noto Sans Arabic"/>
          <w:b w:val="0"/>
          <w:sz w:val="20"/>
        </w:rPr>
        <w:t>وافقت اللجنة التنفيذية على توسيع التجربة إلى إدارتين إضافيتين ابتداءً من 8 سبتمبر، بشرط إغلاق مشكلات الصلاحيات عالية الأولوية قبل 1 سبتمبر. كما اعتمدت ميزانية إضافية قدرها 55 ألف دولار لدعم التكامل وتحسين المراقبة. مقترح إضافة مساعد ذكاء اصطناعي داخل المنصة بميزانية 130 ألف دولار ما يزال قيد الدراسة ولم تتم الموافقة عليه.</w:t>
      </w:r>
    </w:p>
    <w:p>
      <w:r>
        <w:br w:type="page"/>
      </w:r>
    </w:p>
    <w:p>
      <w:pPr>
        <w:bidi w:val="1"/>
        <w:spacing w:before="40" w:after="100"/>
        <w:jc w:val="right"/>
      </w:pPr>
      <w:r>
        <w:rPr>
          <w:rFonts w:ascii="Noto Sans Arabic" w:hAnsi="Noto Sans Arabic" w:cs="Noto Sans Arabic" w:eastAsia="Noto Sans Arabic"/>
          <w:b/>
          <w:sz w:val="32"/>
        </w:rPr>
        <w:t>الصفحة 2 - سير العمل والموافقات</w:t>
      </w:r>
    </w:p>
    <w:p>
      <w:pPr>
        <w:bidi w:val="1"/>
        <w:spacing w:before="40" w:after="100"/>
        <w:jc w:val="right"/>
      </w:pPr>
      <w:r>
        <w:rPr>
          <w:rFonts w:ascii="Noto Sans Arabic" w:hAnsi="Noto Sans Arabic" w:cs="Noto Sans Arabic" w:eastAsia="Noto Sans Arabic"/>
          <w:b/>
          <w:sz w:val="25"/>
        </w:rPr>
        <w:t>سير الطلب</w:t>
      </w:r>
    </w:p>
    <w:p>
      <w:pPr>
        <w:bidi w:val="1"/>
        <w:spacing w:after="100" w:line="252" w:lineRule="auto"/>
        <w:jc w:val="right"/>
      </w:pPr>
      <w:r>
        <w:rPr>
          <w:rFonts w:ascii="Noto Sans Arabic" w:hAnsi="Noto Sans Arabic" w:cs="Noto Sans Arabic" w:eastAsia="Noto Sans Arabic"/>
          <w:b w:val="0"/>
          <w:sz w:val="20"/>
        </w:rPr>
        <w:t>يبدأ المستخدم بإنشاء الطلب واختيار نوع الخدمة، ثم تتحقق المنصة من الحقول الإلزامية وتحدد مسار الموافقة. بعض الخدمات تحتاج موافقة مدير واحد، بينما تتطلب الطلبات التي تتجاوز حدوداً مالية أو صلاحيات حساسة موافقتين. يجب ألا تتحول حالة الطلب من مقترح إلى معتمد إلا بعد تسجيل جميع الموافقات المطلوبة في النظام.</w:t>
      </w:r>
    </w:p>
    <w:p>
      <w:pPr>
        <w:bidi w:val="1"/>
        <w:spacing w:before="40" w:after="100"/>
        <w:jc w:val="right"/>
      </w:pPr>
      <w:r>
        <w:rPr>
          <w:rFonts w:ascii="Noto Sans Arabic" w:hAnsi="Noto Sans Arabic" w:cs="Noto Sans Arabic" w:eastAsia="Noto Sans Arabic"/>
          <w:b/>
          <w:sz w:val="25"/>
        </w:rPr>
        <w:t>المهل الزمنية</w:t>
      </w:r>
    </w:p>
    <w:p>
      <w:pPr>
        <w:bidi w:val="1"/>
        <w:spacing w:after="100" w:line="252" w:lineRule="auto"/>
        <w:jc w:val="right"/>
      </w:pPr>
      <w:r>
        <w:rPr>
          <w:rFonts w:ascii="Noto Sans Arabic" w:hAnsi="Noto Sans Arabic" w:cs="Noto Sans Arabic" w:eastAsia="Noto Sans Arabic"/>
          <w:b w:val="0"/>
          <w:sz w:val="20"/>
        </w:rPr>
        <w:t>حددت فرق العمليات هدفاً داخلياً للرد الأولي خلال أربع ساعات عمل للطلبات العادية وساعة واحدة للطلبات المصنفة حرجة. أما الإغلاق النهائي فيختلف حسب نوع الخدمة. طلبات الوصول البسيطة تستهدف الإغلاق خلال يوم عمل واحد، في حين تسمح إجراءات المشتريات الصغيرة بمدة تصل إلى خمسة أيام عمل إذا احتاجت إلى عروض أسعار إضافية.</w:t>
      </w:r>
    </w:p>
    <w:p>
      <w:pPr>
        <w:bidi w:val="1"/>
        <w:spacing w:before="40" w:after="100"/>
        <w:jc w:val="right"/>
      </w:pPr>
      <w:r>
        <w:rPr>
          <w:rFonts w:ascii="Noto Sans Arabic" w:hAnsi="Noto Sans Arabic" w:cs="Noto Sans Arabic" w:eastAsia="Noto Sans Arabic"/>
          <w:b/>
          <w:sz w:val="25"/>
        </w:rPr>
        <w:t>الاستثناءات</w:t>
      </w:r>
    </w:p>
    <w:p>
      <w:pPr>
        <w:bidi w:val="1"/>
        <w:spacing w:after="100" w:line="252" w:lineRule="auto"/>
        <w:jc w:val="right"/>
      </w:pPr>
      <w:r>
        <w:rPr>
          <w:rFonts w:ascii="Noto Sans Arabic" w:hAnsi="Noto Sans Arabic" w:cs="Noto Sans Arabic" w:eastAsia="Noto Sans Arabic"/>
          <w:b w:val="0"/>
          <w:sz w:val="20"/>
        </w:rPr>
        <w:t>يمكن لفريق الخدمة إعادة الطلب إلى المستخدم إذا كانت المعلومات ناقصة. خلال التجربة تمت إعادة 204 طلبات، وكان السبب الأكثر شيوعاً غياب المرفقات المطلوبة. لا يجوز إغلاق الطلب على أنه مرفوض إذا كان السبب مجرد نقص معلومات؛ يجب استخدام حالة بحاجة إلى استكمال. هذا التمييز مهم لأنه يؤثر على مؤشرات الرفض والالتزام بالإجراءات.</w:t>
      </w:r>
    </w:p>
    <w:p>
      <w:r>
        <w:br w:type="page"/>
      </w:r>
    </w:p>
    <w:p>
      <w:pPr>
        <w:bidi w:val="1"/>
        <w:spacing w:before="40" w:after="100"/>
        <w:jc w:val="right"/>
      </w:pPr>
      <w:r>
        <w:rPr>
          <w:rFonts w:ascii="Noto Sans Arabic" w:hAnsi="Noto Sans Arabic" w:cs="Noto Sans Arabic" w:eastAsia="Noto Sans Arabic"/>
          <w:b/>
          <w:sz w:val="32"/>
        </w:rPr>
        <w:t>الصفحة 3 - البيانات والتكامل</w:t>
      </w:r>
    </w:p>
    <w:p>
      <w:pPr>
        <w:bidi w:val="1"/>
        <w:spacing w:before="40" w:after="100"/>
        <w:jc w:val="right"/>
      </w:pPr>
      <w:r>
        <w:rPr>
          <w:rFonts w:ascii="Noto Sans Arabic" w:hAnsi="Noto Sans Arabic" w:cs="Noto Sans Arabic" w:eastAsia="Noto Sans Arabic"/>
          <w:b/>
          <w:sz w:val="25"/>
        </w:rPr>
        <w:t>التكامل مع الأنظمة</w:t>
      </w:r>
    </w:p>
    <w:p>
      <w:pPr>
        <w:bidi w:val="1"/>
        <w:spacing w:after="100" w:line="252" w:lineRule="auto"/>
        <w:jc w:val="right"/>
      </w:pPr>
      <w:r>
        <w:rPr>
          <w:rFonts w:ascii="Noto Sans Arabic" w:hAnsi="Noto Sans Arabic" w:cs="Noto Sans Arabic" w:eastAsia="Noto Sans Arabic"/>
          <w:b w:val="0"/>
          <w:sz w:val="20"/>
        </w:rPr>
        <w:t>ترتبط المنصة حالياً بنظام الموارد البشرية ودليل المستخدمين ونظام التذاكر التقني. يتم تحديث بيانات الموظفين كل ساعتين، بينما تتزامن بيانات الصلاحيات كل 15 دقيقة. أظهرت المراقبة أن 93% من عمليات المزامنة اكتملت خلال أقل من 40 ثانية، لكن 2.6% منها احتاجت إلى إعادة محاولة تلقائية.</w:t>
      </w:r>
    </w:p>
    <w:p>
      <w:pPr>
        <w:bidi w:val="1"/>
        <w:spacing w:before="40" w:after="100"/>
        <w:jc w:val="right"/>
      </w:pPr>
      <w:r>
        <w:rPr>
          <w:rFonts w:ascii="Noto Sans Arabic" w:hAnsi="Noto Sans Arabic" w:cs="Noto Sans Arabic" w:eastAsia="Noto Sans Arabic"/>
          <w:b/>
          <w:sz w:val="25"/>
        </w:rPr>
        <w:t>جودة البيانات</w:t>
      </w:r>
    </w:p>
    <w:p>
      <w:pPr>
        <w:bidi w:val="1"/>
        <w:spacing w:after="100" w:line="252" w:lineRule="auto"/>
        <w:jc w:val="right"/>
      </w:pPr>
      <w:r>
        <w:rPr>
          <w:rFonts w:ascii="Noto Sans Arabic" w:hAnsi="Noto Sans Arabic" w:cs="Noto Sans Arabic" w:eastAsia="Noto Sans Arabic"/>
          <w:b w:val="0"/>
          <w:sz w:val="20"/>
        </w:rPr>
        <w:t>كشفت المراجعة عن 61 سجل موظف يحتوي أرقام هواتف بتنسيقات غير موحدة، و23 سجلاً يحتوي أسماء أقسام قديمة. تم تصحيح 48 من هذه الحالات حتى الآن. قررت إدارة البيانات إكمال التنظيف قبل 25 سبتمبر. لا توجد موافقة على حذف السجلات التاريخية؛ المطلوب هو تصحيح القيم مع الحفاظ على سجل التغييرات.</w:t>
      </w:r>
    </w:p>
    <w:p>
      <w:pPr>
        <w:bidi w:val="1"/>
        <w:spacing w:before="40" w:after="100"/>
        <w:jc w:val="right"/>
      </w:pPr>
      <w:r>
        <w:rPr>
          <w:rFonts w:ascii="Noto Sans Arabic" w:hAnsi="Noto Sans Arabic" w:cs="Noto Sans Arabic" w:eastAsia="Noto Sans Arabic"/>
          <w:b/>
          <w:sz w:val="25"/>
        </w:rPr>
        <w:t>المراقبة والاحتفاظ</w:t>
      </w:r>
    </w:p>
    <w:p>
      <w:pPr>
        <w:bidi w:val="1"/>
        <w:spacing w:after="100" w:line="252" w:lineRule="auto"/>
        <w:jc w:val="right"/>
      </w:pPr>
      <w:r>
        <w:rPr>
          <w:rFonts w:ascii="Noto Sans Arabic" w:hAnsi="Noto Sans Arabic" w:cs="Noto Sans Arabic" w:eastAsia="Noto Sans Arabic"/>
          <w:b w:val="0"/>
          <w:sz w:val="20"/>
        </w:rPr>
        <w:t>يتم الاحتفاظ بسجلات الأحداث التشغيلية لمدة 180 يوماً، بينما تحفظ سجلات الموافقات لمدة سبع سنوات وفق سياسة التدقيق. اقترح فريق البنية التحتية رفع الاحتفاظ بالسجلات التشغيلية إلى 365 يوماً، لكن المقترح لم يعتمد بعد بسبب أثره المتوقع على سعة التخزين وتكلفة النسخ الاحتياطي.</w:t>
      </w:r>
    </w:p>
    <w:p>
      <w:r>
        <w:br w:type="page"/>
      </w:r>
    </w:p>
    <w:p>
      <w:pPr>
        <w:bidi w:val="1"/>
        <w:spacing w:before="40" w:after="100"/>
        <w:jc w:val="right"/>
      </w:pPr>
      <w:r>
        <w:rPr>
          <w:rFonts w:ascii="Noto Sans Arabic" w:hAnsi="Noto Sans Arabic" w:cs="Noto Sans Arabic" w:eastAsia="Noto Sans Arabic"/>
          <w:b/>
          <w:sz w:val="32"/>
        </w:rPr>
        <w:t>الصفحة 4 - الأمن والخصوصية</w:t>
      </w:r>
    </w:p>
    <w:p>
      <w:pPr>
        <w:bidi w:val="1"/>
        <w:spacing w:before="40" w:after="100"/>
        <w:jc w:val="right"/>
      </w:pPr>
      <w:r>
        <w:rPr>
          <w:rFonts w:ascii="Noto Sans Arabic" w:hAnsi="Noto Sans Arabic" w:cs="Noto Sans Arabic" w:eastAsia="Noto Sans Arabic"/>
          <w:b/>
          <w:sz w:val="25"/>
        </w:rPr>
        <w:t>نتائج الاختبار الأمني</w:t>
      </w:r>
    </w:p>
    <w:p>
      <w:pPr>
        <w:bidi w:val="1"/>
        <w:spacing w:after="100" w:line="252" w:lineRule="auto"/>
        <w:jc w:val="right"/>
      </w:pPr>
      <w:r>
        <w:rPr>
          <w:rFonts w:ascii="Noto Sans Arabic" w:hAnsi="Noto Sans Arabic" w:cs="Noto Sans Arabic" w:eastAsia="Noto Sans Arabic"/>
          <w:b w:val="0"/>
          <w:sz w:val="20"/>
        </w:rPr>
        <w:t>أجرى فريق الأمن اختباراً داخلياً شمل المصادقة وإدارة الجلسات والصلاحيات. تم تسجيل ملاحظتين متوسطتي الخطورة وأربع ملاحظات منخفضة الخطورة، ولم تظهر ثغرات حرجة. إحدى الملاحظات المتوسطة تتعلق بإمكانية استمرار جلسة المستخدم لمدة أطول من السياسة المحددة إذا بقيت نافذة المتصفح مفتوحة دون نشاط.</w:t>
      </w:r>
    </w:p>
    <w:p>
      <w:pPr>
        <w:bidi w:val="1"/>
        <w:spacing w:before="40" w:after="100"/>
        <w:jc w:val="right"/>
      </w:pPr>
      <w:r>
        <w:rPr>
          <w:rFonts w:ascii="Noto Sans Arabic" w:hAnsi="Noto Sans Arabic" w:cs="Noto Sans Arabic" w:eastAsia="Noto Sans Arabic"/>
          <w:b/>
          <w:sz w:val="25"/>
        </w:rPr>
        <w:t>الإجراءات التصحيحية</w:t>
      </w:r>
    </w:p>
    <w:p>
      <w:pPr>
        <w:bidi w:val="1"/>
        <w:spacing w:after="100" w:line="252" w:lineRule="auto"/>
        <w:jc w:val="right"/>
      </w:pPr>
      <w:r>
        <w:rPr>
          <w:rFonts w:ascii="Noto Sans Arabic" w:hAnsi="Noto Sans Arabic" w:cs="Noto Sans Arabic" w:eastAsia="Noto Sans Arabic"/>
          <w:b w:val="0"/>
          <w:sz w:val="20"/>
        </w:rPr>
        <w:t>تمت الموافقة على تقليل مدة الجلسة غير النشطة إلى 30 دقيقة وإضافة تسجيل إضافي لأحداث تغيير الصلاحيات. يجب تنفيذ التعديلين قبل توسيع التجربة. أما استخدام المصادقة متعددة العوامل لجميع المستخدمين فلم يعتمد كشرط للمرحلة الحالية؛ سيطبق فقط على المستخدمين الذين يملكون صلاحيات إدارية حساسة.</w:t>
      </w:r>
    </w:p>
    <w:p>
      <w:pPr>
        <w:bidi w:val="1"/>
        <w:spacing w:before="40" w:after="100"/>
        <w:jc w:val="right"/>
      </w:pPr>
      <w:r>
        <w:rPr>
          <w:rFonts w:ascii="Noto Sans Arabic" w:hAnsi="Noto Sans Arabic" w:cs="Noto Sans Arabic" w:eastAsia="Noto Sans Arabic"/>
          <w:b/>
          <w:sz w:val="25"/>
        </w:rPr>
        <w:t>الخصوصية</w:t>
      </w:r>
    </w:p>
    <w:p>
      <w:pPr>
        <w:bidi w:val="1"/>
        <w:spacing w:after="100" w:line="252" w:lineRule="auto"/>
        <w:jc w:val="right"/>
      </w:pPr>
      <w:r>
        <w:rPr>
          <w:rFonts w:ascii="Noto Sans Arabic" w:hAnsi="Noto Sans Arabic" w:cs="Noto Sans Arabic" w:eastAsia="Noto Sans Arabic"/>
          <w:b w:val="0"/>
          <w:sz w:val="20"/>
        </w:rPr>
        <w:t>طلب مسؤول حماية البيانات تقليل ظهور أرقام الهواتف الشخصية في واجهات المشرفين. وافق الفريق على إخفاء الأرقام جزئياً في العرض الافتراضي مع السماح بإظهارها فقط للحالات التي تتطلب التواصل المباشر. من المتوقع إكمال هذا التعديل في 6 سبتمبر. لم يتم الإبلاغ عن أي حادثة تسرب بيانات خلال المرحلة التجريبية.</w:t>
      </w:r>
    </w:p>
    <w:p>
      <w:r>
        <w:br w:type="page"/>
      </w:r>
    </w:p>
    <w:p>
      <w:pPr>
        <w:bidi w:val="1"/>
        <w:spacing w:before="40" w:after="100"/>
        <w:jc w:val="right"/>
      </w:pPr>
      <w:r>
        <w:rPr>
          <w:rFonts w:ascii="Noto Sans Arabic" w:hAnsi="Noto Sans Arabic" w:cs="Noto Sans Arabic" w:eastAsia="Noto Sans Arabic"/>
          <w:b/>
          <w:sz w:val="32"/>
        </w:rPr>
        <w:t>الصفحة 5 - مؤشرات النجاح وخطة التوسع</w:t>
      </w:r>
    </w:p>
    <w:p>
      <w:pPr>
        <w:bidi w:val="1"/>
        <w:spacing w:before="40" w:after="100"/>
        <w:jc w:val="right"/>
      </w:pPr>
      <w:r>
        <w:rPr>
          <w:rFonts w:ascii="Noto Sans Arabic" w:hAnsi="Noto Sans Arabic" w:cs="Noto Sans Arabic" w:eastAsia="Noto Sans Arabic"/>
          <w:b/>
          <w:sz w:val="25"/>
        </w:rPr>
        <w:t>مؤشرات النجاح</w:t>
      </w:r>
    </w:p>
    <w:p>
      <w:pPr>
        <w:bidi w:val="1"/>
        <w:spacing w:after="100" w:line="252" w:lineRule="auto"/>
        <w:jc w:val="right"/>
      </w:pPr>
      <w:r>
        <w:rPr>
          <w:rFonts w:ascii="Noto Sans Arabic" w:hAnsi="Noto Sans Arabic" w:cs="Noto Sans Arabic" w:eastAsia="Noto Sans Arabic"/>
          <w:b w:val="0"/>
          <w:sz w:val="20"/>
        </w:rPr>
        <w:t>وضعت اللجنة خمسة مؤشرات قبل الانتقال إلى تعميم أوسع: رفع الإغلاق دون إعادة فتح إلى 88% على الأقل، خفض فشل الإشعارات إلى أقل من 1%، عدم وجود مشاكل صلاحيات عالية الأولوية، تحقيق رضا مستخدمين لا يقل عن 4.2 من 5، والحفاظ على زمن إغلاق متوسط أقل من 2.3 يوم عمل.</w:t>
      </w:r>
    </w:p>
    <w:p>
      <w:pPr>
        <w:bidi w:val="1"/>
        <w:spacing w:before="40" w:after="100"/>
        <w:jc w:val="right"/>
      </w:pPr>
      <w:r>
        <w:rPr>
          <w:rFonts w:ascii="Noto Sans Arabic" w:hAnsi="Noto Sans Arabic" w:cs="Noto Sans Arabic" w:eastAsia="Noto Sans Arabic"/>
          <w:b/>
          <w:sz w:val="25"/>
        </w:rPr>
        <w:t>الخطة الزمنية</w:t>
      </w:r>
    </w:p>
    <w:p>
      <w:pPr>
        <w:bidi w:val="1"/>
        <w:spacing w:after="100" w:line="252" w:lineRule="auto"/>
        <w:jc w:val="right"/>
      </w:pPr>
      <w:r>
        <w:rPr>
          <w:rFonts w:ascii="Noto Sans Arabic" w:hAnsi="Noto Sans Arabic" w:cs="Noto Sans Arabic" w:eastAsia="Noto Sans Arabic"/>
          <w:b w:val="0"/>
          <w:sz w:val="20"/>
        </w:rPr>
        <w:t>سيتم توسيع التجربة في 8 سبتمبر إذا أغلقت شروط الصلاحيات. ستستمر المرحلة الموسعة ستة أسابيع، وبعدها يعقد تقييم رسمي في 24 أكتوبر. إذا تحققت أربعة مؤشرات فقط من أصل خمسة، فلن يكون التعميم تلقائياً؛ ستحتاج اللجنة إلى قرار صريح بشأن قبول المخاطر أو تمديد التجربة.</w:t>
      </w:r>
    </w:p>
    <w:p>
      <w:pPr>
        <w:bidi w:val="1"/>
        <w:spacing w:before="40" w:after="100"/>
        <w:jc w:val="right"/>
      </w:pPr>
      <w:r>
        <w:rPr>
          <w:rFonts w:ascii="Noto Sans Arabic" w:hAnsi="Noto Sans Arabic" w:cs="Noto Sans Arabic" w:eastAsia="Noto Sans Arabic"/>
          <w:b/>
          <w:sz w:val="25"/>
        </w:rPr>
        <w:t>الخلاصة</w:t>
      </w:r>
    </w:p>
    <w:p>
      <w:pPr>
        <w:bidi w:val="1"/>
        <w:spacing w:after="100" w:line="252" w:lineRule="auto"/>
        <w:jc w:val="right"/>
      </w:pPr>
      <w:r>
        <w:rPr>
          <w:rFonts w:ascii="Noto Sans Arabic" w:hAnsi="Noto Sans Arabic" w:cs="Noto Sans Arabic" w:eastAsia="Noto Sans Arabic"/>
          <w:b w:val="0"/>
          <w:sz w:val="20"/>
        </w:rPr>
        <w:t>المنصة حققت تحسناً ملموساً في سرعة المعالجة وجودة الإغلاق، لكنها ما تزال تحتاج إلى ضبط التكامل والصلاحيات والإشعارات قبل التوسع الكامل. الميزانية الإضافية البالغة 55 ألف دولار معتمدة. أما مساعد الذكاء الاصطناعي ورفع مدة الاحتفاظ بالسجلات فهما مقترحان فقط. التقييم القادم في 24 أكتوبر هو نقطة القرار الأساسية للتوسع بعد المرحلة الثانية.</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b w:val="0"/>
        <w:sz w:val="15"/>
      </w:rPr>
      <w:t>Synthetic evaluation document - created for portfolio/testing - no company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