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2597069"/>
        <w:docPartObj>
          <w:docPartGallery w:val="Cover Pages"/>
          <w:docPartUnique/>
        </w:docPartObj>
      </w:sdtPr>
      <w:sdtContent>
        <w:p w14:paraId="01E97519" w14:textId="77777777" w:rsidR="0007125F" w:rsidRDefault="0007125F" w:rsidP="00214246"/>
        <w:p w14:paraId="06AA32A8" w14:textId="77777777" w:rsidR="0007125F" w:rsidRDefault="0007125F" w:rsidP="00214246"/>
        <w:p w14:paraId="45410AD5" w14:textId="77777777" w:rsidR="0007125F" w:rsidRDefault="0007125F" w:rsidP="00214246"/>
        <w:p w14:paraId="7B235457" w14:textId="77777777" w:rsidR="0007125F" w:rsidRDefault="0007125F" w:rsidP="00214246"/>
        <w:p w14:paraId="51E560D8" w14:textId="6B496E8F" w:rsidR="00ED100C" w:rsidRDefault="00214246" w:rsidP="00214246">
          <w:r>
            <w:rPr>
              <w:noProof/>
            </w:rPr>
            <w:drawing>
              <wp:anchor distT="0" distB="0" distL="114300" distR="114300" simplePos="0" relativeHeight="251658240" behindDoc="1" locked="0" layoutInCell="1" allowOverlap="1" wp14:anchorId="510F792A" wp14:editId="347F3B5C">
                <wp:simplePos x="0" y="0"/>
                <wp:positionH relativeFrom="column">
                  <wp:posOffset>2313598</wp:posOffset>
                </wp:positionH>
                <wp:positionV relativeFrom="paragraph">
                  <wp:posOffset>7425</wp:posOffset>
                </wp:positionV>
                <wp:extent cx="2239285" cy="1378634"/>
                <wp:effectExtent l="0" t="0" r="8890" b="0"/>
                <wp:wrapNone/>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9285" cy="1378634"/>
                        </a:xfrm>
                        <a:prstGeom prst="rect">
                          <a:avLst/>
                        </a:prstGeom>
                      </pic:spPr>
                    </pic:pic>
                  </a:graphicData>
                </a:graphic>
                <wp14:sizeRelH relativeFrom="margin">
                  <wp14:pctWidth>0</wp14:pctWidth>
                </wp14:sizeRelH>
                <wp14:sizeRelV relativeFrom="margin">
                  <wp14:pctHeight>0</wp14:pctHeight>
                </wp14:sizeRelV>
              </wp:anchor>
            </w:drawing>
          </w:r>
        </w:p>
      </w:sdtContent>
    </w:sdt>
    <w:p w14:paraId="71A9A5B3" w14:textId="1446C86E" w:rsidR="00214246" w:rsidRDefault="00214246" w:rsidP="00214246"/>
    <w:p w14:paraId="7A83D5EF" w14:textId="2EB337F2" w:rsidR="00214246" w:rsidRDefault="00214246" w:rsidP="00214246"/>
    <w:p w14:paraId="2C761E26" w14:textId="4A6F6C79" w:rsidR="00214246" w:rsidRDefault="00214246" w:rsidP="00214246"/>
    <w:p w14:paraId="2FA1418A" w14:textId="585C0DF8" w:rsidR="00214246" w:rsidRDefault="00214246" w:rsidP="00214246">
      <w:pPr>
        <w:pBdr>
          <w:bottom w:val="single" w:sz="6" w:space="1" w:color="auto"/>
        </w:pBdr>
      </w:pPr>
    </w:p>
    <w:p w14:paraId="57DE1B7E" w14:textId="77777777" w:rsidR="00D3491B" w:rsidRPr="00F64FDE" w:rsidRDefault="00214246" w:rsidP="00D3491B">
      <w:pPr>
        <w:pStyle w:val="ListParagraph"/>
        <w:ind w:left="450"/>
      </w:pPr>
      <w:r w:rsidRPr="00F64FDE">
        <w:t>Metropolis Transit corporation</w:t>
      </w:r>
    </w:p>
    <w:p w14:paraId="3BAE13A7" w14:textId="5AE7235F" w:rsidR="00214246" w:rsidRPr="00F64FDE" w:rsidRDefault="000A73F3" w:rsidP="00214246">
      <w:pPr>
        <w:pStyle w:val="ListParagraph"/>
        <w:ind w:left="450"/>
      </w:pPr>
      <w:r w:rsidRPr="00F64FDE">
        <w:t>Information Security Risk Management Policy</w:t>
      </w:r>
    </w:p>
    <w:p w14:paraId="3D9EB3A4" w14:textId="0C5E6D74" w:rsidR="0007125F" w:rsidRDefault="0007125F" w:rsidP="00214246">
      <w:pPr>
        <w:pStyle w:val="ListParagraph"/>
        <w:ind w:left="450"/>
      </w:pPr>
    </w:p>
    <w:p w14:paraId="1D99AA93" w14:textId="2B317C0E" w:rsidR="0007125F" w:rsidRDefault="0007125F" w:rsidP="00214246">
      <w:pPr>
        <w:pStyle w:val="ListParagraph"/>
        <w:ind w:left="450"/>
      </w:pPr>
    </w:p>
    <w:p w14:paraId="2470F6D6" w14:textId="1CBA29BD" w:rsidR="0007125F" w:rsidRDefault="0007125F" w:rsidP="00214246">
      <w:pPr>
        <w:pStyle w:val="ListParagraph"/>
        <w:ind w:left="450"/>
      </w:pPr>
    </w:p>
    <w:p w14:paraId="2CE001C4" w14:textId="28B08855" w:rsidR="0007125F" w:rsidRDefault="0007125F" w:rsidP="00214246">
      <w:pPr>
        <w:pStyle w:val="ListParagraph"/>
        <w:ind w:left="450"/>
      </w:pPr>
    </w:p>
    <w:p w14:paraId="176AED56" w14:textId="7C1FC884" w:rsidR="0007125F" w:rsidRDefault="0007125F" w:rsidP="00214246">
      <w:pPr>
        <w:pStyle w:val="ListParagraph"/>
        <w:ind w:left="450"/>
      </w:pPr>
    </w:p>
    <w:p w14:paraId="6A5C6CB5" w14:textId="76C34639" w:rsidR="0007125F" w:rsidRDefault="0007125F" w:rsidP="00214246">
      <w:pPr>
        <w:pStyle w:val="ListParagraph"/>
        <w:ind w:left="450"/>
      </w:pPr>
    </w:p>
    <w:p w14:paraId="3C69FD2E" w14:textId="4922ACF2" w:rsidR="0007125F" w:rsidRDefault="0007125F" w:rsidP="00214246">
      <w:pPr>
        <w:pStyle w:val="ListParagraph"/>
        <w:ind w:left="450"/>
      </w:pPr>
    </w:p>
    <w:p w14:paraId="52519495" w14:textId="1EBDFBB6" w:rsidR="0007125F" w:rsidRDefault="0007125F" w:rsidP="00214246">
      <w:pPr>
        <w:pStyle w:val="ListParagraph"/>
        <w:ind w:left="450"/>
      </w:pPr>
    </w:p>
    <w:p w14:paraId="796E37F3" w14:textId="14656662" w:rsidR="0007125F" w:rsidRDefault="0007125F" w:rsidP="00214246">
      <w:pPr>
        <w:pStyle w:val="ListParagraph"/>
        <w:ind w:left="450"/>
      </w:pPr>
    </w:p>
    <w:p w14:paraId="11156FE2" w14:textId="7E71E001" w:rsidR="0007125F" w:rsidRDefault="0007125F" w:rsidP="00214246">
      <w:pPr>
        <w:pStyle w:val="ListParagraph"/>
        <w:ind w:left="450"/>
      </w:pPr>
    </w:p>
    <w:p w14:paraId="71AB7B53" w14:textId="5AA70DD2" w:rsidR="0007125F" w:rsidRDefault="0007125F" w:rsidP="00214246">
      <w:pPr>
        <w:pStyle w:val="ListParagraph"/>
        <w:ind w:left="450"/>
      </w:pPr>
    </w:p>
    <w:p w14:paraId="55CA1611" w14:textId="44BD6FC7" w:rsidR="0007125F" w:rsidRDefault="0007125F" w:rsidP="00214246">
      <w:pPr>
        <w:pStyle w:val="ListParagraph"/>
        <w:ind w:left="450"/>
      </w:pPr>
    </w:p>
    <w:p w14:paraId="32760AD2" w14:textId="7589F8D8" w:rsidR="0007125F" w:rsidRDefault="0007125F" w:rsidP="00214246">
      <w:pPr>
        <w:pStyle w:val="ListParagraph"/>
        <w:ind w:left="450"/>
      </w:pPr>
    </w:p>
    <w:p w14:paraId="491C7F83" w14:textId="6554A6F8" w:rsidR="0007125F" w:rsidRDefault="0007125F" w:rsidP="00214246">
      <w:pPr>
        <w:pStyle w:val="ListParagraph"/>
        <w:ind w:left="450"/>
      </w:pPr>
    </w:p>
    <w:p w14:paraId="7B9664E3" w14:textId="53A94EC7" w:rsidR="0007125F" w:rsidRDefault="0007125F" w:rsidP="00214246">
      <w:pPr>
        <w:pStyle w:val="ListParagraph"/>
        <w:ind w:left="450"/>
      </w:pPr>
    </w:p>
    <w:p w14:paraId="213FFAF1" w14:textId="2E8AB071" w:rsidR="0007125F" w:rsidRDefault="0007125F" w:rsidP="00214246">
      <w:pPr>
        <w:pStyle w:val="ListParagraph"/>
        <w:ind w:left="450"/>
      </w:pPr>
    </w:p>
    <w:p w14:paraId="199F9E11" w14:textId="1B7FC2CD" w:rsidR="0007125F" w:rsidRDefault="0007125F" w:rsidP="00214246">
      <w:pPr>
        <w:pStyle w:val="ListParagraph"/>
        <w:ind w:left="450"/>
      </w:pPr>
    </w:p>
    <w:p w14:paraId="0F60F709" w14:textId="15F1CF77" w:rsidR="0007125F" w:rsidRDefault="0007125F" w:rsidP="00214246">
      <w:pPr>
        <w:pStyle w:val="ListParagraph"/>
        <w:ind w:left="450"/>
      </w:pPr>
    </w:p>
    <w:p w14:paraId="78B0CEBC" w14:textId="31F7FF94" w:rsidR="0007125F" w:rsidRDefault="0007125F" w:rsidP="00214246">
      <w:pPr>
        <w:pStyle w:val="ListParagraph"/>
        <w:ind w:left="450"/>
      </w:pPr>
    </w:p>
    <w:p w14:paraId="12149F38" w14:textId="3C2CE1A3" w:rsidR="0007125F" w:rsidRDefault="0007125F" w:rsidP="00214246">
      <w:pPr>
        <w:pStyle w:val="ListParagraph"/>
        <w:ind w:left="450"/>
      </w:pPr>
    </w:p>
    <w:p w14:paraId="20D91032" w14:textId="424F09CF" w:rsidR="0007125F" w:rsidRDefault="0007125F" w:rsidP="00214246">
      <w:pPr>
        <w:pStyle w:val="ListParagraph"/>
        <w:ind w:left="450"/>
      </w:pPr>
    </w:p>
    <w:p w14:paraId="6D381427" w14:textId="1B6A00B9" w:rsidR="0007125F" w:rsidRDefault="0007125F" w:rsidP="00214246">
      <w:pPr>
        <w:pStyle w:val="ListParagraph"/>
        <w:ind w:left="450"/>
      </w:pPr>
    </w:p>
    <w:p w14:paraId="4CAA8A0E" w14:textId="457F148D" w:rsidR="0007125F" w:rsidRDefault="0007125F" w:rsidP="00214246">
      <w:pPr>
        <w:pStyle w:val="ListParagraph"/>
        <w:ind w:left="450"/>
      </w:pPr>
    </w:p>
    <w:p w14:paraId="37443A6B" w14:textId="4F81E280" w:rsidR="0007125F" w:rsidRDefault="0007125F" w:rsidP="00214246">
      <w:pPr>
        <w:pStyle w:val="ListParagraph"/>
        <w:ind w:left="450"/>
      </w:pPr>
    </w:p>
    <w:p w14:paraId="44DB3B37" w14:textId="297B8A58" w:rsidR="0007125F" w:rsidRDefault="0007125F" w:rsidP="00214246">
      <w:pPr>
        <w:pStyle w:val="ListParagraph"/>
        <w:ind w:left="450"/>
      </w:pPr>
    </w:p>
    <w:p w14:paraId="037711E3" w14:textId="09F5E29F" w:rsidR="0007125F" w:rsidRDefault="0007125F" w:rsidP="00214246">
      <w:pPr>
        <w:pStyle w:val="ListParagraph"/>
        <w:ind w:left="450"/>
      </w:pPr>
    </w:p>
    <w:p w14:paraId="3903A73C" w14:textId="5C33687C" w:rsidR="0007125F" w:rsidRDefault="0007125F" w:rsidP="00214246">
      <w:pPr>
        <w:pStyle w:val="ListParagraph"/>
        <w:ind w:left="450"/>
      </w:pPr>
    </w:p>
    <w:p w14:paraId="3B3C4606" w14:textId="12571A04" w:rsidR="0007125F" w:rsidRDefault="0007125F" w:rsidP="00214246">
      <w:pPr>
        <w:pStyle w:val="ListParagraph"/>
        <w:ind w:left="450"/>
      </w:pPr>
    </w:p>
    <w:sdt>
      <w:sdtPr>
        <w:rPr>
          <w:rFonts w:asciiTheme="minorHAnsi" w:eastAsiaTheme="minorHAnsi" w:hAnsiTheme="minorHAnsi" w:cstheme="minorBidi"/>
          <w:color w:val="auto"/>
          <w:kern w:val="2"/>
          <w:sz w:val="22"/>
          <w:szCs w:val="22"/>
          <w14:ligatures w14:val="standardContextual"/>
        </w:rPr>
        <w:id w:val="1340509288"/>
        <w:docPartObj>
          <w:docPartGallery w:val="Table of Contents"/>
          <w:docPartUnique/>
        </w:docPartObj>
      </w:sdtPr>
      <w:sdtEndPr>
        <w:rPr>
          <w:b/>
          <w:bCs/>
          <w:noProof/>
        </w:rPr>
      </w:sdtEndPr>
      <w:sdtContent>
        <w:p w14:paraId="43468FD4" w14:textId="178016B3" w:rsidR="0007125F" w:rsidRPr="0007125F" w:rsidRDefault="0007125F">
          <w:pPr>
            <w:pStyle w:val="TOCHeading"/>
          </w:pPr>
          <w:r w:rsidRPr="0007125F">
            <w:t>Contents</w:t>
          </w:r>
        </w:p>
        <w:p w14:paraId="6B3D2235" w14:textId="411A293C" w:rsidR="003C3EE4" w:rsidRDefault="0007125F" w:rsidP="003C3EE4">
          <w:pPr>
            <w:pStyle w:val="TOC1"/>
            <w:rPr>
              <w:rFonts w:eastAsiaTheme="minorEastAsia" w:cstheme="minorBidi"/>
            </w:rPr>
          </w:pPr>
          <w:r>
            <w:rPr>
              <w:noProof w:val="0"/>
            </w:rPr>
            <w:fldChar w:fldCharType="begin"/>
          </w:r>
          <w:r>
            <w:instrText xml:space="preserve"> TOC \o "1-3" \h \z \u </w:instrText>
          </w:r>
          <w:r>
            <w:rPr>
              <w:noProof w:val="0"/>
            </w:rPr>
            <w:fldChar w:fldCharType="separate"/>
          </w:r>
          <w:hyperlink w:anchor="_Toc149936984" w:history="1">
            <w:r w:rsidR="003C3EE4" w:rsidRPr="0092152B">
              <w:rPr>
                <w:rStyle w:val="Hyperlink"/>
              </w:rPr>
              <w:t>Policy Statement</w:t>
            </w:r>
            <w:r w:rsidR="003C3EE4">
              <w:rPr>
                <w:webHidden/>
              </w:rPr>
              <w:tab/>
            </w:r>
            <w:r w:rsidR="003C3EE4">
              <w:rPr>
                <w:webHidden/>
              </w:rPr>
              <w:fldChar w:fldCharType="begin"/>
            </w:r>
            <w:r w:rsidR="003C3EE4">
              <w:rPr>
                <w:webHidden/>
              </w:rPr>
              <w:instrText xml:space="preserve"> PAGEREF _Toc149936984 \h </w:instrText>
            </w:r>
            <w:r w:rsidR="003C3EE4">
              <w:rPr>
                <w:webHidden/>
              </w:rPr>
            </w:r>
            <w:r w:rsidR="003C3EE4">
              <w:rPr>
                <w:webHidden/>
              </w:rPr>
              <w:fldChar w:fldCharType="separate"/>
            </w:r>
            <w:r w:rsidR="003C3EE4">
              <w:rPr>
                <w:webHidden/>
              </w:rPr>
              <w:t>2</w:t>
            </w:r>
            <w:r w:rsidR="003C3EE4">
              <w:rPr>
                <w:webHidden/>
              </w:rPr>
              <w:fldChar w:fldCharType="end"/>
            </w:r>
          </w:hyperlink>
        </w:p>
        <w:p w14:paraId="23562AB7" w14:textId="761969CC" w:rsidR="003C3EE4" w:rsidRPr="003C3EE4" w:rsidRDefault="00000000" w:rsidP="003C3EE4">
          <w:pPr>
            <w:pStyle w:val="TOC2"/>
            <w:rPr>
              <w:rFonts w:eastAsiaTheme="minorEastAsia"/>
            </w:rPr>
          </w:pPr>
          <w:hyperlink w:anchor="_Toc149936985" w:history="1">
            <w:r w:rsidR="003C3EE4" w:rsidRPr="003C3EE4">
              <w:rPr>
                <w:rStyle w:val="Hyperlink"/>
                <w:color w:val="auto"/>
              </w:rPr>
              <w:t>Information Security Risk Management Policy</w:t>
            </w:r>
            <w:r w:rsidR="003C3EE4" w:rsidRPr="003C3EE4">
              <w:rPr>
                <w:webHidden/>
              </w:rPr>
              <w:tab/>
            </w:r>
            <w:r w:rsidR="003C3EE4" w:rsidRPr="003C3EE4">
              <w:rPr>
                <w:webHidden/>
              </w:rPr>
              <w:fldChar w:fldCharType="begin"/>
            </w:r>
            <w:r w:rsidR="003C3EE4" w:rsidRPr="003C3EE4">
              <w:rPr>
                <w:webHidden/>
              </w:rPr>
              <w:instrText xml:space="preserve"> PAGEREF _Toc149936985 \h </w:instrText>
            </w:r>
            <w:r w:rsidR="003C3EE4" w:rsidRPr="003C3EE4">
              <w:rPr>
                <w:webHidden/>
              </w:rPr>
            </w:r>
            <w:r w:rsidR="003C3EE4" w:rsidRPr="003C3EE4">
              <w:rPr>
                <w:webHidden/>
              </w:rPr>
              <w:fldChar w:fldCharType="separate"/>
            </w:r>
            <w:r w:rsidR="003C3EE4" w:rsidRPr="003C3EE4">
              <w:rPr>
                <w:webHidden/>
              </w:rPr>
              <w:t>2</w:t>
            </w:r>
            <w:r w:rsidR="003C3EE4" w:rsidRPr="003C3EE4">
              <w:rPr>
                <w:webHidden/>
              </w:rPr>
              <w:fldChar w:fldCharType="end"/>
            </w:r>
          </w:hyperlink>
        </w:p>
        <w:p w14:paraId="3BB171D7" w14:textId="691FEF44" w:rsidR="003C3EE4" w:rsidRDefault="00000000" w:rsidP="003C3EE4">
          <w:pPr>
            <w:pStyle w:val="TOC1"/>
            <w:rPr>
              <w:rFonts w:eastAsiaTheme="minorEastAsia" w:cstheme="minorBidi"/>
            </w:rPr>
          </w:pPr>
          <w:hyperlink w:anchor="_Toc149936986" w:history="1">
            <w:r w:rsidR="003C3EE4" w:rsidRPr="0092152B">
              <w:rPr>
                <w:rStyle w:val="Hyperlink"/>
              </w:rPr>
              <w:t>Owner of the policy</w:t>
            </w:r>
            <w:r w:rsidR="003C3EE4">
              <w:rPr>
                <w:webHidden/>
              </w:rPr>
              <w:tab/>
            </w:r>
            <w:r w:rsidR="003C3EE4">
              <w:rPr>
                <w:webHidden/>
              </w:rPr>
              <w:fldChar w:fldCharType="begin"/>
            </w:r>
            <w:r w:rsidR="003C3EE4">
              <w:rPr>
                <w:webHidden/>
              </w:rPr>
              <w:instrText xml:space="preserve"> PAGEREF _Toc149936986 \h </w:instrText>
            </w:r>
            <w:r w:rsidR="003C3EE4">
              <w:rPr>
                <w:webHidden/>
              </w:rPr>
            </w:r>
            <w:r w:rsidR="003C3EE4">
              <w:rPr>
                <w:webHidden/>
              </w:rPr>
              <w:fldChar w:fldCharType="separate"/>
            </w:r>
            <w:r w:rsidR="003C3EE4">
              <w:rPr>
                <w:webHidden/>
              </w:rPr>
              <w:t>2</w:t>
            </w:r>
            <w:r w:rsidR="003C3EE4">
              <w:rPr>
                <w:webHidden/>
              </w:rPr>
              <w:fldChar w:fldCharType="end"/>
            </w:r>
          </w:hyperlink>
        </w:p>
        <w:p w14:paraId="21692A43" w14:textId="1DAA3095" w:rsidR="003C3EE4" w:rsidRPr="003C3EE4" w:rsidRDefault="00000000" w:rsidP="003C3EE4">
          <w:pPr>
            <w:pStyle w:val="TOC1"/>
            <w:rPr>
              <w:rFonts w:eastAsiaTheme="minorEastAsia" w:cstheme="minorBidi"/>
            </w:rPr>
          </w:pPr>
          <w:hyperlink w:anchor="_Toc149936987" w:history="1">
            <w:r w:rsidR="003C3EE4" w:rsidRPr="003C3EE4">
              <w:rPr>
                <w:rStyle w:val="Hyperlink"/>
                <w:color w:val="auto"/>
              </w:rPr>
              <w:t>External Resources Justifying the Policy</w:t>
            </w:r>
            <w:r w:rsidR="003C3EE4" w:rsidRPr="003C3EE4">
              <w:rPr>
                <w:webHidden/>
              </w:rPr>
              <w:tab/>
            </w:r>
            <w:r w:rsidR="003C3EE4" w:rsidRPr="003C3EE4">
              <w:rPr>
                <w:webHidden/>
              </w:rPr>
              <w:fldChar w:fldCharType="begin"/>
            </w:r>
            <w:r w:rsidR="003C3EE4" w:rsidRPr="003C3EE4">
              <w:rPr>
                <w:webHidden/>
              </w:rPr>
              <w:instrText xml:space="preserve"> PAGEREF _Toc149936987 \h </w:instrText>
            </w:r>
            <w:r w:rsidR="003C3EE4" w:rsidRPr="003C3EE4">
              <w:rPr>
                <w:webHidden/>
              </w:rPr>
            </w:r>
            <w:r w:rsidR="003C3EE4" w:rsidRPr="003C3EE4">
              <w:rPr>
                <w:webHidden/>
              </w:rPr>
              <w:fldChar w:fldCharType="separate"/>
            </w:r>
            <w:r w:rsidR="003C3EE4" w:rsidRPr="003C3EE4">
              <w:rPr>
                <w:webHidden/>
              </w:rPr>
              <w:t>2</w:t>
            </w:r>
            <w:r w:rsidR="003C3EE4" w:rsidRPr="003C3EE4">
              <w:rPr>
                <w:webHidden/>
              </w:rPr>
              <w:fldChar w:fldCharType="end"/>
            </w:r>
          </w:hyperlink>
        </w:p>
        <w:p w14:paraId="5A87080E" w14:textId="22825C5A" w:rsidR="003C3EE4" w:rsidRDefault="00000000" w:rsidP="003C3EE4">
          <w:pPr>
            <w:pStyle w:val="TOC1"/>
            <w:rPr>
              <w:rFonts w:eastAsiaTheme="minorEastAsia" w:cstheme="minorBidi"/>
            </w:rPr>
          </w:pPr>
          <w:hyperlink w:anchor="_Toc149936988" w:history="1">
            <w:r w:rsidR="003C3EE4" w:rsidRPr="0092152B">
              <w:rPr>
                <w:rStyle w:val="Hyperlink"/>
              </w:rPr>
              <w:t>Affirmative Procedure for Compliance</w:t>
            </w:r>
            <w:r w:rsidR="003C3EE4">
              <w:rPr>
                <w:webHidden/>
              </w:rPr>
              <w:tab/>
            </w:r>
            <w:r w:rsidR="003C3EE4">
              <w:rPr>
                <w:webHidden/>
              </w:rPr>
              <w:fldChar w:fldCharType="begin"/>
            </w:r>
            <w:r w:rsidR="003C3EE4">
              <w:rPr>
                <w:webHidden/>
              </w:rPr>
              <w:instrText xml:space="preserve"> PAGEREF _Toc149936988 \h </w:instrText>
            </w:r>
            <w:r w:rsidR="003C3EE4">
              <w:rPr>
                <w:webHidden/>
              </w:rPr>
            </w:r>
            <w:r w:rsidR="003C3EE4">
              <w:rPr>
                <w:webHidden/>
              </w:rPr>
              <w:fldChar w:fldCharType="separate"/>
            </w:r>
            <w:r w:rsidR="003C3EE4">
              <w:rPr>
                <w:webHidden/>
              </w:rPr>
              <w:t>3</w:t>
            </w:r>
            <w:r w:rsidR="003C3EE4">
              <w:rPr>
                <w:webHidden/>
              </w:rPr>
              <w:fldChar w:fldCharType="end"/>
            </w:r>
          </w:hyperlink>
        </w:p>
        <w:p w14:paraId="094CF860" w14:textId="3AED2526" w:rsidR="003C3EE4" w:rsidRDefault="00000000" w:rsidP="003C3EE4">
          <w:pPr>
            <w:pStyle w:val="TOC1"/>
            <w:rPr>
              <w:rFonts w:eastAsiaTheme="minorEastAsia" w:cstheme="minorBidi"/>
            </w:rPr>
          </w:pPr>
          <w:hyperlink w:anchor="_Toc149936989" w:history="1">
            <w:r w:rsidR="003C3EE4" w:rsidRPr="0092152B">
              <w:rPr>
                <w:rStyle w:val="Hyperlink"/>
              </w:rPr>
              <w:t>Frequency of Compliance Audits</w:t>
            </w:r>
            <w:r w:rsidR="003C3EE4">
              <w:rPr>
                <w:webHidden/>
              </w:rPr>
              <w:tab/>
            </w:r>
            <w:r w:rsidR="003C3EE4">
              <w:rPr>
                <w:webHidden/>
              </w:rPr>
              <w:fldChar w:fldCharType="begin"/>
            </w:r>
            <w:r w:rsidR="003C3EE4">
              <w:rPr>
                <w:webHidden/>
              </w:rPr>
              <w:instrText xml:space="preserve"> PAGEREF _Toc149936989 \h </w:instrText>
            </w:r>
            <w:r w:rsidR="003C3EE4">
              <w:rPr>
                <w:webHidden/>
              </w:rPr>
            </w:r>
            <w:r w:rsidR="003C3EE4">
              <w:rPr>
                <w:webHidden/>
              </w:rPr>
              <w:fldChar w:fldCharType="separate"/>
            </w:r>
            <w:r w:rsidR="003C3EE4">
              <w:rPr>
                <w:webHidden/>
              </w:rPr>
              <w:t>3</w:t>
            </w:r>
            <w:r w:rsidR="003C3EE4">
              <w:rPr>
                <w:webHidden/>
              </w:rPr>
              <w:fldChar w:fldCharType="end"/>
            </w:r>
          </w:hyperlink>
        </w:p>
        <w:p w14:paraId="68E134F1" w14:textId="70F3E1D7" w:rsidR="003C3EE4" w:rsidRDefault="00000000" w:rsidP="003C3EE4">
          <w:pPr>
            <w:pStyle w:val="TOC1"/>
            <w:rPr>
              <w:rFonts w:eastAsiaTheme="minorEastAsia" w:cstheme="minorBidi"/>
            </w:rPr>
          </w:pPr>
          <w:hyperlink w:anchor="_Toc149936990" w:history="1">
            <w:r w:rsidR="003C3EE4" w:rsidRPr="0092152B">
              <w:rPr>
                <w:rStyle w:val="Hyperlink"/>
                <w:rFonts w:ascii="Arial" w:hAnsi="Arial" w:cs="Arial"/>
              </w:rPr>
              <w:t>Metric for Compliance</w:t>
            </w:r>
            <w:r w:rsidR="003C3EE4">
              <w:rPr>
                <w:webHidden/>
              </w:rPr>
              <w:tab/>
            </w:r>
            <w:r w:rsidR="003C3EE4">
              <w:rPr>
                <w:webHidden/>
              </w:rPr>
              <w:fldChar w:fldCharType="begin"/>
            </w:r>
            <w:r w:rsidR="003C3EE4">
              <w:rPr>
                <w:webHidden/>
              </w:rPr>
              <w:instrText xml:space="preserve"> PAGEREF _Toc149936990 \h </w:instrText>
            </w:r>
            <w:r w:rsidR="003C3EE4">
              <w:rPr>
                <w:webHidden/>
              </w:rPr>
            </w:r>
            <w:r w:rsidR="003C3EE4">
              <w:rPr>
                <w:webHidden/>
              </w:rPr>
              <w:fldChar w:fldCharType="separate"/>
            </w:r>
            <w:r w:rsidR="003C3EE4">
              <w:rPr>
                <w:webHidden/>
              </w:rPr>
              <w:t>3</w:t>
            </w:r>
            <w:r w:rsidR="003C3EE4">
              <w:rPr>
                <w:webHidden/>
              </w:rPr>
              <w:fldChar w:fldCharType="end"/>
            </w:r>
          </w:hyperlink>
        </w:p>
        <w:p w14:paraId="22B8F8FD" w14:textId="3CB3C5D5" w:rsidR="003C3EE4" w:rsidRDefault="00000000" w:rsidP="003C3EE4">
          <w:pPr>
            <w:pStyle w:val="TOC1"/>
            <w:rPr>
              <w:rFonts w:eastAsiaTheme="minorEastAsia" w:cstheme="minorBidi"/>
            </w:rPr>
          </w:pPr>
          <w:hyperlink w:anchor="_Toc149936991" w:history="1">
            <w:r w:rsidR="003C3EE4" w:rsidRPr="0092152B">
              <w:rPr>
                <w:rStyle w:val="Hyperlink"/>
              </w:rPr>
              <w:t>Procedure for Collecting Compliance Metric</w:t>
            </w:r>
            <w:r w:rsidR="003C3EE4">
              <w:rPr>
                <w:webHidden/>
              </w:rPr>
              <w:tab/>
            </w:r>
            <w:r w:rsidR="003C3EE4">
              <w:rPr>
                <w:webHidden/>
              </w:rPr>
              <w:fldChar w:fldCharType="begin"/>
            </w:r>
            <w:r w:rsidR="003C3EE4">
              <w:rPr>
                <w:webHidden/>
              </w:rPr>
              <w:instrText xml:space="preserve"> PAGEREF _Toc149936991 \h </w:instrText>
            </w:r>
            <w:r w:rsidR="003C3EE4">
              <w:rPr>
                <w:webHidden/>
              </w:rPr>
            </w:r>
            <w:r w:rsidR="003C3EE4">
              <w:rPr>
                <w:webHidden/>
              </w:rPr>
              <w:fldChar w:fldCharType="separate"/>
            </w:r>
            <w:r w:rsidR="003C3EE4">
              <w:rPr>
                <w:webHidden/>
              </w:rPr>
              <w:t>4</w:t>
            </w:r>
            <w:r w:rsidR="003C3EE4">
              <w:rPr>
                <w:webHidden/>
              </w:rPr>
              <w:fldChar w:fldCharType="end"/>
            </w:r>
          </w:hyperlink>
        </w:p>
        <w:p w14:paraId="2D34C9EB" w14:textId="3F579921" w:rsidR="003C3EE4" w:rsidRDefault="00000000" w:rsidP="003C3EE4">
          <w:pPr>
            <w:pStyle w:val="TOC1"/>
            <w:rPr>
              <w:rFonts w:eastAsiaTheme="minorEastAsia" w:cstheme="minorBidi"/>
            </w:rPr>
          </w:pPr>
          <w:hyperlink w:anchor="_Toc149936992" w:history="1">
            <w:r w:rsidR="003C3EE4" w:rsidRPr="0092152B">
              <w:rPr>
                <w:rStyle w:val="Hyperlink"/>
              </w:rPr>
              <w:t>Responsible Party(ies) for Updating the Policy</w:t>
            </w:r>
            <w:r w:rsidR="003C3EE4">
              <w:rPr>
                <w:webHidden/>
              </w:rPr>
              <w:tab/>
            </w:r>
            <w:r w:rsidR="003C3EE4">
              <w:rPr>
                <w:webHidden/>
              </w:rPr>
              <w:fldChar w:fldCharType="begin"/>
            </w:r>
            <w:r w:rsidR="003C3EE4">
              <w:rPr>
                <w:webHidden/>
              </w:rPr>
              <w:instrText xml:space="preserve"> PAGEREF _Toc149936992 \h </w:instrText>
            </w:r>
            <w:r w:rsidR="003C3EE4">
              <w:rPr>
                <w:webHidden/>
              </w:rPr>
            </w:r>
            <w:r w:rsidR="003C3EE4">
              <w:rPr>
                <w:webHidden/>
              </w:rPr>
              <w:fldChar w:fldCharType="separate"/>
            </w:r>
            <w:r w:rsidR="003C3EE4">
              <w:rPr>
                <w:webHidden/>
              </w:rPr>
              <w:t>4</w:t>
            </w:r>
            <w:r w:rsidR="003C3EE4">
              <w:rPr>
                <w:webHidden/>
              </w:rPr>
              <w:fldChar w:fldCharType="end"/>
            </w:r>
          </w:hyperlink>
        </w:p>
        <w:p w14:paraId="5D330533" w14:textId="404EA795" w:rsidR="003C3EE4" w:rsidRDefault="00000000" w:rsidP="003C3EE4">
          <w:pPr>
            <w:pStyle w:val="TOC1"/>
            <w:rPr>
              <w:rFonts w:eastAsiaTheme="minorEastAsia" w:cstheme="minorBidi"/>
            </w:rPr>
          </w:pPr>
          <w:hyperlink w:anchor="_Toc149936993" w:history="1">
            <w:r w:rsidR="003C3EE4" w:rsidRPr="0092152B">
              <w:rPr>
                <w:rStyle w:val="Hyperlink"/>
              </w:rPr>
              <w:t>Frequency of Policy Review</w:t>
            </w:r>
            <w:r w:rsidR="003C3EE4">
              <w:rPr>
                <w:webHidden/>
              </w:rPr>
              <w:tab/>
            </w:r>
            <w:r w:rsidR="003C3EE4">
              <w:rPr>
                <w:webHidden/>
              </w:rPr>
              <w:fldChar w:fldCharType="begin"/>
            </w:r>
            <w:r w:rsidR="003C3EE4">
              <w:rPr>
                <w:webHidden/>
              </w:rPr>
              <w:instrText xml:space="preserve"> PAGEREF _Toc149936993 \h </w:instrText>
            </w:r>
            <w:r w:rsidR="003C3EE4">
              <w:rPr>
                <w:webHidden/>
              </w:rPr>
            </w:r>
            <w:r w:rsidR="003C3EE4">
              <w:rPr>
                <w:webHidden/>
              </w:rPr>
              <w:fldChar w:fldCharType="separate"/>
            </w:r>
            <w:r w:rsidR="003C3EE4">
              <w:rPr>
                <w:webHidden/>
              </w:rPr>
              <w:t>4</w:t>
            </w:r>
            <w:r w:rsidR="003C3EE4">
              <w:rPr>
                <w:webHidden/>
              </w:rPr>
              <w:fldChar w:fldCharType="end"/>
            </w:r>
          </w:hyperlink>
        </w:p>
        <w:p w14:paraId="095B64A6" w14:textId="6F00EBCC" w:rsidR="003C3EE4" w:rsidRDefault="00000000" w:rsidP="003C3EE4">
          <w:pPr>
            <w:pStyle w:val="TOC1"/>
            <w:rPr>
              <w:rFonts w:eastAsiaTheme="minorEastAsia" w:cstheme="minorBidi"/>
            </w:rPr>
          </w:pPr>
          <w:hyperlink w:anchor="_Toc149936994" w:history="1">
            <w:r w:rsidR="003C3EE4" w:rsidRPr="0092152B">
              <w:rPr>
                <w:rStyle w:val="Hyperlink"/>
              </w:rPr>
              <w:t>Procedure for Updating the Policy</w:t>
            </w:r>
            <w:r w:rsidR="003C3EE4">
              <w:rPr>
                <w:webHidden/>
              </w:rPr>
              <w:tab/>
            </w:r>
            <w:r w:rsidR="003C3EE4">
              <w:rPr>
                <w:webHidden/>
              </w:rPr>
              <w:fldChar w:fldCharType="begin"/>
            </w:r>
            <w:r w:rsidR="003C3EE4">
              <w:rPr>
                <w:webHidden/>
              </w:rPr>
              <w:instrText xml:space="preserve"> PAGEREF _Toc149936994 \h </w:instrText>
            </w:r>
            <w:r w:rsidR="003C3EE4">
              <w:rPr>
                <w:webHidden/>
              </w:rPr>
            </w:r>
            <w:r w:rsidR="003C3EE4">
              <w:rPr>
                <w:webHidden/>
              </w:rPr>
              <w:fldChar w:fldCharType="separate"/>
            </w:r>
            <w:r w:rsidR="003C3EE4">
              <w:rPr>
                <w:webHidden/>
              </w:rPr>
              <w:t>5</w:t>
            </w:r>
            <w:r w:rsidR="003C3EE4">
              <w:rPr>
                <w:webHidden/>
              </w:rPr>
              <w:fldChar w:fldCharType="end"/>
            </w:r>
          </w:hyperlink>
        </w:p>
        <w:p w14:paraId="05088126" w14:textId="1230F618" w:rsidR="0007125F" w:rsidRDefault="0007125F">
          <w:r>
            <w:rPr>
              <w:b/>
              <w:bCs/>
              <w:noProof/>
            </w:rPr>
            <w:fldChar w:fldCharType="end"/>
          </w:r>
        </w:p>
      </w:sdtContent>
    </w:sdt>
    <w:p w14:paraId="328DCA05" w14:textId="0A5FED1E" w:rsidR="0007125F" w:rsidRDefault="0007125F" w:rsidP="00214246">
      <w:pPr>
        <w:pStyle w:val="ListParagraph"/>
        <w:ind w:left="450"/>
      </w:pPr>
    </w:p>
    <w:p w14:paraId="1D184888" w14:textId="47A33876" w:rsidR="004A254C" w:rsidRDefault="004A254C" w:rsidP="00214246">
      <w:pPr>
        <w:pStyle w:val="ListParagraph"/>
        <w:ind w:left="450"/>
      </w:pPr>
    </w:p>
    <w:p w14:paraId="5BB9E367" w14:textId="0555CCC6" w:rsidR="004A254C" w:rsidRDefault="004A254C" w:rsidP="00214246">
      <w:pPr>
        <w:pStyle w:val="ListParagraph"/>
        <w:ind w:left="450"/>
      </w:pPr>
    </w:p>
    <w:p w14:paraId="479D800D" w14:textId="00464E70" w:rsidR="004A254C" w:rsidRDefault="004A254C" w:rsidP="00214246">
      <w:pPr>
        <w:pStyle w:val="ListParagraph"/>
        <w:ind w:left="450"/>
      </w:pPr>
    </w:p>
    <w:p w14:paraId="243BDEC1" w14:textId="27DD5135" w:rsidR="004A254C" w:rsidRDefault="004A254C" w:rsidP="00214246">
      <w:pPr>
        <w:pStyle w:val="ListParagraph"/>
        <w:ind w:left="450"/>
      </w:pPr>
    </w:p>
    <w:p w14:paraId="70811DDE" w14:textId="2463AFA8" w:rsidR="004A254C" w:rsidRDefault="004A254C" w:rsidP="00214246">
      <w:pPr>
        <w:pStyle w:val="ListParagraph"/>
        <w:ind w:left="450"/>
      </w:pPr>
    </w:p>
    <w:p w14:paraId="1F5689FD" w14:textId="55F86D1A" w:rsidR="004A254C" w:rsidRDefault="004A254C" w:rsidP="00214246">
      <w:pPr>
        <w:pStyle w:val="ListParagraph"/>
        <w:ind w:left="450"/>
      </w:pPr>
    </w:p>
    <w:p w14:paraId="214C8886" w14:textId="77777777" w:rsidR="007332D6" w:rsidRDefault="007332D6" w:rsidP="00214246">
      <w:pPr>
        <w:pStyle w:val="ListParagraph"/>
        <w:ind w:left="450"/>
      </w:pPr>
    </w:p>
    <w:p w14:paraId="70D9C3D2" w14:textId="77777777" w:rsidR="007332D6" w:rsidRDefault="007332D6" w:rsidP="00214246">
      <w:pPr>
        <w:pStyle w:val="ListParagraph"/>
        <w:ind w:left="450"/>
      </w:pPr>
    </w:p>
    <w:p w14:paraId="7102A6C7" w14:textId="77777777" w:rsidR="007332D6" w:rsidRDefault="007332D6" w:rsidP="00214246">
      <w:pPr>
        <w:pStyle w:val="ListParagraph"/>
        <w:ind w:left="450"/>
      </w:pPr>
    </w:p>
    <w:p w14:paraId="5AF5E27E" w14:textId="77777777" w:rsidR="007332D6" w:rsidRDefault="007332D6" w:rsidP="00214246">
      <w:pPr>
        <w:pStyle w:val="ListParagraph"/>
        <w:ind w:left="450"/>
      </w:pPr>
    </w:p>
    <w:p w14:paraId="3BC3204E" w14:textId="77777777" w:rsidR="007332D6" w:rsidRDefault="007332D6" w:rsidP="00214246">
      <w:pPr>
        <w:pStyle w:val="ListParagraph"/>
        <w:ind w:left="450"/>
      </w:pPr>
    </w:p>
    <w:p w14:paraId="6F3D1553" w14:textId="77777777" w:rsidR="007332D6" w:rsidRDefault="007332D6" w:rsidP="00214246">
      <w:pPr>
        <w:pStyle w:val="ListParagraph"/>
        <w:ind w:left="450"/>
      </w:pPr>
    </w:p>
    <w:p w14:paraId="367E4F25" w14:textId="26AF09F9" w:rsidR="004A254C" w:rsidRDefault="004A254C" w:rsidP="00214246">
      <w:pPr>
        <w:pStyle w:val="ListParagraph"/>
        <w:ind w:left="450"/>
      </w:pPr>
    </w:p>
    <w:p w14:paraId="241E4C88" w14:textId="396AC44A" w:rsidR="004A254C" w:rsidRDefault="004A254C" w:rsidP="00214246">
      <w:pPr>
        <w:pStyle w:val="ListParagraph"/>
        <w:ind w:left="450"/>
      </w:pPr>
    </w:p>
    <w:p w14:paraId="4FF91E47" w14:textId="230B6A01" w:rsidR="004A254C" w:rsidRDefault="004A254C" w:rsidP="00214246">
      <w:pPr>
        <w:pStyle w:val="ListParagraph"/>
        <w:ind w:left="450"/>
      </w:pPr>
    </w:p>
    <w:p w14:paraId="07EE6489" w14:textId="5F9389C6" w:rsidR="004A254C" w:rsidRDefault="004A254C" w:rsidP="00214246">
      <w:pPr>
        <w:pStyle w:val="ListParagraph"/>
        <w:ind w:left="450"/>
      </w:pPr>
    </w:p>
    <w:p w14:paraId="3A195F00" w14:textId="7A5E5651" w:rsidR="004A254C" w:rsidRDefault="004A254C" w:rsidP="00214246">
      <w:pPr>
        <w:pStyle w:val="ListParagraph"/>
        <w:ind w:left="450"/>
      </w:pPr>
    </w:p>
    <w:p w14:paraId="10226108" w14:textId="11F13046" w:rsidR="004A254C" w:rsidRDefault="004A254C" w:rsidP="00214246">
      <w:pPr>
        <w:pStyle w:val="ListParagraph"/>
        <w:ind w:left="450"/>
      </w:pPr>
    </w:p>
    <w:p w14:paraId="6CD5A207" w14:textId="5AB5D403" w:rsidR="004A254C" w:rsidRDefault="004A254C" w:rsidP="00214246">
      <w:pPr>
        <w:pStyle w:val="ListParagraph"/>
        <w:ind w:left="450"/>
      </w:pPr>
    </w:p>
    <w:p w14:paraId="0C935F78" w14:textId="0CC2330C" w:rsidR="004A254C" w:rsidRDefault="004A254C" w:rsidP="00214246">
      <w:pPr>
        <w:pStyle w:val="ListParagraph"/>
        <w:ind w:left="450"/>
      </w:pPr>
    </w:p>
    <w:p w14:paraId="112D0C88" w14:textId="08468797" w:rsidR="004A254C" w:rsidRDefault="004A254C" w:rsidP="00214246">
      <w:pPr>
        <w:pStyle w:val="ListParagraph"/>
        <w:ind w:left="450"/>
      </w:pPr>
    </w:p>
    <w:p w14:paraId="14CC5897" w14:textId="7E6F5D30" w:rsidR="004A254C" w:rsidRDefault="004A254C" w:rsidP="00214246">
      <w:pPr>
        <w:pStyle w:val="ListParagraph"/>
        <w:ind w:left="450"/>
      </w:pPr>
    </w:p>
    <w:p w14:paraId="1156ED75" w14:textId="4EE04E16" w:rsidR="004A254C" w:rsidRDefault="004A254C" w:rsidP="00214246">
      <w:pPr>
        <w:pStyle w:val="ListParagraph"/>
        <w:ind w:left="450"/>
      </w:pPr>
    </w:p>
    <w:p w14:paraId="0E207EC2" w14:textId="0FAB8703" w:rsidR="004A254C" w:rsidRDefault="004A254C" w:rsidP="00214246">
      <w:pPr>
        <w:pStyle w:val="ListParagraph"/>
        <w:ind w:left="450"/>
      </w:pPr>
    </w:p>
    <w:p w14:paraId="426729D9" w14:textId="0ABD46AC" w:rsidR="004A254C" w:rsidRDefault="004A254C" w:rsidP="00214246">
      <w:pPr>
        <w:pStyle w:val="ListParagraph"/>
        <w:ind w:left="450"/>
      </w:pPr>
    </w:p>
    <w:p w14:paraId="1A4CE9FC" w14:textId="13B9368D" w:rsidR="004A254C" w:rsidRDefault="004A254C" w:rsidP="00026438">
      <w:pPr>
        <w:pStyle w:val="ListParagraph"/>
        <w:ind w:left="450"/>
        <w:jc w:val="both"/>
      </w:pPr>
    </w:p>
    <w:p w14:paraId="6BE35D44" w14:textId="77777777" w:rsidR="007332D6" w:rsidRDefault="007332D6" w:rsidP="00026438">
      <w:pPr>
        <w:pStyle w:val="Heading1"/>
        <w:jc w:val="both"/>
        <w:rPr>
          <w:b/>
          <w:bCs/>
          <w:sz w:val="28"/>
          <w:szCs w:val="28"/>
        </w:rPr>
      </w:pPr>
    </w:p>
    <w:p w14:paraId="6AB55F02" w14:textId="0F0C74A3" w:rsidR="004A254C" w:rsidRDefault="004A254C" w:rsidP="00026438">
      <w:pPr>
        <w:pStyle w:val="Heading1"/>
        <w:jc w:val="both"/>
        <w:rPr>
          <w:b/>
          <w:bCs/>
          <w:sz w:val="28"/>
          <w:szCs w:val="28"/>
        </w:rPr>
      </w:pPr>
      <w:bookmarkStart w:id="0" w:name="_Toc149936984"/>
      <w:r w:rsidRPr="004A254C">
        <w:rPr>
          <w:b/>
          <w:bCs/>
          <w:sz w:val="28"/>
          <w:szCs w:val="28"/>
        </w:rPr>
        <w:t>Policy Statement</w:t>
      </w:r>
      <w:bookmarkEnd w:id="0"/>
    </w:p>
    <w:p w14:paraId="36EEFDED" w14:textId="6AB7610F" w:rsidR="005B45BB" w:rsidRPr="00B870C1" w:rsidRDefault="0042221C">
      <w:pPr>
        <w:pStyle w:val="ListParagraph"/>
        <w:numPr>
          <w:ilvl w:val="0"/>
          <w:numId w:val="3"/>
        </w:numPr>
        <w:jc w:val="both"/>
        <w:rPr>
          <w:rFonts w:ascii="Arial" w:hAnsi="Arial" w:cs="Arial"/>
          <w:b/>
          <w:bCs/>
          <w:color w:val="AEAAAA" w:themeColor="background2" w:themeShade="BF"/>
          <w:sz w:val="28"/>
          <w:szCs w:val="24"/>
        </w:rPr>
      </w:pPr>
      <w:r w:rsidRPr="0042221C">
        <w:rPr>
          <w:rFonts w:ascii="Arial" w:hAnsi="Arial" w:cs="Arial"/>
          <w:sz w:val="24"/>
          <w:szCs w:val="24"/>
        </w:rPr>
        <w:t>the significance of safeguarding critical data, systems, and networks from potential threats and vulnerabilities.</w:t>
      </w:r>
    </w:p>
    <w:p w14:paraId="3C38CA66" w14:textId="3A739B65" w:rsidR="005B45BB" w:rsidRDefault="007332D6" w:rsidP="00026438">
      <w:pPr>
        <w:pStyle w:val="Heading2"/>
        <w:jc w:val="both"/>
        <w:rPr>
          <w:b/>
          <w:bCs/>
          <w:color w:val="767171" w:themeColor="background2" w:themeShade="80"/>
          <w:sz w:val="28"/>
          <w:szCs w:val="28"/>
        </w:rPr>
      </w:pPr>
      <w:r w:rsidRPr="007332D6">
        <w:rPr>
          <w:b/>
          <w:bCs/>
          <w:color w:val="767171" w:themeColor="background2" w:themeShade="80"/>
          <w:sz w:val="28"/>
          <w:szCs w:val="28"/>
        </w:rPr>
        <w:t xml:space="preserve"> </w:t>
      </w:r>
      <w:bookmarkStart w:id="1" w:name="_Toc149936985"/>
      <w:r w:rsidR="0042221C" w:rsidRPr="0042221C">
        <w:rPr>
          <w:b/>
          <w:bCs/>
          <w:color w:val="767171" w:themeColor="background2" w:themeShade="80"/>
          <w:sz w:val="28"/>
          <w:szCs w:val="28"/>
        </w:rPr>
        <w:t>Information Security Risk Management Policy</w:t>
      </w:r>
      <w:bookmarkEnd w:id="1"/>
    </w:p>
    <w:p w14:paraId="2FE06DA3" w14:textId="60B94E29" w:rsidR="007332D6" w:rsidRDefault="008E5E01">
      <w:pPr>
        <w:pStyle w:val="ListParagraph"/>
        <w:numPr>
          <w:ilvl w:val="0"/>
          <w:numId w:val="4"/>
        </w:numPr>
        <w:jc w:val="both"/>
      </w:pPr>
      <w:r w:rsidRPr="008E5E01">
        <w:rPr>
          <w:sz w:val="24"/>
          <w:szCs w:val="24"/>
        </w:rPr>
        <w:t>By emphasizing "risk management" in the policy title, the organization demonstrates a proactive stance in identifying</w:t>
      </w:r>
      <w:r w:rsidRPr="008E5E01">
        <w:rPr>
          <w:b/>
          <w:bCs/>
          <w:sz w:val="24"/>
          <w:szCs w:val="24"/>
        </w:rPr>
        <w:t>, evaluating, and mitigating security risks</w:t>
      </w:r>
      <w:r w:rsidRPr="008E5E01">
        <w:rPr>
          <w:sz w:val="24"/>
          <w:szCs w:val="24"/>
        </w:rPr>
        <w:t xml:space="preserve">. This </w:t>
      </w:r>
      <w:r w:rsidRPr="008E5E01">
        <w:rPr>
          <w:b/>
          <w:bCs/>
          <w:sz w:val="24"/>
          <w:szCs w:val="24"/>
        </w:rPr>
        <w:t>highlights the organization's dedication to ongoing assessment and management</w:t>
      </w:r>
      <w:r w:rsidRPr="008E5E01">
        <w:rPr>
          <w:sz w:val="24"/>
          <w:szCs w:val="24"/>
        </w:rPr>
        <w:t xml:space="preserve"> of the dynamic security landscape, showcasing a strategic and comprehensive approach. The focus on risk management promotes a culture of vigilance and preparedness, encouraging a collective commitment to addressing potential security threats effectively within the organization.</w:t>
      </w:r>
    </w:p>
    <w:p w14:paraId="5F6ADEC2" w14:textId="0C2E06B7" w:rsidR="00A04E92" w:rsidRDefault="00A04E92" w:rsidP="00026438">
      <w:pPr>
        <w:pStyle w:val="Heading1"/>
        <w:jc w:val="both"/>
        <w:rPr>
          <w:b/>
          <w:bCs/>
          <w:sz w:val="28"/>
          <w:szCs w:val="28"/>
        </w:rPr>
      </w:pPr>
      <w:bookmarkStart w:id="2" w:name="_Toc149936986"/>
      <w:r w:rsidRPr="00A04E92">
        <w:rPr>
          <w:b/>
          <w:bCs/>
          <w:sz w:val="28"/>
          <w:szCs w:val="28"/>
        </w:rPr>
        <w:t>Owner of the policy</w:t>
      </w:r>
      <w:bookmarkEnd w:id="2"/>
    </w:p>
    <w:p w14:paraId="5CA66F6E" w14:textId="6DE73DEC" w:rsidR="007332D6" w:rsidRDefault="007332D6">
      <w:pPr>
        <w:pStyle w:val="ListParagraph"/>
        <w:numPr>
          <w:ilvl w:val="0"/>
          <w:numId w:val="1"/>
        </w:numPr>
        <w:jc w:val="both"/>
        <w:rPr>
          <w:rFonts w:ascii="Arial" w:hAnsi="Arial" w:cs="Arial"/>
          <w:b/>
          <w:bCs/>
          <w:sz w:val="24"/>
        </w:rPr>
      </w:pPr>
      <w:r w:rsidRPr="007332D6">
        <w:rPr>
          <w:rFonts w:ascii="Arial" w:hAnsi="Arial" w:cs="Arial"/>
          <w:sz w:val="24"/>
        </w:rPr>
        <w:t xml:space="preserve">Chief Information Security Officer </w:t>
      </w:r>
      <w:r w:rsidRPr="007332D6">
        <w:rPr>
          <w:rFonts w:ascii="Arial" w:hAnsi="Arial" w:cs="Arial"/>
          <w:b/>
          <w:bCs/>
          <w:sz w:val="24"/>
        </w:rPr>
        <w:t>(CISO)</w:t>
      </w:r>
    </w:p>
    <w:p w14:paraId="5AE8E564" w14:textId="6EB0BC3B" w:rsidR="007332D6" w:rsidRPr="00816146" w:rsidRDefault="00816146">
      <w:pPr>
        <w:pStyle w:val="ListParagraph"/>
        <w:numPr>
          <w:ilvl w:val="0"/>
          <w:numId w:val="5"/>
        </w:numPr>
        <w:rPr>
          <w:rFonts w:ascii="Arial" w:hAnsi="Arial" w:cs="Arial"/>
          <w:sz w:val="24"/>
        </w:rPr>
      </w:pPr>
      <w:r w:rsidRPr="00816146">
        <w:rPr>
          <w:rFonts w:ascii="Arial" w:hAnsi="Arial" w:cs="Arial"/>
          <w:sz w:val="24"/>
        </w:rPr>
        <w:t xml:space="preserve">The CISO's responsibilities extend beyond mere policy enforcement; they are also entrusted with the </w:t>
      </w:r>
      <w:r w:rsidRPr="00816146">
        <w:rPr>
          <w:rFonts w:ascii="Arial" w:hAnsi="Arial" w:cs="Arial"/>
          <w:b/>
          <w:bCs/>
          <w:sz w:val="24"/>
        </w:rPr>
        <w:t>critical task of ensuring that the organization's security posture remains robust and adaptive to the constantly evolving threat landscape.</w:t>
      </w:r>
      <w:r w:rsidRPr="00816146">
        <w:rPr>
          <w:rFonts w:ascii="Arial" w:hAnsi="Arial" w:cs="Arial"/>
          <w:sz w:val="24"/>
        </w:rPr>
        <w:t xml:space="preserve"> Their seniority within the organizational hierarchy grants them the authority necessary to allocate resources, implement security protocols, and enforce compliance across all departments effectively. Moreover, the CISO's direct access to the executive leadership team facilitates seamless communication and alignment of security objectives with the organization's overarching strategic goals and vision.</w:t>
      </w:r>
    </w:p>
    <w:p w14:paraId="5CC45CAE" w14:textId="7C1E2A96" w:rsidR="00A04E92" w:rsidRPr="007332D6" w:rsidRDefault="007332D6" w:rsidP="00026438">
      <w:pPr>
        <w:pStyle w:val="Heading1"/>
        <w:jc w:val="both"/>
        <w:rPr>
          <w:rFonts w:cstheme="majorHAnsi"/>
          <w:b/>
          <w:bCs/>
        </w:rPr>
      </w:pPr>
      <w:bookmarkStart w:id="3" w:name="_Toc149936987"/>
      <w:r w:rsidRPr="007332D6">
        <w:rPr>
          <w:rFonts w:cstheme="majorHAnsi"/>
          <w:b/>
          <w:bCs/>
          <w:sz w:val="28"/>
          <w:szCs w:val="24"/>
        </w:rPr>
        <w:t>External Resources Justifying the Policy</w:t>
      </w:r>
      <w:bookmarkEnd w:id="3"/>
    </w:p>
    <w:p w14:paraId="1E1FFB18" w14:textId="0A2E349A" w:rsidR="002A60FF" w:rsidRDefault="00816146">
      <w:pPr>
        <w:pStyle w:val="ListParagraph"/>
        <w:numPr>
          <w:ilvl w:val="0"/>
          <w:numId w:val="6"/>
        </w:numPr>
        <w:jc w:val="both"/>
        <w:rPr>
          <w:sz w:val="24"/>
          <w:szCs w:val="24"/>
        </w:rPr>
      </w:pPr>
      <w:r w:rsidRPr="00816146">
        <w:rPr>
          <w:sz w:val="24"/>
          <w:szCs w:val="24"/>
        </w:rPr>
        <w:t xml:space="preserve">ISO 27001 is an internationally recognized standard for Information Security Management Systems (ISMS), emphasizing a systematic approach to managing </w:t>
      </w:r>
      <w:r w:rsidRPr="00B870C1">
        <w:rPr>
          <w:b/>
          <w:bCs/>
          <w:sz w:val="24"/>
          <w:szCs w:val="24"/>
        </w:rPr>
        <w:t>sensitive information</w:t>
      </w:r>
      <w:r w:rsidRPr="00816146">
        <w:rPr>
          <w:sz w:val="24"/>
          <w:szCs w:val="24"/>
        </w:rPr>
        <w:t>.</w:t>
      </w:r>
    </w:p>
    <w:p w14:paraId="33A113CB" w14:textId="15218738" w:rsidR="00816146" w:rsidRDefault="00816146">
      <w:pPr>
        <w:pStyle w:val="ListParagraph"/>
        <w:numPr>
          <w:ilvl w:val="0"/>
          <w:numId w:val="6"/>
        </w:numPr>
        <w:jc w:val="both"/>
        <w:rPr>
          <w:sz w:val="24"/>
          <w:szCs w:val="24"/>
        </w:rPr>
      </w:pPr>
      <w:r w:rsidRPr="00816146">
        <w:rPr>
          <w:sz w:val="24"/>
          <w:szCs w:val="24"/>
        </w:rPr>
        <w:t xml:space="preserve">Compliance with ISO 27001 demonstrates the organization's commitment to maintaining the </w:t>
      </w:r>
      <w:r w:rsidRPr="00B870C1">
        <w:rPr>
          <w:b/>
          <w:bCs/>
          <w:sz w:val="24"/>
          <w:szCs w:val="24"/>
        </w:rPr>
        <w:t>confidentiality</w:t>
      </w:r>
      <w:r w:rsidRPr="00816146">
        <w:rPr>
          <w:sz w:val="24"/>
          <w:szCs w:val="24"/>
        </w:rPr>
        <w:t xml:space="preserve">, </w:t>
      </w:r>
      <w:r w:rsidRPr="00B870C1">
        <w:rPr>
          <w:b/>
          <w:bCs/>
          <w:sz w:val="24"/>
          <w:szCs w:val="24"/>
        </w:rPr>
        <w:t>integrity</w:t>
      </w:r>
      <w:r w:rsidRPr="00816146">
        <w:rPr>
          <w:sz w:val="24"/>
          <w:szCs w:val="24"/>
        </w:rPr>
        <w:t xml:space="preserve">, and </w:t>
      </w:r>
      <w:r w:rsidRPr="00B870C1">
        <w:rPr>
          <w:b/>
          <w:bCs/>
          <w:sz w:val="24"/>
          <w:szCs w:val="24"/>
        </w:rPr>
        <w:t>availability</w:t>
      </w:r>
      <w:r w:rsidRPr="00816146">
        <w:rPr>
          <w:sz w:val="24"/>
          <w:szCs w:val="24"/>
        </w:rPr>
        <w:t xml:space="preserve"> of data through comprehensive risk assessment and security control implementation.</w:t>
      </w:r>
    </w:p>
    <w:p w14:paraId="25405853" w14:textId="3DBECE8F" w:rsidR="00816146" w:rsidRDefault="00816146">
      <w:pPr>
        <w:pStyle w:val="ListParagraph"/>
        <w:numPr>
          <w:ilvl w:val="0"/>
          <w:numId w:val="6"/>
        </w:numPr>
        <w:jc w:val="both"/>
        <w:rPr>
          <w:sz w:val="24"/>
          <w:szCs w:val="24"/>
        </w:rPr>
      </w:pPr>
      <w:r w:rsidRPr="00816146">
        <w:rPr>
          <w:sz w:val="24"/>
          <w:szCs w:val="24"/>
        </w:rPr>
        <w:t xml:space="preserve">GDPR (General Data Protection Regulation) is a stringent data protection regulation that emphasizes the protection of personal data and privacy rights for individuals </w:t>
      </w:r>
      <w:r w:rsidRPr="00B870C1">
        <w:rPr>
          <w:b/>
          <w:bCs/>
          <w:sz w:val="24"/>
          <w:szCs w:val="24"/>
        </w:rPr>
        <w:t>within the European Union and the European Economic Area</w:t>
      </w:r>
      <w:r w:rsidRPr="00816146">
        <w:rPr>
          <w:sz w:val="24"/>
          <w:szCs w:val="24"/>
        </w:rPr>
        <w:t>.</w:t>
      </w:r>
    </w:p>
    <w:p w14:paraId="150962D9" w14:textId="77777777" w:rsidR="00B870C1" w:rsidRPr="00B870C1" w:rsidRDefault="00B870C1" w:rsidP="00B870C1">
      <w:pPr>
        <w:jc w:val="both"/>
        <w:rPr>
          <w:sz w:val="24"/>
          <w:szCs w:val="24"/>
        </w:rPr>
      </w:pPr>
    </w:p>
    <w:p w14:paraId="0B0B62F1" w14:textId="155E6F57" w:rsidR="002A60FF" w:rsidRDefault="007332D6" w:rsidP="00026438">
      <w:pPr>
        <w:pStyle w:val="Heading1"/>
        <w:jc w:val="both"/>
        <w:rPr>
          <w:b/>
          <w:bCs/>
          <w:sz w:val="28"/>
          <w:szCs w:val="28"/>
        </w:rPr>
      </w:pPr>
      <w:bookmarkStart w:id="4" w:name="_Toc149936988"/>
      <w:r w:rsidRPr="007332D6">
        <w:rPr>
          <w:b/>
          <w:bCs/>
          <w:sz w:val="28"/>
          <w:szCs w:val="28"/>
        </w:rPr>
        <w:t>Affirmative Procedure for Compliance</w:t>
      </w:r>
      <w:bookmarkEnd w:id="4"/>
    </w:p>
    <w:p w14:paraId="6C2C6F83" w14:textId="2FA69238" w:rsidR="008E2F91" w:rsidRDefault="00207C9C">
      <w:pPr>
        <w:pStyle w:val="ListParagraph"/>
        <w:numPr>
          <w:ilvl w:val="0"/>
          <w:numId w:val="7"/>
        </w:numPr>
        <w:jc w:val="both"/>
        <w:rPr>
          <w:sz w:val="24"/>
          <w:szCs w:val="24"/>
        </w:rPr>
      </w:pPr>
      <w:r w:rsidRPr="00207C9C">
        <w:rPr>
          <w:sz w:val="24"/>
          <w:szCs w:val="24"/>
        </w:rPr>
        <w:t xml:space="preserve">Mandatory </w:t>
      </w:r>
      <w:r w:rsidRPr="00207C9C">
        <w:rPr>
          <w:b/>
          <w:bCs/>
          <w:sz w:val="24"/>
          <w:szCs w:val="24"/>
        </w:rPr>
        <w:t>annual</w:t>
      </w:r>
      <w:r w:rsidRPr="00207C9C">
        <w:rPr>
          <w:sz w:val="24"/>
          <w:szCs w:val="24"/>
        </w:rPr>
        <w:t xml:space="preserve"> security </w:t>
      </w:r>
      <w:r w:rsidRPr="00207C9C">
        <w:rPr>
          <w:b/>
          <w:bCs/>
          <w:sz w:val="24"/>
          <w:szCs w:val="24"/>
        </w:rPr>
        <w:t>awareness training</w:t>
      </w:r>
      <w:r w:rsidRPr="00207C9C">
        <w:rPr>
          <w:sz w:val="24"/>
          <w:szCs w:val="24"/>
        </w:rPr>
        <w:t xml:space="preserve"> ensures that employees understand their roles in </w:t>
      </w:r>
      <w:r w:rsidRPr="00207C9C">
        <w:rPr>
          <w:b/>
          <w:bCs/>
          <w:sz w:val="24"/>
          <w:szCs w:val="24"/>
        </w:rPr>
        <w:t>maintaining</w:t>
      </w:r>
      <w:r w:rsidRPr="00207C9C">
        <w:rPr>
          <w:sz w:val="24"/>
          <w:szCs w:val="24"/>
        </w:rPr>
        <w:t xml:space="preserve"> the organization's security posture.</w:t>
      </w:r>
    </w:p>
    <w:p w14:paraId="247ED1E0" w14:textId="69AC4148" w:rsidR="00207C9C" w:rsidRDefault="00207C9C">
      <w:pPr>
        <w:pStyle w:val="ListParagraph"/>
        <w:numPr>
          <w:ilvl w:val="0"/>
          <w:numId w:val="7"/>
        </w:numPr>
        <w:jc w:val="both"/>
        <w:rPr>
          <w:sz w:val="24"/>
          <w:szCs w:val="24"/>
        </w:rPr>
      </w:pPr>
      <w:r w:rsidRPr="00207C9C">
        <w:rPr>
          <w:sz w:val="24"/>
          <w:szCs w:val="24"/>
        </w:rPr>
        <w:t xml:space="preserve">Security awareness training equips employees with the </w:t>
      </w:r>
      <w:r w:rsidRPr="00207C9C">
        <w:rPr>
          <w:b/>
          <w:bCs/>
          <w:sz w:val="24"/>
          <w:szCs w:val="24"/>
        </w:rPr>
        <w:t>knowledge</w:t>
      </w:r>
      <w:r w:rsidRPr="00207C9C">
        <w:rPr>
          <w:sz w:val="24"/>
          <w:szCs w:val="24"/>
        </w:rPr>
        <w:t xml:space="preserve"> and </w:t>
      </w:r>
      <w:r w:rsidRPr="00207C9C">
        <w:rPr>
          <w:b/>
          <w:bCs/>
          <w:sz w:val="24"/>
          <w:szCs w:val="24"/>
        </w:rPr>
        <w:t>skills</w:t>
      </w:r>
      <w:r w:rsidRPr="00207C9C">
        <w:rPr>
          <w:sz w:val="24"/>
          <w:szCs w:val="24"/>
        </w:rPr>
        <w:t xml:space="preserve"> necessary to </w:t>
      </w:r>
      <w:r w:rsidRPr="00207C9C">
        <w:rPr>
          <w:b/>
          <w:bCs/>
          <w:sz w:val="24"/>
          <w:szCs w:val="24"/>
        </w:rPr>
        <w:t>recognize</w:t>
      </w:r>
      <w:r w:rsidRPr="00207C9C">
        <w:rPr>
          <w:sz w:val="24"/>
          <w:szCs w:val="24"/>
        </w:rPr>
        <w:t xml:space="preserve"> and </w:t>
      </w:r>
      <w:r w:rsidRPr="00207C9C">
        <w:rPr>
          <w:b/>
          <w:bCs/>
          <w:sz w:val="24"/>
          <w:szCs w:val="24"/>
        </w:rPr>
        <w:t>respond</w:t>
      </w:r>
      <w:r w:rsidRPr="00207C9C">
        <w:rPr>
          <w:sz w:val="24"/>
          <w:szCs w:val="24"/>
        </w:rPr>
        <w:t xml:space="preserve"> to various security threats, minimizing the likelihood of successful security breaches resulting from human error or negligence.</w:t>
      </w:r>
    </w:p>
    <w:p w14:paraId="1A3CB108" w14:textId="7889704F" w:rsidR="00207C9C" w:rsidRDefault="00207C9C">
      <w:pPr>
        <w:pStyle w:val="ListParagraph"/>
        <w:numPr>
          <w:ilvl w:val="0"/>
          <w:numId w:val="7"/>
        </w:numPr>
        <w:jc w:val="both"/>
        <w:rPr>
          <w:sz w:val="24"/>
          <w:szCs w:val="24"/>
        </w:rPr>
      </w:pPr>
      <w:r w:rsidRPr="00207C9C">
        <w:rPr>
          <w:sz w:val="24"/>
          <w:szCs w:val="24"/>
        </w:rPr>
        <w:t xml:space="preserve">Conducting vulnerability assessments at defined intervals allows the organization to </w:t>
      </w:r>
      <w:r w:rsidRPr="00207C9C">
        <w:rPr>
          <w:b/>
          <w:bCs/>
          <w:sz w:val="24"/>
          <w:szCs w:val="24"/>
        </w:rPr>
        <w:t>proactively detect and address any existing or emerging vulnerabilities</w:t>
      </w:r>
      <w:r w:rsidRPr="00207C9C">
        <w:rPr>
          <w:sz w:val="24"/>
          <w:szCs w:val="24"/>
        </w:rPr>
        <w:t>, reducing the likelihood of exploitation by malicious actors.</w:t>
      </w:r>
    </w:p>
    <w:p w14:paraId="64C43F57" w14:textId="35BD6248" w:rsidR="008E2F91" w:rsidRDefault="008E2F91" w:rsidP="003F4994">
      <w:pPr>
        <w:pStyle w:val="Heading1"/>
        <w:jc w:val="both"/>
        <w:rPr>
          <w:b/>
          <w:bCs/>
          <w:sz w:val="28"/>
          <w:szCs w:val="28"/>
        </w:rPr>
      </w:pPr>
      <w:bookmarkStart w:id="5" w:name="_Toc149936989"/>
      <w:r w:rsidRPr="008E2F91">
        <w:rPr>
          <w:b/>
          <w:bCs/>
          <w:sz w:val="28"/>
          <w:szCs w:val="28"/>
        </w:rPr>
        <w:t>Frequency of Compliance Audits</w:t>
      </w:r>
      <w:bookmarkEnd w:id="5"/>
    </w:p>
    <w:p w14:paraId="375AC335" w14:textId="77777777" w:rsidR="00207C9C" w:rsidRDefault="00207C9C">
      <w:pPr>
        <w:pStyle w:val="ListParagraph"/>
        <w:numPr>
          <w:ilvl w:val="0"/>
          <w:numId w:val="2"/>
        </w:numPr>
        <w:jc w:val="both"/>
        <w:rPr>
          <w:rFonts w:ascii="Arial" w:hAnsi="Arial" w:cs="Arial"/>
          <w:sz w:val="24"/>
        </w:rPr>
      </w:pPr>
      <w:r w:rsidRPr="003F4994">
        <w:rPr>
          <w:rFonts w:ascii="Arial" w:hAnsi="Arial" w:cs="Arial"/>
          <w:b/>
          <w:bCs/>
          <w:sz w:val="24"/>
        </w:rPr>
        <w:t>Annual</w:t>
      </w:r>
      <w:r w:rsidRPr="00207C9C">
        <w:rPr>
          <w:rFonts w:ascii="Arial" w:hAnsi="Arial" w:cs="Arial"/>
          <w:sz w:val="24"/>
        </w:rPr>
        <w:t xml:space="preserve"> audits are scheduled to ensure a </w:t>
      </w:r>
      <w:r w:rsidRPr="003F4994">
        <w:rPr>
          <w:rFonts w:ascii="Arial" w:hAnsi="Arial" w:cs="Arial"/>
          <w:b/>
          <w:bCs/>
          <w:sz w:val="24"/>
        </w:rPr>
        <w:t>regular and systematic review</w:t>
      </w:r>
      <w:r w:rsidRPr="00207C9C">
        <w:rPr>
          <w:rFonts w:ascii="Arial" w:hAnsi="Arial" w:cs="Arial"/>
          <w:sz w:val="24"/>
        </w:rPr>
        <w:t xml:space="preserve"> of the organization's adherence to the Information Security Risk Management Policy.</w:t>
      </w:r>
    </w:p>
    <w:p w14:paraId="1EE1C675" w14:textId="77777777" w:rsidR="003F4994" w:rsidRDefault="003F4994" w:rsidP="003F4994">
      <w:pPr>
        <w:pStyle w:val="ListParagraph"/>
        <w:jc w:val="both"/>
        <w:rPr>
          <w:rFonts w:ascii="Arial" w:hAnsi="Arial" w:cs="Arial"/>
          <w:sz w:val="24"/>
        </w:rPr>
      </w:pPr>
    </w:p>
    <w:p w14:paraId="5FB32072" w14:textId="77777777" w:rsidR="003F4994" w:rsidRPr="003F4994" w:rsidRDefault="003F4994">
      <w:pPr>
        <w:pStyle w:val="ListParagraph"/>
        <w:numPr>
          <w:ilvl w:val="0"/>
          <w:numId w:val="2"/>
        </w:numPr>
        <w:jc w:val="both"/>
        <w:rPr>
          <w:rFonts w:ascii="Arial" w:hAnsi="Arial" w:cs="Arial"/>
          <w:sz w:val="24"/>
        </w:rPr>
      </w:pPr>
      <w:r w:rsidRPr="003F4994">
        <w:rPr>
          <w:rFonts w:ascii="Arial" w:hAnsi="Arial" w:cs="Arial"/>
          <w:sz w:val="24"/>
        </w:rPr>
        <w:t xml:space="preserve">Conducting audits annually allows for a </w:t>
      </w:r>
      <w:r w:rsidRPr="003F4994">
        <w:rPr>
          <w:rFonts w:ascii="Arial" w:hAnsi="Arial" w:cs="Arial"/>
          <w:b/>
          <w:bCs/>
          <w:sz w:val="24"/>
        </w:rPr>
        <w:t>comprehensive evaluation of the organization's overall security</w:t>
      </w:r>
      <w:r w:rsidRPr="003F4994">
        <w:rPr>
          <w:rFonts w:ascii="Arial" w:hAnsi="Arial" w:cs="Arial"/>
          <w:sz w:val="24"/>
        </w:rPr>
        <w:t xml:space="preserve"> posture and the effectiveness of security controls.</w:t>
      </w:r>
    </w:p>
    <w:p w14:paraId="75F0983E" w14:textId="77777777" w:rsidR="003F4994" w:rsidRPr="003F4994" w:rsidRDefault="003F4994" w:rsidP="003F4994">
      <w:pPr>
        <w:pStyle w:val="ListParagraph"/>
        <w:jc w:val="both"/>
        <w:rPr>
          <w:rFonts w:ascii="Arial" w:hAnsi="Arial" w:cs="Arial"/>
          <w:sz w:val="24"/>
        </w:rPr>
      </w:pPr>
    </w:p>
    <w:p w14:paraId="1E4F56DE" w14:textId="5FDAA478" w:rsidR="008E2F91" w:rsidRDefault="003F4994">
      <w:pPr>
        <w:pStyle w:val="ListParagraph"/>
        <w:numPr>
          <w:ilvl w:val="0"/>
          <w:numId w:val="2"/>
        </w:numPr>
        <w:jc w:val="both"/>
        <w:rPr>
          <w:sz w:val="24"/>
          <w:szCs w:val="24"/>
        </w:rPr>
      </w:pPr>
      <w:r w:rsidRPr="003F4994">
        <w:rPr>
          <w:rFonts w:ascii="Arial" w:hAnsi="Arial" w:cs="Arial"/>
          <w:sz w:val="24"/>
        </w:rPr>
        <w:t xml:space="preserve">The choice of annual </w:t>
      </w:r>
      <w:r w:rsidRPr="003F4994">
        <w:rPr>
          <w:rFonts w:ascii="Arial" w:hAnsi="Arial" w:cs="Arial"/>
          <w:b/>
          <w:bCs/>
          <w:sz w:val="24"/>
        </w:rPr>
        <w:t>audits reflects the organization's commitment to maintaining a robust and effective information security framework</w:t>
      </w:r>
      <w:r w:rsidRPr="003F4994">
        <w:rPr>
          <w:rFonts w:ascii="Arial" w:hAnsi="Arial" w:cs="Arial"/>
          <w:sz w:val="24"/>
        </w:rPr>
        <w:t>, fostering continuous improvement and resilience against potential security risks.</w:t>
      </w:r>
    </w:p>
    <w:p w14:paraId="4E05B303" w14:textId="77777777" w:rsidR="003F4994" w:rsidRPr="003F4994" w:rsidRDefault="003F4994" w:rsidP="0037734A">
      <w:pPr>
        <w:pStyle w:val="Heading1"/>
        <w:jc w:val="both"/>
        <w:rPr>
          <w:rFonts w:ascii="Arial" w:hAnsi="Arial" w:cs="Arial"/>
          <w:sz w:val="28"/>
          <w:szCs w:val="36"/>
        </w:rPr>
      </w:pPr>
      <w:bookmarkStart w:id="6" w:name="_Toc149936990"/>
      <w:r w:rsidRPr="003F4994">
        <w:rPr>
          <w:rFonts w:ascii="Arial" w:hAnsi="Arial" w:cs="Arial"/>
          <w:sz w:val="28"/>
          <w:szCs w:val="36"/>
        </w:rPr>
        <w:t>Metric for Compliance</w:t>
      </w:r>
      <w:bookmarkEnd w:id="6"/>
    </w:p>
    <w:p w14:paraId="4192CF66" w14:textId="69E9BC69" w:rsidR="003F4994" w:rsidRDefault="003F4994">
      <w:pPr>
        <w:pStyle w:val="ListParagraph"/>
        <w:numPr>
          <w:ilvl w:val="0"/>
          <w:numId w:val="8"/>
        </w:numPr>
        <w:jc w:val="both"/>
        <w:rPr>
          <w:sz w:val="24"/>
          <w:szCs w:val="24"/>
        </w:rPr>
      </w:pPr>
      <w:r w:rsidRPr="003F4994">
        <w:rPr>
          <w:sz w:val="24"/>
          <w:szCs w:val="24"/>
        </w:rPr>
        <w:t xml:space="preserve">Tracking the </w:t>
      </w:r>
      <w:r w:rsidRPr="003F4994">
        <w:rPr>
          <w:b/>
          <w:bCs/>
          <w:sz w:val="24"/>
          <w:szCs w:val="24"/>
        </w:rPr>
        <w:t>percentage of completed security awareness training</w:t>
      </w:r>
      <w:r w:rsidRPr="003F4994">
        <w:rPr>
          <w:sz w:val="24"/>
          <w:szCs w:val="24"/>
        </w:rPr>
        <w:t xml:space="preserve"> provides a quantitative measure of the organization's efforts to </w:t>
      </w:r>
      <w:r w:rsidRPr="003F4994">
        <w:rPr>
          <w:b/>
          <w:bCs/>
          <w:sz w:val="24"/>
          <w:szCs w:val="24"/>
        </w:rPr>
        <w:t>educate and empower employees</w:t>
      </w:r>
      <w:r w:rsidRPr="003F4994">
        <w:rPr>
          <w:sz w:val="24"/>
          <w:szCs w:val="24"/>
        </w:rPr>
        <w:t xml:space="preserve"> in understanding and adhering to security protocols and best practices.</w:t>
      </w:r>
    </w:p>
    <w:p w14:paraId="022673FA" w14:textId="4108C4B2" w:rsidR="0037734A" w:rsidRDefault="0037734A">
      <w:pPr>
        <w:pStyle w:val="ListParagraph"/>
        <w:numPr>
          <w:ilvl w:val="0"/>
          <w:numId w:val="9"/>
        </w:numPr>
        <w:jc w:val="both"/>
        <w:rPr>
          <w:sz w:val="24"/>
          <w:szCs w:val="24"/>
        </w:rPr>
      </w:pPr>
      <w:r w:rsidRPr="0037734A">
        <w:rPr>
          <w:sz w:val="24"/>
          <w:szCs w:val="24"/>
        </w:rPr>
        <w:t xml:space="preserve">Analyzing the percentage of completed security awareness training helps in identifying </w:t>
      </w:r>
      <w:r w:rsidRPr="0037734A">
        <w:rPr>
          <w:b/>
          <w:bCs/>
          <w:sz w:val="24"/>
          <w:szCs w:val="24"/>
        </w:rPr>
        <w:t>any gaps or areas where additional training or resources may</w:t>
      </w:r>
      <w:r w:rsidRPr="0037734A">
        <w:rPr>
          <w:sz w:val="24"/>
          <w:szCs w:val="24"/>
        </w:rPr>
        <w:t xml:space="preserve"> be </w:t>
      </w:r>
      <w:r w:rsidRPr="0037734A">
        <w:rPr>
          <w:b/>
          <w:bCs/>
          <w:sz w:val="24"/>
          <w:szCs w:val="24"/>
        </w:rPr>
        <w:t>needed</w:t>
      </w:r>
      <w:r w:rsidRPr="0037734A">
        <w:rPr>
          <w:sz w:val="24"/>
          <w:szCs w:val="24"/>
        </w:rPr>
        <w:t>, facilitating targeted improvements in the overall security awareness program.</w:t>
      </w:r>
    </w:p>
    <w:p w14:paraId="2898EFAA" w14:textId="0FA48E1E" w:rsidR="0037734A" w:rsidRDefault="0037734A">
      <w:pPr>
        <w:pStyle w:val="ListParagraph"/>
        <w:numPr>
          <w:ilvl w:val="0"/>
          <w:numId w:val="8"/>
        </w:numPr>
        <w:jc w:val="both"/>
        <w:rPr>
          <w:sz w:val="24"/>
          <w:szCs w:val="24"/>
        </w:rPr>
      </w:pPr>
      <w:r w:rsidRPr="0037734A">
        <w:rPr>
          <w:sz w:val="24"/>
          <w:szCs w:val="24"/>
        </w:rPr>
        <w:t xml:space="preserve">Analyzing these metrics over time facilitates the </w:t>
      </w:r>
      <w:r w:rsidRPr="0037734A">
        <w:rPr>
          <w:b/>
          <w:bCs/>
          <w:sz w:val="24"/>
          <w:szCs w:val="24"/>
        </w:rPr>
        <w:t>identification of trends and patterns</w:t>
      </w:r>
      <w:r w:rsidRPr="0037734A">
        <w:rPr>
          <w:sz w:val="24"/>
          <w:szCs w:val="24"/>
        </w:rPr>
        <w:t xml:space="preserve">, allowing the organization to continuously refine its security awareness program and </w:t>
      </w:r>
      <w:r w:rsidRPr="0037734A">
        <w:rPr>
          <w:b/>
          <w:bCs/>
          <w:sz w:val="24"/>
          <w:szCs w:val="24"/>
        </w:rPr>
        <w:t>vulnerability management</w:t>
      </w:r>
      <w:r w:rsidRPr="0037734A">
        <w:rPr>
          <w:sz w:val="24"/>
          <w:szCs w:val="24"/>
        </w:rPr>
        <w:t xml:space="preserve"> processes to adapt to evolving security challenges and emerging threat landscapes.</w:t>
      </w:r>
    </w:p>
    <w:p w14:paraId="67780273" w14:textId="77777777" w:rsidR="0037734A" w:rsidRDefault="0037734A" w:rsidP="0037734A">
      <w:pPr>
        <w:pStyle w:val="ListParagraph"/>
        <w:jc w:val="both"/>
        <w:rPr>
          <w:sz w:val="24"/>
          <w:szCs w:val="24"/>
        </w:rPr>
      </w:pPr>
    </w:p>
    <w:p w14:paraId="44F72320" w14:textId="77777777" w:rsidR="0037734A" w:rsidRDefault="0037734A" w:rsidP="0037734A">
      <w:pPr>
        <w:pStyle w:val="ListParagraph"/>
        <w:rPr>
          <w:sz w:val="24"/>
          <w:szCs w:val="24"/>
        </w:rPr>
      </w:pPr>
    </w:p>
    <w:p w14:paraId="6D440DBF" w14:textId="77777777" w:rsidR="0037734A" w:rsidRDefault="0037734A" w:rsidP="0037734A">
      <w:pPr>
        <w:pStyle w:val="ListParagraph"/>
        <w:rPr>
          <w:sz w:val="24"/>
          <w:szCs w:val="24"/>
        </w:rPr>
      </w:pPr>
    </w:p>
    <w:p w14:paraId="05E14EB6" w14:textId="77777777" w:rsidR="0037734A" w:rsidRDefault="0037734A" w:rsidP="0037734A">
      <w:pPr>
        <w:pStyle w:val="ListParagraph"/>
        <w:rPr>
          <w:sz w:val="24"/>
          <w:szCs w:val="24"/>
        </w:rPr>
      </w:pPr>
    </w:p>
    <w:p w14:paraId="77025EA3" w14:textId="77777777" w:rsidR="0037734A" w:rsidRDefault="0037734A" w:rsidP="0037734A">
      <w:pPr>
        <w:pStyle w:val="ListParagraph"/>
        <w:rPr>
          <w:sz w:val="24"/>
          <w:szCs w:val="24"/>
        </w:rPr>
      </w:pPr>
    </w:p>
    <w:p w14:paraId="4D477FF4" w14:textId="77777777" w:rsidR="0037734A" w:rsidRPr="0037734A" w:rsidRDefault="0037734A" w:rsidP="0037734A">
      <w:pPr>
        <w:pStyle w:val="ListParagraph"/>
        <w:rPr>
          <w:sz w:val="24"/>
          <w:szCs w:val="24"/>
        </w:rPr>
      </w:pPr>
    </w:p>
    <w:p w14:paraId="27577797" w14:textId="1AE490BA" w:rsidR="008E2F91" w:rsidRDefault="008E2F91" w:rsidP="00026438">
      <w:pPr>
        <w:pStyle w:val="Heading1"/>
        <w:jc w:val="both"/>
        <w:rPr>
          <w:b/>
          <w:bCs/>
          <w:sz w:val="28"/>
          <w:szCs w:val="28"/>
        </w:rPr>
      </w:pPr>
      <w:bookmarkStart w:id="7" w:name="_Toc149936991"/>
      <w:r w:rsidRPr="008E2F91">
        <w:rPr>
          <w:b/>
          <w:bCs/>
          <w:sz w:val="28"/>
          <w:szCs w:val="28"/>
        </w:rPr>
        <w:t>Procedure for Collecting Compliance Metric</w:t>
      </w:r>
      <w:bookmarkEnd w:id="7"/>
    </w:p>
    <w:p w14:paraId="1B00E197" w14:textId="663E90DB" w:rsidR="003C0B9E" w:rsidRDefault="003C0B9E">
      <w:pPr>
        <w:pStyle w:val="ListParagraph"/>
        <w:numPr>
          <w:ilvl w:val="0"/>
          <w:numId w:val="8"/>
        </w:numPr>
      </w:pPr>
      <w:r w:rsidRPr="003C0B9E">
        <w:t>Delegating the responsibility of metric collection to the Human Resources (</w:t>
      </w:r>
      <w:r w:rsidRPr="003C0B9E">
        <w:rPr>
          <w:b/>
          <w:bCs/>
        </w:rPr>
        <w:t>HR</w:t>
      </w:r>
      <w:r w:rsidRPr="003C0B9E">
        <w:t>) and Information Technology (</w:t>
      </w:r>
      <w:r w:rsidRPr="003C0B9E">
        <w:rPr>
          <w:b/>
          <w:bCs/>
        </w:rPr>
        <w:t>IT</w:t>
      </w:r>
      <w:r w:rsidRPr="003C0B9E">
        <w:t xml:space="preserve">) departments </w:t>
      </w:r>
      <w:r w:rsidRPr="003C0B9E">
        <w:rPr>
          <w:b/>
          <w:bCs/>
        </w:rPr>
        <w:t>ensures the accurate and efficient recording of data</w:t>
      </w:r>
      <w:r w:rsidRPr="003C0B9E">
        <w:t xml:space="preserve"> related to security awareness training and vulnerability management efforts.</w:t>
      </w:r>
    </w:p>
    <w:p w14:paraId="2DF3B6A5" w14:textId="2E5DB173" w:rsidR="003C0B9E" w:rsidRDefault="003C0B9E">
      <w:pPr>
        <w:pStyle w:val="ListParagraph"/>
        <w:numPr>
          <w:ilvl w:val="0"/>
          <w:numId w:val="9"/>
        </w:numPr>
      </w:pPr>
      <w:r w:rsidRPr="003C0B9E">
        <w:t xml:space="preserve">Entrusting the </w:t>
      </w:r>
      <w:r w:rsidRPr="003C0B9E">
        <w:rPr>
          <w:b/>
          <w:bCs/>
        </w:rPr>
        <w:t>IT department with the responsibility of recording</w:t>
      </w:r>
      <w:r w:rsidRPr="003C0B9E">
        <w:t xml:space="preserve"> and </w:t>
      </w:r>
      <w:r w:rsidRPr="003C0B9E">
        <w:rPr>
          <w:b/>
          <w:bCs/>
        </w:rPr>
        <w:t>tracking</w:t>
      </w:r>
      <w:r w:rsidRPr="003C0B9E">
        <w:t xml:space="preserve"> </w:t>
      </w:r>
      <w:r w:rsidRPr="003C0B9E">
        <w:rPr>
          <w:b/>
          <w:bCs/>
        </w:rPr>
        <w:t>vulnerabilities</w:t>
      </w:r>
      <w:r w:rsidRPr="003C0B9E">
        <w:t xml:space="preserve"> allows for the </w:t>
      </w:r>
      <w:r w:rsidRPr="003C0B9E">
        <w:rPr>
          <w:b/>
          <w:bCs/>
        </w:rPr>
        <w:t>systematic documentation</w:t>
      </w:r>
      <w:r w:rsidRPr="003C0B9E">
        <w:t xml:space="preserve"> of identified security weaknesses, their prioritization, and the implementation of remediation measures.</w:t>
      </w:r>
    </w:p>
    <w:p w14:paraId="0B175F7C" w14:textId="0E2E9081" w:rsidR="003C0B9E" w:rsidRPr="003C0B9E" w:rsidRDefault="003C0B9E">
      <w:pPr>
        <w:pStyle w:val="ListParagraph"/>
        <w:numPr>
          <w:ilvl w:val="0"/>
          <w:numId w:val="8"/>
        </w:numPr>
      </w:pPr>
      <w:r w:rsidRPr="003C0B9E">
        <w:t xml:space="preserve">The </w:t>
      </w:r>
      <w:r w:rsidRPr="003C0B9E">
        <w:rPr>
          <w:b/>
          <w:bCs/>
        </w:rPr>
        <w:t>collaboration</w:t>
      </w:r>
      <w:r w:rsidRPr="003C0B9E">
        <w:t xml:space="preserve"> between the </w:t>
      </w:r>
      <w:r w:rsidRPr="003C0B9E">
        <w:rPr>
          <w:b/>
          <w:bCs/>
        </w:rPr>
        <w:t>HR</w:t>
      </w:r>
      <w:r w:rsidRPr="003C0B9E">
        <w:t xml:space="preserve"> and </w:t>
      </w:r>
      <w:r w:rsidRPr="003C0B9E">
        <w:rPr>
          <w:b/>
          <w:bCs/>
        </w:rPr>
        <w:t>IT</w:t>
      </w:r>
      <w:r w:rsidRPr="003C0B9E">
        <w:t xml:space="preserve"> departments in metric collection facilitates the integration of data from multiple sources, </w:t>
      </w:r>
      <w:r w:rsidRPr="003C0B9E">
        <w:rPr>
          <w:b/>
          <w:bCs/>
        </w:rPr>
        <w:t>providing a comprehensive and holistic view</w:t>
      </w:r>
      <w:r w:rsidRPr="003C0B9E">
        <w:t xml:space="preserve"> of the organization's security awareness and vulnerability management efforts.</w:t>
      </w:r>
    </w:p>
    <w:p w14:paraId="0D277904" w14:textId="699E79C8" w:rsidR="008E2F91" w:rsidRDefault="008E2F91" w:rsidP="00026438">
      <w:pPr>
        <w:pStyle w:val="Heading1"/>
        <w:jc w:val="both"/>
        <w:rPr>
          <w:b/>
          <w:bCs/>
          <w:sz w:val="28"/>
          <w:szCs w:val="28"/>
        </w:rPr>
      </w:pPr>
      <w:bookmarkStart w:id="8" w:name="_Toc149936992"/>
      <w:r w:rsidRPr="008E2F91">
        <w:rPr>
          <w:b/>
          <w:bCs/>
          <w:sz w:val="28"/>
          <w:szCs w:val="28"/>
        </w:rPr>
        <w:t>Responsible Party(ies) for Updating the Policy</w:t>
      </w:r>
      <w:bookmarkEnd w:id="8"/>
    </w:p>
    <w:p w14:paraId="2B69C0A8" w14:textId="2636494D" w:rsidR="003C0B9E" w:rsidRDefault="003C0B9E">
      <w:pPr>
        <w:pStyle w:val="ListParagraph"/>
        <w:numPr>
          <w:ilvl w:val="0"/>
          <w:numId w:val="8"/>
        </w:numPr>
        <w:rPr>
          <w:b/>
          <w:bCs/>
        </w:rPr>
      </w:pPr>
      <w:r w:rsidRPr="003C0B9E">
        <w:t>Involving the Chief Information Security Officer (</w:t>
      </w:r>
      <w:r w:rsidRPr="003C0B9E">
        <w:rPr>
          <w:b/>
          <w:bCs/>
        </w:rPr>
        <w:t>CISO</w:t>
      </w:r>
      <w:r w:rsidRPr="003C0B9E">
        <w:t>) and Chief Technology Officer (</w:t>
      </w:r>
      <w:r w:rsidRPr="003C0B9E">
        <w:rPr>
          <w:b/>
          <w:bCs/>
        </w:rPr>
        <w:t>CTO</w:t>
      </w:r>
      <w:r w:rsidRPr="003C0B9E">
        <w:t xml:space="preserve">) in policy updates leverages their specialized technical expertise and industry knowledge, </w:t>
      </w:r>
      <w:r w:rsidRPr="003C0B9E">
        <w:rPr>
          <w:b/>
          <w:bCs/>
        </w:rPr>
        <w:t>ensuring</w:t>
      </w:r>
      <w:r w:rsidRPr="003C0B9E">
        <w:t xml:space="preserve"> that the </w:t>
      </w:r>
      <w:r w:rsidRPr="003C0B9E">
        <w:rPr>
          <w:b/>
          <w:bCs/>
        </w:rPr>
        <w:t>policy remains current and effective in addressing the organization's evolving security needs.</w:t>
      </w:r>
    </w:p>
    <w:p w14:paraId="05D1B5D3" w14:textId="6270A15C" w:rsidR="00220A96" w:rsidRDefault="00220A96">
      <w:pPr>
        <w:pStyle w:val="ListParagraph"/>
        <w:numPr>
          <w:ilvl w:val="0"/>
          <w:numId w:val="10"/>
        </w:numPr>
      </w:pPr>
      <w:r w:rsidRPr="00220A96">
        <w:t xml:space="preserve">The </w:t>
      </w:r>
      <w:r w:rsidRPr="00220A96">
        <w:rPr>
          <w:b/>
          <w:bCs/>
        </w:rPr>
        <w:t>CISO's</w:t>
      </w:r>
      <w:r w:rsidRPr="00220A96">
        <w:t xml:space="preserve"> in-depth </w:t>
      </w:r>
      <w:r w:rsidRPr="00220A96">
        <w:rPr>
          <w:b/>
          <w:bCs/>
        </w:rPr>
        <w:t>understanding of cybersecurity</w:t>
      </w:r>
      <w:r w:rsidRPr="00220A96">
        <w:t xml:space="preserve"> best practices and the </w:t>
      </w:r>
      <w:r w:rsidRPr="00220A96">
        <w:rPr>
          <w:b/>
          <w:bCs/>
        </w:rPr>
        <w:t xml:space="preserve">CTO's knowledge of technological </w:t>
      </w:r>
      <w:r w:rsidRPr="00220A96">
        <w:t>advancements enables the policy to align with the latest security trends, emerging technologies, and industry-specific regulatory requirements.</w:t>
      </w:r>
    </w:p>
    <w:p w14:paraId="72151CB8" w14:textId="233DD299" w:rsidR="00220A96" w:rsidRPr="00220A96" w:rsidRDefault="00220A96">
      <w:pPr>
        <w:pStyle w:val="ListParagraph"/>
        <w:numPr>
          <w:ilvl w:val="0"/>
          <w:numId w:val="8"/>
        </w:numPr>
      </w:pPr>
      <w:r w:rsidRPr="00220A96">
        <w:t xml:space="preserve">The active participation of the </w:t>
      </w:r>
      <w:r w:rsidRPr="00220A96">
        <w:rPr>
          <w:b/>
          <w:bCs/>
        </w:rPr>
        <w:t>CISO</w:t>
      </w:r>
      <w:r w:rsidRPr="00220A96">
        <w:t xml:space="preserve"> and </w:t>
      </w:r>
      <w:r w:rsidRPr="00220A96">
        <w:rPr>
          <w:b/>
          <w:bCs/>
        </w:rPr>
        <w:t>CTO</w:t>
      </w:r>
      <w:r w:rsidRPr="00220A96">
        <w:t xml:space="preserve"> in policy updates demonstrates the organization's commitment to maintaining a proactive and strategic approach to information security, </w:t>
      </w:r>
      <w:r w:rsidRPr="00220A96">
        <w:rPr>
          <w:b/>
          <w:bCs/>
        </w:rPr>
        <w:t>safeguarding</w:t>
      </w:r>
      <w:r w:rsidRPr="00220A96">
        <w:t xml:space="preserve"> the organization's </w:t>
      </w:r>
      <w:r w:rsidRPr="00220A96">
        <w:rPr>
          <w:b/>
          <w:bCs/>
        </w:rPr>
        <w:t>assets</w:t>
      </w:r>
      <w:r w:rsidRPr="00220A96">
        <w:t xml:space="preserve"> and </w:t>
      </w:r>
      <w:r w:rsidRPr="00220A96">
        <w:rPr>
          <w:b/>
          <w:bCs/>
        </w:rPr>
        <w:t>data</w:t>
      </w:r>
      <w:r w:rsidRPr="00220A96">
        <w:t xml:space="preserve"> against evolving </w:t>
      </w:r>
      <w:r w:rsidRPr="00220A96">
        <w:rPr>
          <w:b/>
          <w:bCs/>
        </w:rPr>
        <w:t>cybersecurity</w:t>
      </w:r>
      <w:r w:rsidRPr="00220A96">
        <w:t xml:space="preserve"> </w:t>
      </w:r>
      <w:r w:rsidRPr="00220A96">
        <w:rPr>
          <w:b/>
          <w:bCs/>
        </w:rPr>
        <w:t>threats</w:t>
      </w:r>
      <w:r w:rsidRPr="00220A96">
        <w:t xml:space="preserve"> and challenges.</w:t>
      </w:r>
    </w:p>
    <w:p w14:paraId="20445B4F" w14:textId="24A2E598" w:rsidR="000575E0" w:rsidRDefault="000575E0" w:rsidP="00026438">
      <w:pPr>
        <w:pStyle w:val="Heading1"/>
        <w:jc w:val="both"/>
        <w:rPr>
          <w:b/>
          <w:bCs/>
          <w:sz w:val="28"/>
          <w:szCs w:val="28"/>
        </w:rPr>
      </w:pPr>
      <w:bookmarkStart w:id="9" w:name="_Toc149936993"/>
      <w:r w:rsidRPr="000575E0">
        <w:rPr>
          <w:b/>
          <w:bCs/>
          <w:sz w:val="28"/>
          <w:szCs w:val="28"/>
        </w:rPr>
        <w:t>Frequency of Policy Review</w:t>
      </w:r>
      <w:bookmarkEnd w:id="9"/>
    </w:p>
    <w:p w14:paraId="4023DCFB" w14:textId="21F8A5EC" w:rsidR="00220A96" w:rsidRDefault="00220A96">
      <w:pPr>
        <w:pStyle w:val="ListParagraph"/>
        <w:numPr>
          <w:ilvl w:val="0"/>
          <w:numId w:val="8"/>
        </w:numPr>
      </w:pPr>
      <w:r w:rsidRPr="00220A96">
        <w:t xml:space="preserve">Conducting </w:t>
      </w:r>
      <w:r w:rsidRPr="00220A96">
        <w:rPr>
          <w:b/>
          <w:bCs/>
        </w:rPr>
        <w:t>bi-annual</w:t>
      </w:r>
      <w:r w:rsidRPr="00220A96">
        <w:t xml:space="preserve"> policy reviews</w:t>
      </w:r>
      <w:r w:rsidRPr="00220A96">
        <w:rPr>
          <w:b/>
          <w:bCs/>
        </w:rPr>
        <w:t xml:space="preserve"> ensures that the policy remains current and adaptable to the rapidly </w:t>
      </w:r>
      <w:r w:rsidRPr="00220A96">
        <w:t>evolving information security landscape, enabling the organization to stay abreast of emerging security trends and best practices without overwhelming the operational workflow.</w:t>
      </w:r>
    </w:p>
    <w:p w14:paraId="7A8E1B95" w14:textId="212DE56D" w:rsidR="00220A96" w:rsidRPr="00220A96" w:rsidRDefault="00220A96">
      <w:pPr>
        <w:pStyle w:val="ListParagraph"/>
        <w:numPr>
          <w:ilvl w:val="0"/>
          <w:numId w:val="8"/>
        </w:numPr>
      </w:pPr>
      <w:r w:rsidRPr="00220A96">
        <w:t xml:space="preserve">Regular policy reviews enable the organization to </w:t>
      </w:r>
      <w:r w:rsidRPr="006E357D">
        <w:rPr>
          <w:b/>
          <w:bCs/>
        </w:rPr>
        <w:t>respond promptly to changes in the regulatory environment and industry standards</w:t>
      </w:r>
      <w:r w:rsidRPr="00220A96">
        <w:t xml:space="preserve">, ensuring that the policy </w:t>
      </w:r>
      <w:r w:rsidRPr="006E357D">
        <w:rPr>
          <w:b/>
          <w:bCs/>
        </w:rPr>
        <w:t>remains compliant</w:t>
      </w:r>
      <w:r w:rsidRPr="00220A96">
        <w:t xml:space="preserve"> with the latest legal requirements and security regulations.</w:t>
      </w:r>
    </w:p>
    <w:p w14:paraId="4FDCB2BF" w14:textId="7EA7E3A1" w:rsidR="000575E0" w:rsidRDefault="000575E0" w:rsidP="003C0B9E">
      <w:pPr>
        <w:pStyle w:val="ListParagraph"/>
        <w:ind w:left="2430"/>
        <w:jc w:val="both"/>
        <w:rPr>
          <w:rFonts w:ascii="Arial" w:hAnsi="Arial" w:cs="Arial"/>
          <w:sz w:val="24"/>
        </w:rPr>
      </w:pPr>
    </w:p>
    <w:p w14:paraId="73DDA639" w14:textId="77777777" w:rsidR="000575E0" w:rsidRPr="000575E0" w:rsidRDefault="000575E0" w:rsidP="000575E0"/>
    <w:p w14:paraId="55AB1B54" w14:textId="77777777" w:rsidR="000575E0" w:rsidRDefault="000575E0" w:rsidP="000575E0">
      <w:pPr>
        <w:rPr>
          <w:rFonts w:ascii="Arial" w:hAnsi="Arial" w:cs="Arial"/>
          <w:sz w:val="24"/>
        </w:rPr>
      </w:pPr>
    </w:p>
    <w:p w14:paraId="3F46A9C6" w14:textId="77777777" w:rsidR="000575E0" w:rsidRPr="000575E0" w:rsidRDefault="000575E0" w:rsidP="000575E0">
      <w:pPr>
        <w:rPr>
          <w:rFonts w:ascii="Arial" w:hAnsi="Arial" w:cs="Arial"/>
          <w:sz w:val="24"/>
        </w:rPr>
      </w:pPr>
    </w:p>
    <w:p w14:paraId="7B7B807B" w14:textId="77777777" w:rsidR="008E2F91" w:rsidRDefault="008E2F91" w:rsidP="008E2F91">
      <w:pPr>
        <w:pStyle w:val="ListParagraph"/>
        <w:ind w:left="2430"/>
        <w:rPr>
          <w:rFonts w:ascii="Arial" w:hAnsi="Arial" w:cs="Arial"/>
          <w:sz w:val="24"/>
        </w:rPr>
      </w:pPr>
    </w:p>
    <w:p w14:paraId="4437C4CA" w14:textId="77777777" w:rsidR="008E2F91" w:rsidRDefault="008E2F91" w:rsidP="008E2F91">
      <w:pPr>
        <w:pStyle w:val="ListParagraph"/>
        <w:ind w:left="1440"/>
        <w:rPr>
          <w:rFonts w:ascii="Arial" w:hAnsi="Arial" w:cs="Arial"/>
          <w:sz w:val="24"/>
        </w:rPr>
      </w:pPr>
    </w:p>
    <w:p w14:paraId="68DECE01" w14:textId="77777777" w:rsidR="008E2F91" w:rsidRPr="008E2F91" w:rsidRDefault="008E2F91" w:rsidP="008E2F91"/>
    <w:p w14:paraId="4B3C9DA2" w14:textId="77777777" w:rsidR="00026438" w:rsidRDefault="00026438" w:rsidP="000575E0">
      <w:pPr>
        <w:pStyle w:val="Heading1"/>
        <w:rPr>
          <w:b/>
          <w:bCs/>
          <w:sz w:val="28"/>
          <w:szCs w:val="28"/>
        </w:rPr>
      </w:pPr>
    </w:p>
    <w:p w14:paraId="04E729E4" w14:textId="37622545" w:rsidR="000575E0" w:rsidRDefault="000575E0" w:rsidP="000575E0">
      <w:pPr>
        <w:pStyle w:val="Heading1"/>
        <w:rPr>
          <w:b/>
          <w:bCs/>
          <w:sz w:val="28"/>
          <w:szCs w:val="28"/>
        </w:rPr>
      </w:pPr>
      <w:bookmarkStart w:id="10" w:name="_Toc149936994"/>
      <w:r w:rsidRPr="000575E0">
        <w:rPr>
          <w:b/>
          <w:bCs/>
          <w:sz w:val="28"/>
          <w:szCs w:val="28"/>
        </w:rPr>
        <w:t>Procedure for Updating the Policy</w:t>
      </w:r>
      <w:bookmarkEnd w:id="10"/>
    </w:p>
    <w:p w14:paraId="748B6C08" w14:textId="47D5F683" w:rsidR="006E357D" w:rsidRDefault="006E357D">
      <w:pPr>
        <w:pStyle w:val="ListParagraph"/>
        <w:numPr>
          <w:ilvl w:val="0"/>
          <w:numId w:val="8"/>
        </w:numPr>
      </w:pPr>
      <w:r w:rsidRPr="006E357D">
        <w:t xml:space="preserve">Conducting a comprehensive review of the policy </w:t>
      </w:r>
      <w:r w:rsidRPr="003C3EE4">
        <w:rPr>
          <w:b/>
          <w:bCs/>
        </w:rPr>
        <w:t>during updates</w:t>
      </w:r>
      <w:r w:rsidRPr="006E357D">
        <w:t xml:space="preserve"> involves a thorough </w:t>
      </w:r>
      <w:r w:rsidRPr="003C3EE4">
        <w:rPr>
          <w:b/>
          <w:bCs/>
        </w:rPr>
        <w:t>examination of the policy's effectiveness</w:t>
      </w:r>
      <w:r w:rsidRPr="006E357D">
        <w:t>, relevance, and alignment with current security trends and regulatory requirements.</w:t>
      </w:r>
    </w:p>
    <w:p w14:paraId="62D7EF71" w14:textId="017BF0D4" w:rsidR="003C3EE4" w:rsidRPr="006E357D" w:rsidRDefault="003C3EE4">
      <w:pPr>
        <w:pStyle w:val="ListParagraph"/>
        <w:numPr>
          <w:ilvl w:val="0"/>
          <w:numId w:val="8"/>
        </w:numPr>
      </w:pPr>
      <w:r w:rsidRPr="003C3EE4">
        <w:t xml:space="preserve">Communication of policy </w:t>
      </w:r>
      <w:r w:rsidRPr="003C3EE4">
        <w:rPr>
          <w:b/>
          <w:bCs/>
        </w:rPr>
        <w:t>changes to relevant stakeholders</w:t>
      </w:r>
      <w:r w:rsidRPr="003C3EE4">
        <w:t xml:space="preserve"> ensures that </w:t>
      </w:r>
      <w:r w:rsidRPr="003C3EE4">
        <w:rPr>
          <w:b/>
          <w:bCs/>
        </w:rPr>
        <w:t>all employees and concerned parties are informed</w:t>
      </w:r>
      <w:r w:rsidRPr="003C3EE4">
        <w:t xml:space="preserve"> about any modifications, facilitating a clear understanding of the updated policy guidelines and expectations.</w:t>
      </w:r>
    </w:p>
    <w:p w14:paraId="2B508CE9" w14:textId="5246BC05" w:rsidR="00026438" w:rsidRPr="000575E0" w:rsidRDefault="00026438" w:rsidP="003C0B9E">
      <w:pPr>
        <w:pStyle w:val="ListParagraph"/>
        <w:ind w:left="1440"/>
        <w:jc w:val="both"/>
        <w:rPr>
          <w:sz w:val="24"/>
          <w:szCs w:val="24"/>
        </w:rPr>
      </w:pPr>
    </w:p>
    <w:p w14:paraId="4CFB1728" w14:textId="77777777" w:rsidR="008E2F91" w:rsidRPr="008E2F91" w:rsidRDefault="008E2F91" w:rsidP="008E2F91"/>
    <w:p w14:paraId="211888C7" w14:textId="77777777" w:rsidR="008E2F91" w:rsidRPr="008E2F91" w:rsidRDefault="008E2F91" w:rsidP="008E2F91">
      <w:pPr>
        <w:ind w:left="1080"/>
        <w:rPr>
          <w:rFonts w:ascii="Arial" w:hAnsi="Arial" w:cs="Arial"/>
          <w:sz w:val="24"/>
        </w:rPr>
      </w:pPr>
    </w:p>
    <w:p w14:paraId="04851E1B" w14:textId="77777777" w:rsidR="008E2F91" w:rsidRPr="006B4FA0" w:rsidRDefault="008E2F91" w:rsidP="008E2F91">
      <w:pPr>
        <w:pStyle w:val="ListParagraph"/>
        <w:rPr>
          <w:rFonts w:ascii="Arial" w:hAnsi="Arial" w:cs="Arial"/>
          <w:sz w:val="24"/>
        </w:rPr>
      </w:pPr>
    </w:p>
    <w:p w14:paraId="5B9B205D" w14:textId="77777777" w:rsidR="008E2F91" w:rsidRPr="008E2F91" w:rsidRDefault="008E2F91" w:rsidP="008E2F91"/>
    <w:p w14:paraId="7B7D85B0" w14:textId="77777777" w:rsidR="008E2F91" w:rsidRPr="008E2F91" w:rsidRDefault="008E2F91" w:rsidP="008E2F91">
      <w:pPr>
        <w:pStyle w:val="ListParagraph"/>
        <w:rPr>
          <w:sz w:val="24"/>
          <w:szCs w:val="24"/>
        </w:rPr>
      </w:pPr>
    </w:p>
    <w:sectPr w:rsidR="008E2F91" w:rsidRPr="008E2F91" w:rsidSect="0021424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935D" w14:textId="77777777" w:rsidR="00436F95" w:rsidRDefault="00436F95" w:rsidP="0007125F">
      <w:pPr>
        <w:spacing w:after="0" w:line="240" w:lineRule="auto"/>
      </w:pPr>
      <w:r>
        <w:separator/>
      </w:r>
    </w:p>
  </w:endnote>
  <w:endnote w:type="continuationSeparator" w:id="0">
    <w:p w14:paraId="2D95E6CA" w14:textId="77777777" w:rsidR="00436F95" w:rsidRDefault="00436F95" w:rsidP="0007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268375"/>
      <w:docPartObj>
        <w:docPartGallery w:val="Page Numbers (Bottom of Page)"/>
        <w:docPartUnique/>
      </w:docPartObj>
    </w:sdtPr>
    <w:sdtEndPr>
      <w:rPr>
        <w:noProof/>
      </w:rPr>
    </w:sdtEndPr>
    <w:sdtContent>
      <w:p w14:paraId="02BE4859" w14:textId="57FE1DA4" w:rsidR="0007125F" w:rsidRDefault="00071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2186F" w14:textId="32349101" w:rsidR="0007125F" w:rsidRDefault="0007125F" w:rsidP="0007125F">
    <w:pPr>
      <w:pStyle w:val="Footer"/>
    </w:pPr>
    <w:r>
      <w:tab/>
    </w:r>
    <w:r w:rsidR="00767DF5">
      <w:t>Private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A376" w14:textId="77777777" w:rsidR="00436F95" w:rsidRDefault="00436F95" w:rsidP="0007125F">
      <w:pPr>
        <w:spacing w:after="0" w:line="240" w:lineRule="auto"/>
      </w:pPr>
      <w:r>
        <w:separator/>
      </w:r>
    </w:p>
  </w:footnote>
  <w:footnote w:type="continuationSeparator" w:id="0">
    <w:p w14:paraId="6D6EFB69" w14:textId="77777777" w:rsidR="00436F95" w:rsidRDefault="00436F95" w:rsidP="00071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4B72" w14:textId="1723BF6E" w:rsidR="0007125F" w:rsidRDefault="0007125F">
    <w:pPr>
      <w:pStyle w:val="Header"/>
    </w:pPr>
    <w:r>
      <w:rPr>
        <w:noProof/>
      </w:rPr>
      <w:drawing>
        <wp:anchor distT="0" distB="0" distL="114300" distR="114300" simplePos="0" relativeHeight="251658240" behindDoc="0" locked="0" layoutInCell="1" allowOverlap="1" wp14:anchorId="51738F10" wp14:editId="051FD9ED">
          <wp:simplePos x="0" y="0"/>
          <wp:positionH relativeFrom="margin">
            <wp:posOffset>-886264</wp:posOffset>
          </wp:positionH>
          <wp:positionV relativeFrom="paragraph">
            <wp:posOffset>-436538</wp:posOffset>
          </wp:positionV>
          <wp:extent cx="1483995" cy="914400"/>
          <wp:effectExtent l="0" t="0" r="1905" b="0"/>
          <wp:wrapSquare wrapText="bothSides"/>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3995"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75A"/>
    <w:multiLevelType w:val="hybridMultilevel"/>
    <w:tmpl w:val="2C5C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7ACE"/>
    <w:multiLevelType w:val="hybridMultilevel"/>
    <w:tmpl w:val="7CECCA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1364A"/>
    <w:multiLevelType w:val="hybridMultilevel"/>
    <w:tmpl w:val="7072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E0340"/>
    <w:multiLevelType w:val="hybridMultilevel"/>
    <w:tmpl w:val="C6CC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BC124D"/>
    <w:multiLevelType w:val="hybridMultilevel"/>
    <w:tmpl w:val="17E8702A"/>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7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3B0E1E"/>
    <w:multiLevelType w:val="hybridMultilevel"/>
    <w:tmpl w:val="7B3E907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84278BC"/>
    <w:multiLevelType w:val="hybridMultilevel"/>
    <w:tmpl w:val="198A0492"/>
    <w:lvl w:ilvl="0" w:tplc="04090009">
      <w:start w:val="1"/>
      <w:numFmt w:val="bullet"/>
      <w:lvlText w:val=""/>
      <w:lvlJc w:val="left"/>
      <w:pPr>
        <w:ind w:left="1530" w:hanging="360"/>
      </w:pPr>
      <w:rPr>
        <w:rFonts w:ascii="Wingdings" w:hAnsi="Wingdings"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7" w15:restartNumberingAfterBreak="0">
    <w:nsid w:val="42D940F5"/>
    <w:multiLevelType w:val="hybridMultilevel"/>
    <w:tmpl w:val="4C4438C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985EBB"/>
    <w:multiLevelType w:val="hybridMultilevel"/>
    <w:tmpl w:val="EBC0DE58"/>
    <w:lvl w:ilvl="0" w:tplc="D51C3C18">
      <w:start w:val="9"/>
      <w:numFmt w:val="bullet"/>
      <w:lvlText w:val=""/>
      <w:lvlJc w:val="left"/>
      <w:pPr>
        <w:ind w:left="720" w:hanging="360"/>
      </w:pPr>
      <w:rPr>
        <w:rFonts w:ascii="Symbol" w:eastAsiaTheme="minorHAnsi" w:hAnsi="Symbol" w:cs="Arial"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27535"/>
    <w:multiLevelType w:val="hybridMultilevel"/>
    <w:tmpl w:val="7982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036454">
    <w:abstractNumId w:val="4"/>
  </w:num>
  <w:num w:numId="2" w16cid:durableId="250697146">
    <w:abstractNumId w:val="2"/>
  </w:num>
  <w:num w:numId="3" w16cid:durableId="1136223471">
    <w:abstractNumId w:val="8"/>
  </w:num>
  <w:num w:numId="4" w16cid:durableId="1988438298">
    <w:abstractNumId w:val="0"/>
  </w:num>
  <w:num w:numId="5" w16cid:durableId="485437237">
    <w:abstractNumId w:val="7"/>
  </w:num>
  <w:num w:numId="6" w16cid:durableId="109974476">
    <w:abstractNumId w:val="5"/>
  </w:num>
  <w:num w:numId="7" w16cid:durableId="1492939787">
    <w:abstractNumId w:val="3"/>
  </w:num>
  <w:num w:numId="8" w16cid:durableId="624770377">
    <w:abstractNumId w:val="9"/>
  </w:num>
  <w:num w:numId="9" w16cid:durableId="145555656">
    <w:abstractNumId w:val="1"/>
  </w:num>
  <w:num w:numId="10" w16cid:durableId="70270743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8"/>
    <w:rsid w:val="00026438"/>
    <w:rsid w:val="0005110A"/>
    <w:rsid w:val="000575E0"/>
    <w:rsid w:val="0007125F"/>
    <w:rsid w:val="000941E8"/>
    <w:rsid w:val="000A73F3"/>
    <w:rsid w:val="00115821"/>
    <w:rsid w:val="00202808"/>
    <w:rsid w:val="00207C9C"/>
    <w:rsid w:val="00214246"/>
    <w:rsid w:val="0021785C"/>
    <w:rsid w:val="00220A96"/>
    <w:rsid w:val="00277314"/>
    <w:rsid w:val="002A60FF"/>
    <w:rsid w:val="002B19E0"/>
    <w:rsid w:val="0037734A"/>
    <w:rsid w:val="00392D07"/>
    <w:rsid w:val="003C0B9E"/>
    <w:rsid w:val="003C3EE4"/>
    <w:rsid w:val="003D2F85"/>
    <w:rsid w:val="003F4994"/>
    <w:rsid w:val="0042221C"/>
    <w:rsid w:val="00436F95"/>
    <w:rsid w:val="00450412"/>
    <w:rsid w:val="004A254C"/>
    <w:rsid w:val="005B45BB"/>
    <w:rsid w:val="00632BD9"/>
    <w:rsid w:val="006E13F1"/>
    <w:rsid w:val="006E357D"/>
    <w:rsid w:val="00717349"/>
    <w:rsid w:val="00730F6D"/>
    <w:rsid w:val="007332D6"/>
    <w:rsid w:val="00742BB2"/>
    <w:rsid w:val="00767DF5"/>
    <w:rsid w:val="00816146"/>
    <w:rsid w:val="008A53A0"/>
    <w:rsid w:val="008E2F91"/>
    <w:rsid w:val="008E5E01"/>
    <w:rsid w:val="00930DB0"/>
    <w:rsid w:val="00A04E92"/>
    <w:rsid w:val="00AE4EC8"/>
    <w:rsid w:val="00B247B7"/>
    <w:rsid w:val="00B870C1"/>
    <w:rsid w:val="00BF5A3E"/>
    <w:rsid w:val="00C87FBE"/>
    <w:rsid w:val="00CF1225"/>
    <w:rsid w:val="00D3491B"/>
    <w:rsid w:val="00E8512E"/>
    <w:rsid w:val="00ED100C"/>
    <w:rsid w:val="00F64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C051F"/>
  <w15:chartTrackingRefBased/>
  <w15:docId w15:val="{8A1710EC-885B-4EDF-A9FD-5D02BFC3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4C"/>
    <w:pPr>
      <w:keepNext/>
      <w:keepLines/>
      <w:spacing w:before="240" w:after="0"/>
      <w:outlineLvl w:val="0"/>
    </w:pPr>
    <w:rPr>
      <w:rFonts w:asciiTheme="majorHAnsi" w:eastAsiaTheme="majorEastAsia" w:hAnsiTheme="majorHAnsi" w:cstheme="majorBidi"/>
      <w:color w:val="767171" w:themeColor="background2" w:themeShade="80"/>
      <w:sz w:val="32"/>
      <w:szCs w:val="32"/>
    </w:rPr>
  </w:style>
  <w:style w:type="paragraph" w:styleId="Heading2">
    <w:name w:val="heading 2"/>
    <w:basedOn w:val="Normal"/>
    <w:next w:val="Normal"/>
    <w:link w:val="Heading2Char"/>
    <w:uiPriority w:val="9"/>
    <w:unhideWhenUsed/>
    <w:qFormat/>
    <w:rsid w:val="0021785C"/>
    <w:pPr>
      <w:keepNext/>
      <w:keepLines/>
      <w:spacing w:before="40" w:after="0"/>
      <w:outlineLvl w:val="1"/>
    </w:pPr>
    <w:rPr>
      <w:rFonts w:asciiTheme="majorHAnsi" w:eastAsiaTheme="majorEastAsia" w:hAnsiTheme="majorHAnsi" w:cstheme="majorBidi"/>
      <w:color w:val="3B3838" w:themeColor="background2" w:themeShade="40"/>
      <w:sz w:val="26"/>
      <w:szCs w:val="26"/>
    </w:rPr>
  </w:style>
  <w:style w:type="paragraph" w:styleId="Heading3">
    <w:name w:val="heading 3"/>
    <w:basedOn w:val="Normal"/>
    <w:next w:val="Normal"/>
    <w:link w:val="Heading3Char"/>
    <w:uiPriority w:val="9"/>
    <w:semiHidden/>
    <w:unhideWhenUsed/>
    <w:qFormat/>
    <w:rsid w:val="002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24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14246"/>
    <w:rPr>
      <w:rFonts w:eastAsiaTheme="minorEastAsia"/>
      <w:kern w:val="0"/>
      <w14:ligatures w14:val="none"/>
    </w:rPr>
  </w:style>
  <w:style w:type="paragraph" w:styleId="ListParagraph">
    <w:name w:val="List Paragraph"/>
    <w:aliases w:val="YC Bulet,Use Case List Paragraph Char,RFP - List Bullet,Bullet Number,List Paragraph1,lp1,lp11,List Paragraph11,Use Case List Paragraph,Num Bullet 1,Steps,TT,d_bodyb,Bullet Normal,Normal Bullet,GPS List Paragraph,Table Number Paragraph"/>
    <w:basedOn w:val="Normal"/>
    <w:link w:val="ListParagraphChar"/>
    <w:uiPriority w:val="34"/>
    <w:qFormat/>
    <w:rsid w:val="00214246"/>
    <w:pPr>
      <w:ind w:left="720"/>
      <w:contextualSpacing/>
    </w:pPr>
  </w:style>
  <w:style w:type="paragraph" w:styleId="Header">
    <w:name w:val="header"/>
    <w:basedOn w:val="Normal"/>
    <w:link w:val="HeaderChar"/>
    <w:uiPriority w:val="99"/>
    <w:unhideWhenUsed/>
    <w:rsid w:val="00071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F"/>
  </w:style>
  <w:style w:type="paragraph" w:styleId="Footer">
    <w:name w:val="footer"/>
    <w:basedOn w:val="Normal"/>
    <w:link w:val="FooterChar"/>
    <w:uiPriority w:val="99"/>
    <w:unhideWhenUsed/>
    <w:rsid w:val="00071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F"/>
  </w:style>
  <w:style w:type="character" w:customStyle="1" w:styleId="Heading1Char">
    <w:name w:val="Heading 1 Char"/>
    <w:basedOn w:val="DefaultParagraphFont"/>
    <w:link w:val="Heading1"/>
    <w:uiPriority w:val="9"/>
    <w:rsid w:val="004A254C"/>
    <w:rPr>
      <w:rFonts w:asciiTheme="majorHAnsi" w:eastAsiaTheme="majorEastAsia" w:hAnsiTheme="majorHAnsi" w:cstheme="majorBidi"/>
      <w:color w:val="767171" w:themeColor="background2" w:themeShade="80"/>
      <w:sz w:val="32"/>
      <w:szCs w:val="32"/>
    </w:rPr>
  </w:style>
  <w:style w:type="paragraph" w:styleId="TOCHeading">
    <w:name w:val="TOC Heading"/>
    <w:basedOn w:val="Heading1"/>
    <w:next w:val="Normal"/>
    <w:uiPriority w:val="39"/>
    <w:unhideWhenUsed/>
    <w:qFormat/>
    <w:rsid w:val="0007125F"/>
    <w:pPr>
      <w:outlineLvl w:val="9"/>
    </w:pPr>
    <w:rPr>
      <w:kern w:val="0"/>
      <w14:ligatures w14:val="none"/>
    </w:rPr>
  </w:style>
  <w:style w:type="character" w:customStyle="1" w:styleId="Heading3Char">
    <w:name w:val="Heading 3 Char"/>
    <w:basedOn w:val="DefaultParagraphFont"/>
    <w:link w:val="Heading3"/>
    <w:uiPriority w:val="9"/>
    <w:semiHidden/>
    <w:rsid w:val="0021785C"/>
    <w:rPr>
      <w:rFonts w:asciiTheme="majorHAnsi" w:eastAsiaTheme="majorEastAsia" w:hAnsiTheme="majorHAnsi" w:cstheme="majorBidi"/>
      <w:color w:val="1F3763" w:themeColor="accent1" w:themeShade="7F"/>
      <w:sz w:val="24"/>
      <w:szCs w:val="24"/>
    </w:rPr>
  </w:style>
  <w:style w:type="paragraph" w:customStyle="1" w:styleId="AS9100ProcedureLevel2">
    <w:name w:val="AS9100 Procedure Level 2"/>
    <w:basedOn w:val="ListParagraph"/>
    <w:link w:val="AS9100ProcedureLevel2Char"/>
    <w:qFormat/>
    <w:rsid w:val="0021785C"/>
    <w:pPr>
      <w:spacing w:after="120" w:line="240" w:lineRule="auto"/>
      <w:ind w:left="0"/>
      <w:contextualSpacing w:val="0"/>
    </w:pPr>
    <w:rPr>
      <w:rFonts w:ascii="PT Sans" w:hAnsi="PT Sans"/>
      <w:kern w:val="0"/>
      <w14:ligatures w14:val="none"/>
    </w:rPr>
  </w:style>
  <w:style w:type="character" w:customStyle="1" w:styleId="AS9100ProcedureLevel2Char">
    <w:name w:val="AS9100 Procedure Level 2 Char"/>
    <w:basedOn w:val="DefaultParagraphFont"/>
    <w:link w:val="AS9100ProcedureLevel2"/>
    <w:rsid w:val="0021785C"/>
    <w:rPr>
      <w:rFonts w:ascii="PT Sans" w:hAnsi="PT Sans"/>
      <w:kern w:val="0"/>
      <w14:ligatures w14:val="none"/>
    </w:rPr>
  </w:style>
  <w:style w:type="character" w:customStyle="1" w:styleId="ListParagraphChar">
    <w:name w:val="List Paragraph Char"/>
    <w:aliases w:val="YC Bulet Char,Use Case List Paragraph Char Char,RFP - List Bullet Char,Bullet Number Char,List Paragraph1 Char,lp1 Char,lp11 Char,List Paragraph11 Char,Use Case List Paragraph Char1,Num Bullet 1 Char,Steps Char,TT Char,d_bodyb Char"/>
    <w:basedOn w:val="DefaultParagraphFont"/>
    <w:link w:val="ListParagraph"/>
    <w:uiPriority w:val="34"/>
    <w:qFormat/>
    <w:locked/>
    <w:rsid w:val="0021785C"/>
  </w:style>
  <w:style w:type="character" w:customStyle="1" w:styleId="Heading2Char">
    <w:name w:val="Heading 2 Char"/>
    <w:basedOn w:val="DefaultParagraphFont"/>
    <w:link w:val="Heading2"/>
    <w:uiPriority w:val="9"/>
    <w:rsid w:val="0021785C"/>
    <w:rPr>
      <w:rFonts w:asciiTheme="majorHAnsi" w:eastAsiaTheme="majorEastAsia" w:hAnsiTheme="majorHAnsi" w:cstheme="majorBidi"/>
      <w:color w:val="3B3838" w:themeColor="background2" w:themeShade="40"/>
      <w:sz w:val="26"/>
      <w:szCs w:val="26"/>
    </w:rPr>
  </w:style>
  <w:style w:type="paragraph" w:styleId="TOC1">
    <w:name w:val="toc 1"/>
    <w:basedOn w:val="Normal"/>
    <w:next w:val="Normal"/>
    <w:autoRedefine/>
    <w:uiPriority w:val="39"/>
    <w:unhideWhenUsed/>
    <w:rsid w:val="003C3EE4"/>
    <w:pPr>
      <w:tabs>
        <w:tab w:val="right" w:leader="dot" w:pos="9350"/>
      </w:tabs>
      <w:spacing w:after="100"/>
    </w:pPr>
    <w:rPr>
      <w:rFonts w:cstheme="majorHAnsi"/>
      <w:b/>
      <w:bCs/>
      <w:noProof/>
    </w:rPr>
  </w:style>
  <w:style w:type="paragraph" w:styleId="TOC2">
    <w:name w:val="toc 2"/>
    <w:basedOn w:val="Normal"/>
    <w:next w:val="Normal"/>
    <w:autoRedefine/>
    <w:uiPriority w:val="39"/>
    <w:unhideWhenUsed/>
    <w:rsid w:val="003C3EE4"/>
    <w:pPr>
      <w:tabs>
        <w:tab w:val="right" w:leader="dot" w:pos="9350"/>
      </w:tabs>
      <w:spacing w:after="100"/>
      <w:ind w:left="220"/>
    </w:pPr>
    <w:rPr>
      <w:b/>
      <w:bCs/>
      <w:noProof/>
    </w:rPr>
  </w:style>
  <w:style w:type="character" w:styleId="Hyperlink">
    <w:name w:val="Hyperlink"/>
    <w:basedOn w:val="DefaultParagraphFont"/>
    <w:uiPriority w:val="99"/>
    <w:unhideWhenUsed/>
    <w:rsid w:val="00094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8130">
      <w:bodyDiv w:val="1"/>
      <w:marLeft w:val="0"/>
      <w:marRight w:val="0"/>
      <w:marTop w:val="0"/>
      <w:marBottom w:val="0"/>
      <w:divBdr>
        <w:top w:val="none" w:sz="0" w:space="0" w:color="auto"/>
        <w:left w:val="none" w:sz="0" w:space="0" w:color="auto"/>
        <w:bottom w:val="none" w:sz="0" w:space="0" w:color="auto"/>
        <w:right w:val="none" w:sz="0" w:space="0" w:color="auto"/>
      </w:divBdr>
    </w:div>
    <w:div w:id="296961657">
      <w:bodyDiv w:val="1"/>
      <w:marLeft w:val="0"/>
      <w:marRight w:val="0"/>
      <w:marTop w:val="0"/>
      <w:marBottom w:val="0"/>
      <w:divBdr>
        <w:top w:val="none" w:sz="0" w:space="0" w:color="auto"/>
        <w:left w:val="none" w:sz="0" w:space="0" w:color="auto"/>
        <w:bottom w:val="none" w:sz="0" w:space="0" w:color="auto"/>
        <w:right w:val="none" w:sz="0" w:space="0" w:color="auto"/>
      </w:divBdr>
    </w:div>
    <w:div w:id="1307474706">
      <w:bodyDiv w:val="1"/>
      <w:marLeft w:val="0"/>
      <w:marRight w:val="0"/>
      <w:marTop w:val="0"/>
      <w:marBottom w:val="0"/>
      <w:divBdr>
        <w:top w:val="none" w:sz="0" w:space="0" w:color="auto"/>
        <w:left w:val="none" w:sz="0" w:space="0" w:color="auto"/>
        <w:bottom w:val="none" w:sz="0" w:space="0" w:color="auto"/>
        <w:right w:val="none" w:sz="0" w:space="0" w:color="auto"/>
      </w:divBdr>
    </w:div>
    <w:div w:id="1491944053">
      <w:bodyDiv w:val="1"/>
      <w:marLeft w:val="0"/>
      <w:marRight w:val="0"/>
      <w:marTop w:val="0"/>
      <w:marBottom w:val="0"/>
      <w:divBdr>
        <w:top w:val="none" w:sz="0" w:space="0" w:color="auto"/>
        <w:left w:val="none" w:sz="0" w:space="0" w:color="auto"/>
        <w:bottom w:val="none" w:sz="0" w:space="0" w:color="auto"/>
        <w:right w:val="none" w:sz="0" w:space="0" w:color="auto"/>
      </w:divBdr>
    </w:div>
    <w:div w:id="181155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CE35-F6D9-4C55-B4CC-3151127B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4</cp:revision>
  <dcterms:created xsi:type="dcterms:W3CDTF">2023-11-03T17:50:00Z</dcterms:created>
  <dcterms:modified xsi:type="dcterms:W3CDTF">2023-11-05T17:08:00Z</dcterms:modified>
</cp:coreProperties>
</file>