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Midterm Answer Key 166A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1.a. No dominant strategies for either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A is dominated by B for player 1 and a is dominated by b for player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w:t>
        <w:tab/>
        <w:t xml:space="preserve">1st round of IDSDS: </w:t>
        <w:tab/>
        <w:tab/>
        <w:t xml:space="preserve">Remove A and a</w:t>
      </w:r>
    </w:p>
    <w:p w:rsidP="00000000" w:rsidRPr="00000000" w:rsidR="00000000" w:rsidDel="00000000" w:rsidRDefault="00000000">
      <w:pPr>
        <w:ind w:firstLine="720"/>
        <w:contextualSpacing w:val="0"/>
      </w:pPr>
      <w:r w:rsidRPr="00000000" w:rsidR="00000000" w:rsidDel="00000000">
        <w:rPr>
          <w:rtl w:val="0"/>
        </w:rPr>
        <w:t xml:space="preserve">2nd round of IDSDS:  </w:t>
        <w:tab/>
        <w:t xml:space="preserve">C is dominated by B </w:t>
      </w:r>
    </w:p>
    <w:p w:rsidP="00000000" w:rsidRPr="00000000" w:rsidR="00000000" w:rsidDel="00000000" w:rsidRDefault="00000000">
      <w:pPr>
        <w:ind w:firstLine="720"/>
        <w:contextualSpacing w:val="0"/>
      </w:pPr>
      <w:r w:rsidRPr="00000000" w:rsidR="00000000" w:rsidDel="00000000">
        <w:rPr>
          <w:rtl w:val="0"/>
        </w:rPr>
        <w:t xml:space="preserve">3rd round of IDSDS: </w:t>
        <w:tab/>
        <w:t xml:space="preserve">b is dominated by c</w:t>
      </w:r>
    </w:p>
    <w:p w:rsidP="00000000" w:rsidRPr="00000000" w:rsidR="00000000" w:rsidDel="00000000" w:rsidRDefault="00000000">
      <w:pPr>
        <w:ind w:firstLine="720"/>
        <w:contextualSpacing w:val="0"/>
      </w:pPr>
      <w:r w:rsidRPr="00000000" w:rsidR="00000000" w:rsidDel="00000000">
        <w:rPr>
          <w:rtl w:val="0"/>
        </w:rPr>
        <w:t xml:space="preserve">Only surviving strategy: (B,c)</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 Since there was only one strategy profile that survives IDSDS, it must be the unique 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 xml:space="preserve">2. a.</w:t>
      </w:r>
    </w:p>
    <w:tbl>
      <w:tblPr>
        <w:bidiVisual w:val="0"/>
        <w:tblW w:w="5460.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Pr>
      <w:tblGrid>
        <w:gridCol w:w="1820"/>
        <w:gridCol w:w="1820"/>
        <w:gridCol w:w="1820"/>
      </w:tblGrid>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Call</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Wait</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Call</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1</w:t>
            </w:r>
            <w:r w:rsidRPr="00000000" w:rsidR="00000000" w:rsidDel="00000000">
              <w:rPr>
                <w:sz w:val="20"/>
                <w:rtl w:val="0"/>
              </w:rPr>
              <w:t xml:space="preserve">,</w:t>
            </w:r>
            <w:r w:rsidRPr="00000000" w:rsidR="00000000" w:rsidDel="00000000">
              <w:rPr>
                <w:sz w:val="20"/>
                <w:u w:val="single"/>
                <w:rtl w:val="0"/>
              </w:rPr>
              <w:t xml:space="preserve">2</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Wait</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1</w:t>
            </w:r>
            <w:r w:rsidRPr="00000000" w:rsidR="00000000" w:rsidDel="00000000">
              <w:rPr>
                <w:sz w:val="20"/>
                <w:rtl w:val="0"/>
              </w:rPr>
              <w:t xml:space="preserve">,</w:t>
            </w:r>
            <w:r w:rsidRPr="00000000" w:rsidR="00000000" w:rsidDel="00000000">
              <w:rPr>
                <w:sz w:val="20"/>
                <w:u w:val="single"/>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-1,-1</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 Best responses have been underlined. There are 2 pure NE, (Call, Wait) and (Wait, Call)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c. Let player 1 play Call with probability </w:t>
      </w:r>
      <w:r w:rsidRPr="00000000" w:rsidR="00000000" w:rsidDel="00000000">
        <w:rPr>
          <w:i w:val="1"/>
          <w:rtl w:val="0"/>
        </w:rPr>
        <w:t xml:space="preserve">p</w:t>
      </w:r>
      <w:r w:rsidRPr="00000000" w:rsidR="00000000" w:rsidDel="00000000">
        <w:rPr>
          <w:rtl w:val="0"/>
        </w:rPr>
        <w:t xml:space="preserve"> and Wait with probability 1-</w:t>
      </w:r>
      <w:r w:rsidRPr="00000000" w:rsidR="00000000" w:rsidDel="00000000">
        <w:rPr>
          <w:i w:val="1"/>
          <w:rtl w:val="0"/>
        </w:rPr>
        <w:t xml:space="preserve">p</w:t>
      </w:r>
      <w:r w:rsidRPr="00000000" w:rsidR="00000000" w:rsidDel="00000000">
        <w:rPr>
          <w:rtl w:val="0"/>
        </w:rPr>
        <w:t xml:space="preserve">. P1 makes P2 indifferent by setting P2’s  expected values equal to each other: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0</w:t>
      </w:r>
      <w:r w:rsidRPr="00000000" w:rsidR="00000000" w:rsidDel="00000000">
        <w:rPr>
          <w:i w:val="1"/>
          <w:rtl w:val="0"/>
        </w:rPr>
        <w:t xml:space="preserve">p</w:t>
      </w:r>
      <w:r w:rsidRPr="00000000" w:rsidR="00000000" w:rsidDel="00000000">
        <w:rPr>
          <w:rtl w:val="0"/>
        </w:rPr>
        <w:t xml:space="preserve"> + 1(1-</w:t>
      </w:r>
      <w:r w:rsidRPr="00000000" w:rsidR="00000000" w:rsidDel="00000000">
        <w:rPr>
          <w:i w:val="1"/>
          <w:rtl w:val="0"/>
        </w:rPr>
        <w:t xml:space="preserve">p</w:t>
      </w:r>
      <w:r w:rsidRPr="00000000" w:rsidR="00000000" w:rsidDel="00000000">
        <w:rPr>
          <w:rtl w:val="0"/>
        </w:rPr>
        <w:t xml:space="preserve">) = 2</w:t>
      </w:r>
      <w:r w:rsidRPr="00000000" w:rsidR="00000000" w:rsidDel="00000000">
        <w:rPr>
          <w:i w:val="1"/>
          <w:rtl w:val="0"/>
        </w:rPr>
        <w:t xml:space="preserve">p</w:t>
      </w:r>
      <w:r w:rsidRPr="00000000" w:rsidR="00000000" w:rsidDel="00000000">
        <w:rPr>
          <w:rtl w:val="0"/>
        </w:rPr>
        <w:t xml:space="preserve"> + -1(1-</w:t>
      </w:r>
      <w:r w:rsidRPr="00000000" w:rsidR="00000000" w:rsidDel="00000000">
        <w:rPr>
          <w:i w:val="1"/>
          <w:rtl w:val="0"/>
        </w:rPr>
        <w:t xml:space="preserve">p</w:t>
      </w: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t xml:space="preserve">1-</w:t>
      </w:r>
      <w:r w:rsidRPr="00000000" w:rsidR="00000000" w:rsidDel="00000000">
        <w:rPr>
          <w:i w:val="1"/>
          <w:rtl w:val="0"/>
        </w:rPr>
        <w:t xml:space="preserve">p</w:t>
      </w:r>
      <w:r w:rsidRPr="00000000" w:rsidR="00000000" w:rsidDel="00000000">
        <w:rPr>
          <w:rtl w:val="0"/>
        </w:rPr>
        <w:t xml:space="preserve"> = 3</w:t>
      </w:r>
      <w:r w:rsidRPr="00000000" w:rsidR="00000000" w:rsidDel="00000000">
        <w:rPr>
          <w:i w:val="1"/>
          <w:rtl w:val="0"/>
        </w:rPr>
        <w:t xml:space="preserve">p</w:t>
      </w:r>
      <w:r w:rsidRPr="00000000" w:rsidR="00000000" w:rsidDel="00000000">
        <w:rPr>
          <w:rtl w:val="0"/>
        </w:rPr>
        <w:t xml:space="preserve"> -1</w:t>
      </w:r>
    </w:p>
    <w:p w:rsidP="00000000" w:rsidRPr="00000000" w:rsidR="00000000" w:rsidDel="00000000" w:rsidRDefault="00000000">
      <w:pPr>
        <w:ind w:left="0" w:firstLine="0"/>
        <w:contextualSpacing w:val="0"/>
      </w:pPr>
      <w:r w:rsidRPr="00000000" w:rsidR="00000000" w:rsidDel="00000000">
        <w:rPr>
          <w:rtl w:val="0"/>
        </w:rPr>
        <w:t xml:space="preserve">2 = 4</w:t>
      </w:r>
      <w:r w:rsidRPr="00000000" w:rsidR="00000000" w:rsidDel="00000000">
        <w:rPr>
          <w:i w:val="1"/>
          <w:rtl w:val="0"/>
        </w:rPr>
        <w:t xml:space="preserve">p</w:t>
      </w:r>
    </w:p>
    <w:p w:rsidP="00000000" w:rsidRPr="00000000" w:rsidR="00000000" w:rsidDel="00000000" w:rsidRDefault="00000000">
      <w:pPr>
        <w:ind w:left="0" w:firstLine="0"/>
        <w:contextualSpacing w:val="0"/>
      </w:pPr>
      <w:r w:rsidRPr="00000000" w:rsidR="00000000" w:rsidDel="00000000">
        <w:rPr>
          <w:i w:val="1"/>
          <w:rtl w:val="0"/>
        </w:rPr>
        <w:t xml:space="preserve">p</w:t>
      </w:r>
      <w:r w:rsidRPr="00000000" w:rsidR="00000000" w:rsidDel="00000000">
        <w:rPr>
          <w:rtl w:val="0"/>
        </w:rPr>
        <w:t xml:space="preserve"> = ½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Likewise, find P2’s mix that makes P1 indifferent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0</w:t>
      </w:r>
      <w:r w:rsidRPr="00000000" w:rsidR="00000000" w:rsidDel="00000000">
        <w:rPr>
          <w:i w:val="1"/>
          <w:rtl w:val="0"/>
        </w:rPr>
        <w:t xml:space="preserve">q</w:t>
      </w:r>
      <w:r w:rsidRPr="00000000" w:rsidR="00000000" w:rsidDel="00000000">
        <w:rPr>
          <w:rtl w:val="0"/>
        </w:rPr>
        <w:t xml:space="preserve"> + 1(1-</w:t>
      </w:r>
      <w:r w:rsidRPr="00000000" w:rsidR="00000000" w:rsidDel="00000000">
        <w:rPr>
          <w:i w:val="1"/>
          <w:rtl w:val="0"/>
        </w:rPr>
        <w:t xml:space="preserve">q</w:t>
      </w:r>
      <w:r w:rsidRPr="00000000" w:rsidR="00000000" w:rsidDel="00000000">
        <w:rPr>
          <w:rtl w:val="0"/>
        </w:rPr>
        <w:t xml:space="preserve">) = 1</w:t>
      </w:r>
      <w:r w:rsidRPr="00000000" w:rsidR="00000000" w:rsidDel="00000000">
        <w:rPr>
          <w:i w:val="1"/>
          <w:rtl w:val="0"/>
        </w:rPr>
        <w:t xml:space="preserve">q</w:t>
      </w:r>
      <w:r w:rsidRPr="00000000" w:rsidR="00000000" w:rsidDel="00000000">
        <w:rPr>
          <w:rtl w:val="0"/>
        </w:rPr>
        <w:t xml:space="preserve"> + -1(1-</w:t>
      </w:r>
      <w:r w:rsidRPr="00000000" w:rsidR="00000000" w:rsidDel="00000000">
        <w:rPr>
          <w:i w:val="1"/>
          <w:rtl w:val="0"/>
        </w:rPr>
        <w:t xml:space="preserve">q</w:t>
      </w: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i w:val="1"/>
          <w:rtl w:val="0"/>
        </w:rPr>
        <w:t xml:space="preserve">q </w:t>
      </w:r>
      <w:r w:rsidRPr="00000000" w:rsidR="00000000" w:rsidDel="00000000">
        <w:rPr>
          <w:rtl w:val="0"/>
        </w:rPr>
        <w:t xml:space="preserve">= ⅔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So there exists a mixed NE in which player one plays Call and Wait each with 50% probability and player two plays Call with a ⅔ probability and Wait with ⅓ probability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d. The most likely outcomes depends on the players; have they played this game before? If so, they likely have settled on a pure strategy outcome (pure strategies are payoff dominant over the mixed equilibrium) and (Call, Wait) is certainly preferred by P2. But if they have never had this happen, it’s conceivable that they have no expectation for what the other player will do and in this case it is arguable that they will mix. [Other sensible answers get credit.]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3. a.</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505325" cx="24765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505325" cx="24765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 Strategy sets: each player has two nodes, so a strategy has two components for each player. Denote “Leave” as L and “Wait” as 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P1 Strategy set: {LL, LW, WL, WW}</w:t>
      </w:r>
    </w:p>
    <w:p w:rsidP="00000000" w:rsidRPr="00000000" w:rsidR="00000000" w:rsidDel="00000000" w:rsidRDefault="00000000">
      <w:pPr>
        <w:ind w:left="0" w:firstLine="0"/>
        <w:contextualSpacing w:val="0"/>
      </w:pPr>
      <w:r w:rsidRPr="00000000" w:rsidR="00000000" w:rsidDel="00000000">
        <w:rPr>
          <w:rtl w:val="0"/>
        </w:rPr>
        <w:t xml:space="preserve">P2 Strategy set: {LL, LW, WL, WW}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 xml:space="preserve">c. </w:t>
      </w:r>
    </w:p>
    <w:tbl>
      <w:tblPr>
        <w:bidiVisual w:val="0"/>
        <w:tblW w:w="9085.0" w:type="dxa"/>
        <w:jc w:val="left"/>
        <w:tblBorders>
          <w:top w:color="cccccc" w:space="0" w:val="single" w:sz="8"/>
          <w:left w:color="cccccc" w:space="0" w:val="single" w:sz="8"/>
          <w:bottom w:color="cccccc" w:space="0" w:val="single" w:sz="8"/>
          <w:right w:color="cccccc" w:space="0" w:val="single" w:sz="8"/>
          <w:insideH w:color="cccccc" w:space="0" w:val="single" w:sz="8"/>
          <w:insideV w:color="cccccc" w:space="0" w:val="single" w:sz="8"/>
        </w:tblBorders>
        <w:tblLayout w:type="fixed"/>
      </w:tblPr>
      <w:tblGrid>
        <w:gridCol w:w="1805"/>
        <w:gridCol w:w="1820"/>
        <w:gridCol w:w="1820"/>
        <w:gridCol w:w="1820"/>
        <w:gridCol w:w="1820"/>
      </w:tblGrid>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WL</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LL</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10</w:t>
            </w:r>
            <w:r w:rsidRPr="00000000" w:rsidR="00000000" w:rsidDel="00000000">
              <w:rPr>
                <w:sz w:val="20"/>
                <w:rtl w:val="0"/>
              </w:rPr>
              <w:t xml:space="preserve">,</w:t>
            </w:r>
            <w:r w:rsidRPr="00000000" w:rsidR="00000000" w:rsidDel="00000000">
              <w:rPr>
                <w:sz w:val="20"/>
                <w:u w:val="single"/>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70</w:t>
            </w:r>
            <w:r w:rsidRPr="00000000" w:rsidR="00000000" w:rsidDel="00000000">
              <w:rPr>
                <w:sz w:val="20"/>
                <w:rtl w:val="0"/>
              </w:rPr>
              <w:t xml:space="preserve">,-30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90</w:t>
            </w: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90</w:t>
            </w:r>
            <w:r w:rsidRPr="00000000" w:rsidR="00000000" w:rsidDel="00000000">
              <w:rPr>
                <w:sz w:val="20"/>
                <w:rtl w:val="0"/>
              </w:rPr>
              <w:t xml:space="preserve">,-10</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WL</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-20,</w:t>
            </w:r>
            <w:r w:rsidRPr="00000000" w:rsidR="00000000" w:rsidDel="00000000">
              <w:rPr>
                <w:sz w:val="20"/>
                <w:u w:val="single"/>
                <w:rtl w:val="0"/>
              </w:rPr>
              <w:t xml:space="preserve">80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-20,</w:t>
            </w:r>
            <w:r w:rsidRPr="00000000" w:rsidR="00000000" w:rsidDel="00000000">
              <w:rPr>
                <w:sz w:val="20"/>
                <w:u w:val="single"/>
                <w:rtl w:val="0"/>
              </w:rPr>
              <w:t xml:space="preserve">80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90</w:t>
            </w: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u w:val="single"/>
                <w:rtl w:val="0"/>
              </w:rPr>
              <w:t xml:space="preserve">90</w:t>
            </w:r>
            <w:r w:rsidRPr="00000000" w:rsidR="00000000" w:rsidDel="00000000">
              <w:rPr>
                <w:sz w:val="20"/>
                <w:rtl w:val="0"/>
              </w:rPr>
              <w:t xml:space="preserve">,-10</w:t>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LL</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0 , </w:t>
            </w:r>
            <w:r w:rsidRPr="00000000" w:rsidR="00000000" w:rsidDel="00000000">
              <w:rPr>
                <w:sz w:val="20"/>
                <w:u w:val="single"/>
                <w:rtl w:val="0"/>
              </w:rPr>
              <w:t xml:space="preserve">100</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Two approaches: First is IDSDS. Leaving at first opportunity is dominated  by WW for both players, leaving 2x2 matrix with WW,WL remaining for both. In the reduced game, WW dominates WL for player 1 and after eliminating that, WW is dominant for player 2 as well leaving the unique (WW,WW) as the unique surviving profile. Alternatively, underline best responses leaves (WW,WW) as mutual best responses.</w:t>
      </w:r>
    </w:p>
    <w:p w:rsidP="00000000" w:rsidRPr="00000000" w:rsidR="00000000" w:rsidDel="00000000" w:rsidRDefault="00000000">
      <w:pPr>
        <w:contextualSpacing w:val="0"/>
      </w:pPr>
      <w:r w:rsidRPr="00000000" w:rsidR="00000000" w:rsidDel="00000000">
        <w:rPr>
          <w:rtl w:val="0"/>
        </w:rPr>
        <w:t xml:space="preserve">e. To find SPNE, use backward induction. At the last node, P2 will always Wait to receive 10 over -30. Given this, P1 will always wait to receive 10 over -20 at the 2nd to last node. Given this, P2 will always wait to receive 10 over -10 at P2’s first move and finally this means player 1’s opening move can be reduced to getting 0 by leaving or 10 by waiting, so P1 will Wait at the first node. Unique SPNE is (WW,WW).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a and 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Find best response function:</w:t>
      </w:r>
    </w:p>
    <w:p w:rsidP="00000000" w:rsidRPr="00000000" w:rsidR="00000000" w:rsidDel="00000000" w:rsidRDefault="00000000">
      <w:pPr>
        <w:contextualSpacing w:val="0"/>
      </w:pPr>
      <w:r w:rsidRPr="00000000" w:rsidR="00000000" w:rsidDel="00000000">
        <w:rPr>
          <w:rtl w:val="0"/>
        </w:rPr>
        <w:t xml:space="preserve">u</w:t>
      </w:r>
      <w:r w:rsidRPr="00000000" w:rsidR="00000000" w:rsidDel="00000000">
        <w:rPr>
          <w:vertAlign w:val="subscript"/>
          <w:rtl w:val="0"/>
        </w:rPr>
        <w:t xml:space="preserve">i</w:t>
      </w:r>
      <w:r w:rsidRPr="00000000" w:rsidR="00000000" w:rsidDel="00000000">
        <w:rPr>
          <w:rtl w:val="0"/>
        </w:rPr>
        <w:t xml:space="preserve"> = h</w:t>
      </w:r>
      <w:r w:rsidRPr="00000000" w:rsidR="00000000" w:rsidDel="00000000">
        <w:rPr>
          <w:vertAlign w:val="subscript"/>
          <w:rtl w:val="0"/>
        </w:rPr>
        <w:t xml:space="preserve">i</w:t>
      </w:r>
      <w:r w:rsidRPr="00000000" w:rsidR="00000000" w:rsidDel="00000000">
        <w:rPr>
          <w:rtl w:val="0"/>
        </w:rPr>
        <w:t xml:space="preserve">(1000-H) - 100h</w:t>
      </w:r>
      <w:r w:rsidRPr="00000000" w:rsidR="00000000" w:rsidDel="00000000">
        <w:rPr>
          <w:vertAlign w:val="subscript"/>
          <w:rtl w:val="0"/>
        </w:rPr>
        <w:t xml:space="preserve">i</w:t>
      </w:r>
      <w:r w:rsidRPr="00000000" w:rsidR="00000000" w:rsidDel="00000000">
        <w:rPr>
          <w:rtl w:val="0"/>
        </w:rPr>
        <w:t xml:space="preserve"> = h</w:t>
      </w:r>
      <w:r w:rsidRPr="00000000" w:rsidR="00000000" w:rsidDel="00000000">
        <w:rPr>
          <w:vertAlign w:val="subscript"/>
          <w:rtl w:val="0"/>
        </w:rPr>
        <w:t xml:space="preserve">i</w:t>
      </w:r>
      <w:r w:rsidRPr="00000000" w:rsidR="00000000" w:rsidDel="00000000">
        <w:rPr>
          <w:rtl w:val="0"/>
        </w:rPr>
        <w:t xml:space="preserve">(900-H) = h</w:t>
      </w:r>
      <w:r w:rsidRPr="00000000" w:rsidR="00000000" w:rsidDel="00000000">
        <w:rPr>
          <w:vertAlign w:val="subscript"/>
          <w:rtl w:val="0"/>
        </w:rPr>
        <w:t xml:space="preserve">i</w:t>
      </w:r>
      <w:r w:rsidRPr="00000000" w:rsidR="00000000" w:rsidDel="00000000">
        <w:rPr>
          <w:rtl w:val="0"/>
        </w:rPr>
        <w:t xml:space="preserve">(900 - H</w:t>
      </w:r>
      <w:r w:rsidRPr="00000000" w:rsidR="00000000" w:rsidDel="00000000">
        <w:rPr>
          <w:vertAlign w:val="subscript"/>
          <w:rtl w:val="0"/>
        </w:rPr>
        <w:t xml:space="preserve">-i</w:t>
      </w:r>
      <w:r w:rsidRPr="00000000" w:rsidR="00000000" w:rsidDel="00000000">
        <w:rPr>
          <w:rtl w:val="0"/>
        </w:rPr>
        <w:t xml:space="preserve"> - h</w:t>
      </w:r>
      <w:r w:rsidRPr="00000000" w:rsidR="00000000" w:rsidDel="00000000">
        <w:rPr>
          <w:vertAlign w:val="subscript"/>
          <w:rtl w:val="0"/>
        </w:rPr>
        <w:t xml:space="preserve">i</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du/dh = 900 - H</w:t>
      </w:r>
      <w:r w:rsidRPr="00000000" w:rsidR="00000000" w:rsidDel="00000000">
        <w:rPr>
          <w:vertAlign w:val="subscript"/>
          <w:rtl w:val="0"/>
        </w:rPr>
        <w:t xml:space="preserve">-i</w:t>
      </w:r>
      <w:r w:rsidRPr="00000000" w:rsidR="00000000" w:rsidDel="00000000">
        <w:rPr>
          <w:rtl w:val="0"/>
        </w:rPr>
        <w:t xml:space="preserve"> - 2h</w:t>
      </w:r>
      <w:r w:rsidRPr="00000000" w:rsidR="00000000" w:rsidDel="00000000">
        <w:rPr>
          <w:vertAlign w:val="subscript"/>
          <w:rtl w:val="0"/>
        </w:rPr>
        <w:t xml:space="preserve">i</w:t>
      </w:r>
      <w:r w:rsidRPr="00000000" w:rsidR="00000000" w:rsidDel="00000000">
        <w:rPr>
          <w:rtl w:val="0"/>
        </w:rPr>
        <w:t xml:space="preserve">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solve for h</w:t>
      </w:r>
      <w:r w:rsidRPr="00000000" w:rsidR="00000000" w:rsidDel="00000000">
        <w:rPr>
          <w:vertAlign w:val="subscript"/>
          <w:rtl w:val="0"/>
        </w:rPr>
        <w:t xml:space="preserve">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w:t>
      </w:r>
      <w:r w:rsidRPr="00000000" w:rsidR="00000000" w:rsidDel="00000000">
        <w:rPr>
          <w:vertAlign w:val="subscript"/>
          <w:rtl w:val="0"/>
        </w:rPr>
        <w:t xml:space="preserve">i</w:t>
      </w:r>
      <w:r w:rsidRPr="00000000" w:rsidR="00000000" w:rsidDel="00000000">
        <w:rPr>
          <w:rtl w:val="0"/>
        </w:rPr>
        <w:t xml:space="preserve">* = ½ (900-H</w:t>
      </w:r>
      <w:r w:rsidRPr="00000000" w:rsidR="00000000" w:rsidDel="00000000">
        <w:rPr>
          <w:vertAlign w:val="subscript"/>
          <w:rtl w:val="0"/>
        </w:rPr>
        <w:t xml:space="preserve">-i</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H</w:t>
      </w:r>
      <w:r w:rsidRPr="00000000" w:rsidR="00000000" w:rsidDel="00000000">
        <w:rPr>
          <w:vertAlign w:val="subscript"/>
          <w:rtl w:val="0"/>
        </w:rPr>
        <w:t xml:space="preserve">-i</w:t>
      </w:r>
      <w:r w:rsidRPr="00000000" w:rsidR="00000000" w:rsidDel="00000000">
        <w:rPr>
          <w:rtl w:val="0"/>
        </w:rPr>
        <w:t xml:space="preserve"> = 600, person </w:t>
      </w:r>
      <w:r w:rsidRPr="00000000" w:rsidR="00000000" w:rsidDel="00000000">
        <w:rPr>
          <w:i w:val="1"/>
          <w:rtl w:val="0"/>
        </w:rPr>
        <w:t xml:space="preserve">i</w:t>
      </w:r>
      <w:r w:rsidRPr="00000000" w:rsidR="00000000" w:rsidDel="00000000">
        <w:rPr>
          <w:rtl w:val="0"/>
        </w:rPr>
        <w:t xml:space="preserve">’s best response is h</w:t>
      </w:r>
      <w:r w:rsidRPr="00000000" w:rsidR="00000000" w:rsidDel="00000000">
        <w:rPr>
          <w:vertAlign w:val="subscript"/>
          <w:rtl w:val="0"/>
        </w:rPr>
        <w:t xml:space="preserve">i</w:t>
      </w:r>
      <w:r w:rsidRPr="00000000" w:rsidR="00000000" w:rsidDel="00000000">
        <w:rPr>
          <w:rtl w:val="0"/>
        </w:rPr>
        <w:t xml:space="preserve">*=½ (900-600) = 150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In a symmetric NE, all players are mutually best responding and are playing the same h, thus H</w:t>
      </w:r>
      <w:r w:rsidRPr="00000000" w:rsidR="00000000" w:rsidDel="00000000">
        <w:rPr>
          <w:vertAlign w:val="subscript"/>
          <w:rtl w:val="0"/>
        </w:rPr>
        <w:t xml:space="preserve">-i</w:t>
      </w:r>
      <w:r w:rsidRPr="00000000" w:rsidR="00000000" w:rsidDel="00000000">
        <w:rPr>
          <w:rtl w:val="0"/>
        </w:rPr>
        <w:t xml:space="preserve"> = (n-1)h</w:t>
      </w:r>
      <w:r w:rsidRPr="00000000" w:rsidR="00000000" w:rsidDel="00000000">
        <w:rPr>
          <w:vertAlign w:val="subscript"/>
          <w:rtl w:val="0"/>
        </w:rPr>
        <w:t xml:space="preserve">i</w:t>
      </w:r>
      <w:r w:rsidRPr="00000000" w:rsidR="00000000" w:rsidDel="00000000">
        <w:rPr>
          <w:rtl w:val="0"/>
        </w:rPr>
        <w:t xml:space="preserve"> = 8h</w:t>
      </w:r>
      <w:r w:rsidRPr="00000000" w:rsidR="00000000" w:rsidDel="00000000">
        <w:rPr>
          <w:vertAlign w:val="subscript"/>
          <w:rtl w:val="0"/>
        </w:rPr>
        <w:t xml:space="preserve">i</w:t>
      </w:r>
      <w:r w:rsidRPr="00000000" w:rsidR="00000000" w:rsidDel="00000000">
        <w:rPr>
          <w:rtl w:val="0"/>
        </w:rPr>
        <w:t xml:space="preserve"> . Plug this into BR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w:t>
      </w:r>
      <w:r w:rsidRPr="00000000" w:rsidR="00000000" w:rsidDel="00000000">
        <w:rPr>
          <w:vertAlign w:val="subscript"/>
          <w:rtl w:val="0"/>
        </w:rPr>
        <w:t xml:space="preserve">i</w:t>
      </w:r>
      <w:r w:rsidRPr="00000000" w:rsidR="00000000" w:rsidDel="00000000">
        <w:rPr>
          <w:rtl w:val="0"/>
        </w:rPr>
        <w:t xml:space="preserve"> = ½ (900-8h</w:t>
      </w:r>
      <w:r w:rsidRPr="00000000" w:rsidR="00000000" w:rsidDel="00000000">
        <w:rPr>
          <w:vertAlign w:val="subscript"/>
          <w:rtl w:val="0"/>
        </w:rPr>
        <w:t xml:space="preserve">i</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10h</w:t>
      </w:r>
      <w:r w:rsidRPr="00000000" w:rsidR="00000000" w:rsidDel="00000000">
        <w:rPr>
          <w:vertAlign w:val="subscript"/>
          <w:rtl w:val="0"/>
        </w:rPr>
        <w:t xml:space="preserve">i</w:t>
      </w:r>
      <w:r w:rsidRPr="00000000" w:rsidR="00000000" w:rsidDel="00000000">
        <w:rPr>
          <w:rtl w:val="0"/>
        </w:rPr>
        <w:t xml:space="preserve"> = 900</w:t>
      </w:r>
    </w:p>
    <w:p w:rsidP="00000000" w:rsidRPr="00000000" w:rsidR="00000000" w:rsidDel="00000000" w:rsidRDefault="00000000">
      <w:pPr>
        <w:contextualSpacing w:val="0"/>
      </w:pPr>
      <w:r w:rsidRPr="00000000" w:rsidR="00000000" w:rsidDel="00000000">
        <w:rPr>
          <w:rtl w:val="0"/>
        </w:rPr>
        <w:t xml:space="preserve">h</w:t>
      </w:r>
      <w:r w:rsidRPr="00000000" w:rsidR="00000000" w:rsidDel="00000000">
        <w:rPr>
          <w:vertAlign w:val="subscript"/>
          <w:rtl w:val="0"/>
        </w:rPr>
        <w:t xml:space="preserve">i</w:t>
      </w:r>
      <w:r w:rsidRPr="00000000" w:rsidR="00000000" w:rsidDel="00000000">
        <w:rPr>
          <w:rtl w:val="0"/>
        </w:rPr>
        <w:t xml:space="preserve"> = 90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the symmetric NE is for all 9 players each to fish for 90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To find social optimal, note that the sum of utilities can be written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U(H) = H(1000-H) - 100H = H(900-H)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U’(H) = 0 = 900 - 2H*</w:t>
      </w:r>
    </w:p>
    <w:p w:rsidP="00000000" w:rsidRPr="00000000" w:rsidR="00000000" w:rsidDel="00000000" w:rsidRDefault="00000000">
      <w:pPr>
        <w:contextualSpacing w:val="0"/>
      </w:pPr>
      <w:r w:rsidRPr="00000000" w:rsidR="00000000" w:rsidDel="00000000">
        <w:rPr>
          <w:rtl w:val="0"/>
        </w:rPr>
        <w:t xml:space="preserve">H* = 450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Total social utility is maximized at a quota of H = 450 hours, which implies an average of 50 hrs per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 There is a tragedy of the commons. If everybody has unrestricted access to the lake, everybody will fish for 90 hours each in equilibrium for a total of H = 810, which is more than is socially optimal, and gives a total social payoff of </w:t>
      </w:r>
    </w:p>
    <w:p w:rsidP="00000000" w:rsidRPr="00000000" w:rsidR="00000000" w:rsidDel="00000000" w:rsidRDefault="00000000">
      <w:pPr>
        <w:contextualSpacing w:val="0"/>
      </w:pPr>
      <w:r w:rsidRPr="00000000" w:rsidR="00000000" w:rsidDel="00000000">
        <w:rPr>
          <w:rtl w:val="0"/>
        </w:rPr>
        <w:t xml:space="preserve">U[NE] = 810(900-810) = 72900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social optimal level of H=450, total social payoff is</w:t>
      </w:r>
    </w:p>
    <w:p w:rsidP="00000000" w:rsidRPr="00000000" w:rsidR="00000000" w:rsidDel="00000000" w:rsidRDefault="00000000">
      <w:pPr>
        <w:contextualSpacing w:val="0"/>
      </w:pPr>
      <w:r w:rsidRPr="00000000" w:rsidR="00000000" w:rsidDel="00000000">
        <w:rPr>
          <w:rtl w:val="0"/>
        </w:rPr>
        <w:t xml:space="preserve">U[OPT] = 450(900-450) = 202500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the efficiency loss due to this tragedy of the commons outcome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(U[OPT] - U[NE]) / U[OPT] =  1- (72900 / 202500) = 0.64, or 64%.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Thus almost ⅔ of the potential payoff is lost in NE.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Key 166a 2013.docx</dc:title>
</cp:coreProperties>
</file>