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摘要要改</w:t>
      </w:r>
    </w:p>
    <w:p>
      <w:pPr>
        <w:rPr>
          <w:rFonts w:hint="eastAsia"/>
          <w:lang w:val="en-US" w:eastAsia="zh-CN"/>
        </w:rPr>
      </w:pPr>
      <w:r>
        <w:rPr>
          <w:rFonts w:hint="eastAsia"/>
          <w:lang w:val="en-US" w:eastAsia="zh-CN"/>
        </w:rPr>
        <w:t>5.2.3考虑加速度时对摆角、效率的优化模型</w:t>
      </w:r>
    </w:p>
    <w:p>
      <w:pPr>
        <w:keepNext w:val="0"/>
        <w:keepLines w:val="0"/>
        <w:widowControl/>
        <w:suppressLineNumbers w:val="0"/>
        <w:ind w:firstLine="420" w:firstLineChars="0"/>
        <w:jc w:val="left"/>
        <w:rPr>
          <w:rFonts w:hint="eastAsia"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对于第三问提出的问题，自变量比前两问增加了一个加速度</w:t>
      </w:r>
      <w:r>
        <w:rPr>
          <w:rFonts w:hint="default" w:ascii="Consolas" w:hAnsi="Consolas" w:eastAsia="Consolas" w:cs="Consolas"/>
          <w:b w:val="0"/>
          <w:color w:val="4EC9B0"/>
          <w:kern w:val="0"/>
          <w:sz w:val="16"/>
          <w:szCs w:val="16"/>
          <w:shd w:val="clear" w:fill="1E1E1E"/>
          <w:lang w:val="en-US" w:eastAsia="zh-CN" w:bidi="ar"/>
        </w:rPr>
        <w:t>$a,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4EC9B0"/>
          <w:kern w:val="0"/>
          <w:sz w:val="16"/>
          <w:szCs w:val="16"/>
          <w:shd w:val="clear" w:fill="1E1E1E"/>
          <w:lang w:val="en-US" w:eastAsia="zh-CN" w:bidi="ar"/>
        </w:rPr>
        <w:t>&lt;a\leq</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4EC9B0"/>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eastAsia" w:ascii="Consolas" w:hAnsi="Consolas" w:eastAsia="Consolas" w:cs="Consolas"/>
          <w:b w:val="0"/>
          <w:color w:val="D4D4D4"/>
          <w:kern w:val="0"/>
          <w:sz w:val="16"/>
          <w:szCs w:val="16"/>
          <w:shd w:val="clear" w:fill="1E1E1E"/>
          <w:lang w:val="en-US" w:eastAsia="zh-CN" w:bidi="ar"/>
        </w:rPr>
        <w:t>且货物运输的过程中缆绳拉力不得超过最大承载力。我们定义效率$\eta$为平均单位内时间吊运货物的最大质量，即$m_{max}/T_4$，则优化模型如下所示：</w:t>
      </w:r>
    </w:p>
    <w:p>
      <w:pPr>
        <w:keepNext w:val="0"/>
        <w:keepLines w:val="0"/>
        <w:widowControl/>
        <w:suppressLineNumbers w:val="0"/>
        <w:ind w:firstLine="420" w:firstLineChars="0"/>
        <w:jc w:val="left"/>
        <w:rPr>
          <w:rFonts w:hint="default" w:ascii="Consolas" w:hAnsi="Consolas" w:eastAsia="Consolas" w:cs="Consolas"/>
          <w:b w:val="0"/>
          <w:color w:val="D4D4D4"/>
          <w:kern w:val="0"/>
          <w:sz w:val="16"/>
          <w:szCs w:val="16"/>
          <w:shd w:val="clear" w:fill="1E1E1E"/>
          <w:lang w:val="en-US" w:eastAsia="zh-CN" w:bidi="ar"/>
        </w:rPr>
      </w:pPr>
      <w:r>
        <w:rPr>
          <w:rFonts w:ascii="宋体" w:hAnsi="宋体" w:eastAsia="宋体" w:cs="宋体"/>
          <w:sz w:val="24"/>
          <w:szCs w:val="24"/>
        </w:rPr>
        <w:t>\begin{array}{l}</w:t>
      </w:r>
      <w:r>
        <w:rPr>
          <w:rFonts w:ascii="宋体" w:hAnsi="宋体" w:eastAsia="宋体" w:cs="宋体"/>
          <w:sz w:val="24"/>
          <w:szCs w:val="24"/>
        </w:rPr>
        <w:br w:type="textWrapping"/>
      </w:r>
      <w:r>
        <w:rPr>
          <w:rFonts w:ascii="宋体" w:hAnsi="宋体" w:eastAsia="宋体" w:cs="宋体"/>
          <w:sz w:val="24"/>
          <w:szCs w:val="24"/>
        </w:rPr>
        <w:t>\max \eta \\</w:t>
      </w:r>
      <w:r>
        <w:rPr>
          <w:rFonts w:ascii="宋体" w:hAnsi="宋体" w:eastAsia="宋体" w:cs="宋体"/>
          <w:sz w:val="24"/>
          <w:szCs w:val="24"/>
        </w:rPr>
        <w:br w:type="textWrapping"/>
      </w:r>
      <w:r>
        <w:rPr>
          <w:rFonts w:ascii="宋体" w:hAnsi="宋体" w:eastAsia="宋体" w:cs="宋体"/>
          <w:sz w:val="24"/>
          <w:szCs w:val="24"/>
        </w:rPr>
        <w:t>\min \theta \\</w:t>
      </w:r>
      <w:r>
        <w:rPr>
          <w:rFonts w:ascii="宋体" w:hAnsi="宋体" w:eastAsia="宋体" w:cs="宋体"/>
          <w:sz w:val="24"/>
          <w:szCs w:val="24"/>
        </w:rPr>
        <w:br w:type="textWrapping"/>
      </w:r>
      <w:r>
        <w:rPr>
          <w:rFonts w:ascii="宋体" w:hAnsi="宋体" w:eastAsia="宋体" w:cs="宋体"/>
          <w:sz w:val="24"/>
          <w:szCs w:val="24"/>
        </w:rPr>
        <w:t>\text { s.t. }\left\{\begin{array}{c}</w:t>
      </w:r>
      <w:r>
        <w:rPr>
          <w:rFonts w:ascii="宋体" w:hAnsi="宋体" w:eastAsia="宋体" w:cs="宋体"/>
          <w:sz w:val="24"/>
          <w:szCs w:val="24"/>
        </w:rPr>
        <w:br w:type="textWrapping"/>
      </w:r>
      <w:r>
        <w:rPr>
          <w:rFonts w:ascii="宋体" w:hAnsi="宋体" w:eastAsia="宋体" w:cs="宋体"/>
          <w:sz w:val="24"/>
          <w:szCs w:val="24"/>
        </w:rPr>
        <w:t>F_{m}&lt;F_{\max }, 0 \leqslant t \leqslant T_{4} \\</w:t>
      </w:r>
      <w:r>
        <w:rPr>
          <w:rFonts w:ascii="宋体" w:hAnsi="宋体" w:eastAsia="宋体" w:cs="宋体"/>
          <w:sz w:val="24"/>
          <w:szCs w:val="24"/>
        </w:rPr>
        <w:br w:type="textWrapping"/>
      </w:r>
      <w:r>
        <w:rPr>
          <w:rFonts w:ascii="宋体" w:hAnsi="宋体" w:eastAsia="宋体" w:cs="宋体"/>
          <w:sz w:val="24"/>
          <w:szCs w:val="24"/>
        </w:rPr>
        <w:t>T_{4} \leqslant 120 s \\</w:t>
      </w:r>
      <w:r>
        <w:rPr>
          <w:rFonts w:ascii="宋体" w:hAnsi="宋体" w:eastAsia="宋体" w:cs="宋体"/>
          <w:sz w:val="24"/>
          <w:szCs w:val="24"/>
        </w:rPr>
        <w:br w:type="textWrapping"/>
      </w:r>
      <w:r>
        <w:rPr>
          <w:rFonts w:ascii="宋体" w:hAnsi="宋体" w:eastAsia="宋体" w:cs="宋体"/>
          <w:sz w:val="24"/>
          <w:szCs w:val="24"/>
        </w:rPr>
        <w:t>v_{4}&lt;0.5 m / s</w:t>
      </w:r>
      <w:r>
        <w:rPr>
          <w:rFonts w:ascii="宋体" w:hAnsi="宋体" w:eastAsia="宋体" w:cs="宋体"/>
          <w:sz w:val="24"/>
          <w:szCs w:val="24"/>
        </w:rPr>
        <w:br w:type="textWrapping"/>
      </w:r>
      <w:r>
        <w:rPr>
          <w:rFonts w:ascii="宋体" w:hAnsi="宋体" w:eastAsia="宋体" w:cs="宋体"/>
          <w:sz w:val="24"/>
          <w:szCs w:val="24"/>
        </w:rPr>
        <w:t>\end{array}\right.</w:t>
      </w:r>
      <w:r>
        <w:rPr>
          <w:rFonts w:ascii="宋体" w:hAnsi="宋体" w:eastAsia="宋体" w:cs="宋体"/>
          <w:sz w:val="24"/>
          <w:szCs w:val="24"/>
        </w:rPr>
        <w:br w:type="textWrapping"/>
      </w:r>
      <w:r>
        <w:rPr>
          <w:rFonts w:ascii="宋体" w:hAnsi="宋体" w:eastAsia="宋体" w:cs="宋体"/>
          <w:sz w:val="24"/>
          <w:szCs w:val="24"/>
        </w:rPr>
        <w:t>\end{array}</w:t>
      </w:r>
    </w:p>
    <w:p>
      <w:pPr>
        <w:pStyle w:val="2"/>
        <w:keepNext w:val="0"/>
        <w:keepLines w:val="0"/>
        <w:widowControl/>
        <w:suppressLineNumbers w:val="0"/>
        <w:shd w:val="clear" w:fill="FFFFFF"/>
        <w:spacing w:before="288" w:beforeAutospacing="0" w:after="288" w:afterAutospacing="0" w:line="15" w:lineRule="atLeast"/>
        <w:ind w:left="0" w:right="0" w:firstLine="0"/>
        <w:rPr>
          <w:rFonts w:hint="default" w:ascii="微软雅黑" w:hAnsi="微软雅黑" w:eastAsia="微软雅黑" w:cs="微软雅黑"/>
          <w:i w:val="0"/>
          <w:caps w:val="0"/>
          <w:color w:val="1A1A1A"/>
          <w:spacing w:val="0"/>
          <w:sz w:val="27"/>
          <w:szCs w:val="27"/>
          <w:shd w:val="clear" w:fill="FFFFFF"/>
          <w:lang w:val="en-US" w:eastAsia="zh-CN"/>
        </w:rPr>
      </w:pPr>
      <w:r>
        <w:rPr>
          <w:rFonts w:hint="eastAsia" w:ascii="Consolas" w:hAnsi="Consolas" w:eastAsia="Consolas" w:cs="Consolas"/>
          <w:b w:val="0"/>
          <w:color w:val="D4D4D4"/>
          <w:kern w:val="0"/>
          <w:sz w:val="16"/>
          <w:szCs w:val="16"/>
          <w:shd w:val="clear" w:fill="1E1E1E"/>
          <w:lang w:val="en-US" w:eastAsia="zh-CN" w:bidi="ar"/>
        </w:rPr>
        <w:t>由5.1中提出的货物运动的动力学模型</w:t>
      </w:r>
      <w:r>
        <w:rPr>
          <w:rFonts w:ascii="宋体" w:hAnsi="宋体" w:eastAsia="宋体" w:cs="宋体"/>
          <w:sz w:val="24"/>
          <w:szCs w:val="24"/>
        </w:rPr>
        <w:t>可知，货物的运动方程与货物质量</w:t>
      </w:r>
      <w:r>
        <w:rPr>
          <w:rFonts w:hint="eastAsia" w:ascii="宋体" w:hAnsi="宋体" w:eastAsia="宋体" w:cs="宋体"/>
          <w:sz w:val="24"/>
          <w:szCs w:val="24"/>
          <w:lang w:val="en-US" w:eastAsia="zh-CN"/>
        </w:rPr>
        <w:t>$</w:t>
      </w:r>
      <w:r>
        <w:rPr>
          <w:rFonts w:ascii="宋体" w:hAnsi="宋体" w:eastAsia="宋体" w:cs="宋体"/>
          <w:sz w:val="24"/>
          <w:szCs w:val="24"/>
        </w:rPr>
        <w:t>m</w:t>
      </w:r>
      <w:r>
        <w:rPr>
          <w:rFonts w:hint="eastAsia" w:ascii="宋体" w:hAnsi="宋体" w:eastAsia="宋体" w:cs="宋体"/>
          <w:sz w:val="24"/>
          <w:szCs w:val="24"/>
          <w:lang w:val="en-US" w:eastAsia="zh-CN"/>
        </w:rPr>
        <w:t>$</w:t>
      </w:r>
      <w:r>
        <w:rPr>
          <w:rFonts w:ascii="宋体" w:hAnsi="宋体" w:eastAsia="宋体" w:cs="宋体"/>
          <w:sz w:val="24"/>
          <w:szCs w:val="24"/>
        </w:rPr>
        <w:t>无关，在货物运动的加速度已经确定的情况下，吊绳拉力的大小正比于质量</w:t>
      </w:r>
      <w:r>
        <w:rPr>
          <w:rFonts w:hint="eastAsia" w:ascii="宋体" w:hAnsi="宋体" w:eastAsia="宋体" w:cs="宋体"/>
          <w:sz w:val="24"/>
          <w:szCs w:val="24"/>
          <w:lang w:val="en-US" w:eastAsia="zh-CN"/>
        </w:rPr>
        <w:t>$</w:t>
      </w:r>
      <w:r>
        <w:rPr>
          <w:rFonts w:ascii="宋体" w:hAnsi="宋体" w:eastAsia="宋体" w:cs="宋体"/>
          <w:sz w:val="24"/>
          <w:szCs w:val="24"/>
        </w:rPr>
        <w:t>m</w:t>
      </w:r>
      <w:r>
        <w:rPr>
          <w:rFonts w:hint="eastAsia" w:ascii="宋体" w:hAnsi="宋体" w:eastAsia="宋体" w:cs="宋体"/>
          <w:sz w:val="24"/>
          <w:szCs w:val="24"/>
          <w:lang w:val="en-US" w:eastAsia="zh-CN"/>
        </w:rPr>
        <w:t>$</w:t>
      </w:r>
      <w:r>
        <w:rPr>
          <w:rFonts w:ascii="宋体" w:hAnsi="宋体" w:eastAsia="宋体" w:cs="宋体"/>
          <w:sz w:val="24"/>
          <w:szCs w:val="24"/>
        </w:rPr>
        <w:t>。因此当运动过程中吊绳的最大拉力等于$T_{max}$时，对应的货物质量就是当前吊运方式能吊运的最大质量。即$m_{max}=\frac{T_{max}}{a_{max}}$,其中$a_{max}$是整个运动过程中去除重力加速度后的加速度最大值</w:t>
      </w:r>
      <w:r>
        <w:rPr>
          <w:rFonts w:hint="eastAsia" w:ascii="Consolas" w:hAnsi="Consolas" w:eastAsia="Consolas" w:cs="Consolas"/>
          <w:b w:val="0"/>
          <w:color w:val="D4D4D4"/>
          <w:kern w:val="0"/>
          <w:sz w:val="16"/>
          <w:szCs w:val="16"/>
          <w:shd w:val="clear" w:fill="1E1E1E"/>
          <w:lang w:val="en-US" w:eastAsia="zh-CN" w:bidi="ar"/>
        </w:rPr>
        <w:t>。对于该多目标问题，我们在5.1中模型的基础上采用NSGA-II</w:t>
      </w:r>
      <w:r>
        <w:rPr>
          <w:rFonts w:hint="eastAsia" w:ascii="Consolas" w:hAnsi="Consolas" w:eastAsia="Consolas" w:cs="Consolas"/>
          <w:b w:val="0"/>
          <w:color w:val="D4D4D4"/>
          <w:kern w:val="0"/>
          <w:sz w:val="16"/>
          <w:szCs w:val="16"/>
          <w:shd w:val="clear" w:fill="1E1E1E"/>
          <w:lang w:val="en-US" w:eastAsia="zh-CN" w:bidi="ar"/>
        </w:rPr>
        <w:t>（N</w:t>
      </w:r>
      <w:r>
        <w:rPr>
          <w:rFonts w:ascii="Times-Roman" w:hAnsi="Times-Roman" w:eastAsia="Times-Roman" w:cs="Times-Roman"/>
          <w:color w:val="000000"/>
          <w:kern w:val="0"/>
          <w:sz w:val="19"/>
          <w:szCs w:val="19"/>
          <w:lang w:val="en-US" w:eastAsia="zh-CN" w:bidi="ar"/>
        </w:rPr>
        <w:t xml:space="preserve">ondominated </w:t>
      </w:r>
      <w:r>
        <w:rPr>
          <w:rFonts w:hint="eastAsia" w:ascii="Times-Roman" w:hAnsi="Times-Roman" w:eastAsia="Times-Roman" w:cs="Times-Roman"/>
          <w:color w:val="000000"/>
          <w:kern w:val="0"/>
          <w:sz w:val="19"/>
          <w:szCs w:val="19"/>
          <w:lang w:val="en-US" w:eastAsia="zh-CN" w:bidi="ar"/>
        </w:rPr>
        <w:t>S</w:t>
      </w:r>
      <w:r>
        <w:rPr>
          <w:rFonts w:ascii="Times-Roman" w:hAnsi="Times-Roman" w:eastAsia="Times-Roman" w:cs="Times-Roman"/>
          <w:color w:val="000000"/>
          <w:kern w:val="0"/>
          <w:sz w:val="19"/>
          <w:szCs w:val="19"/>
          <w:lang w:val="en-US" w:eastAsia="zh-CN" w:bidi="ar"/>
        </w:rPr>
        <w:t xml:space="preserve">orting </w:t>
      </w:r>
      <w:r>
        <w:rPr>
          <w:rFonts w:hint="eastAsia" w:ascii="Times-Roman" w:hAnsi="Times-Roman" w:eastAsia="Times-Roman" w:cs="Times-Roman"/>
          <w:color w:val="000000"/>
          <w:kern w:val="0"/>
          <w:sz w:val="19"/>
          <w:szCs w:val="19"/>
          <w:lang w:val="en-US" w:eastAsia="zh-CN" w:bidi="ar"/>
        </w:rPr>
        <w:t>G</w:t>
      </w:r>
      <w:r>
        <w:rPr>
          <w:rFonts w:ascii="Times-Roman" w:hAnsi="Times-Roman" w:eastAsia="Times-Roman" w:cs="Times-Roman"/>
          <w:color w:val="000000"/>
          <w:kern w:val="0"/>
          <w:sz w:val="19"/>
          <w:szCs w:val="19"/>
          <w:lang w:val="en-US" w:eastAsia="zh-CN" w:bidi="ar"/>
        </w:rPr>
        <w:t xml:space="preserve">enetic </w:t>
      </w:r>
      <w:r>
        <w:rPr>
          <w:rFonts w:hint="eastAsia" w:ascii="Times-Roman" w:hAnsi="Times-Roman" w:eastAsia="Times-Roman" w:cs="Times-Roman"/>
          <w:color w:val="000000"/>
          <w:kern w:val="0"/>
          <w:sz w:val="19"/>
          <w:szCs w:val="19"/>
          <w:lang w:val="en-US" w:eastAsia="zh-CN" w:bidi="ar"/>
        </w:rPr>
        <w:t>A</w:t>
      </w:r>
      <w:r>
        <w:rPr>
          <w:rFonts w:ascii="Times-Roman" w:hAnsi="Times-Roman" w:eastAsia="Times-Roman" w:cs="Times-Roman"/>
          <w:color w:val="000000"/>
          <w:kern w:val="0"/>
          <w:sz w:val="19"/>
          <w:szCs w:val="19"/>
          <w:lang w:val="en-US" w:eastAsia="zh-CN" w:bidi="ar"/>
        </w:rPr>
        <w:t>lgorithm</w:t>
      </w:r>
      <w:r>
        <w:rPr>
          <w:rFonts w:hint="eastAsia" w:ascii="Times-Roman" w:hAnsi="Times-Roman" w:eastAsia="Times-Roman" w:cs="Times-Roman"/>
          <w:color w:val="000000"/>
          <w:kern w:val="0"/>
          <w:sz w:val="19"/>
          <w:szCs w:val="19"/>
          <w:lang w:val="en-US" w:eastAsia="zh-CN" w:bidi="ar"/>
        </w:rPr>
        <w:t>-II，</w:t>
      </w:r>
      <w:r>
        <w:rPr>
          <w:rFonts w:hint="eastAsia" w:ascii="微软雅黑" w:hAnsi="微软雅黑" w:eastAsia="微软雅黑" w:cs="微软雅黑"/>
          <w:b/>
          <w:i w:val="0"/>
          <w:caps w:val="0"/>
          <w:color w:val="1A1A1A"/>
          <w:spacing w:val="0"/>
          <w:sz w:val="28"/>
          <w:szCs w:val="28"/>
          <w:shd w:val="clear" w:fill="FFFFFF"/>
        </w:rPr>
        <w:t>非支配排序遗传算法</w:t>
      </w:r>
      <w:r>
        <w:rPr>
          <w:rFonts w:hint="eastAsia" w:ascii="微软雅黑" w:hAnsi="微软雅黑" w:eastAsia="微软雅黑" w:cs="微软雅黑"/>
          <w:b/>
          <w:i w:val="0"/>
          <w:caps w:val="0"/>
          <w:color w:val="1A1A1A"/>
          <w:spacing w:val="0"/>
          <w:sz w:val="28"/>
          <w:szCs w:val="28"/>
          <w:shd w:val="clear" w:fill="FFFFFF"/>
          <w:lang w:val="en-US" w:eastAsia="zh-CN"/>
        </w:rPr>
        <w:t>二</w:t>
      </w:r>
      <w:r>
        <w:rPr>
          <w:rFonts w:hint="eastAsia" w:ascii="Consolas" w:hAnsi="Consolas" w:eastAsia="Consolas" w:cs="Consolas"/>
          <w:b w:val="0"/>
          <w:color w:val="D4D4D4"/>
          <w:kern w:val="0"/>
          <w:sz w:val="16"/>
          <w:szCs w:val="16"/>
          <w:shd w:val="clear" w:fill="1E1E1E"/>
          <w:lang w:val="en-US" w:eastAsia="zh-CN" w:bidi="ar"/>
        </w:rPr>
        <w:t>）</w:t>
      </w:r>
      <w:r>
        <w:rPr>
          <w:rFonts w:hint="eastAsia" w:ascii="Consolas" w:hAnsi="Consolas" w:eastAsia="Consolas" w:cs="Consolas"/>
          <w:b w:val="0"/>
          <w:color w:val="D4D4D4"/>
          <w:kern w:val="0"/>
          <w:sz w:val="16"/>
          <w:szCs w:val="16"/>
          <w:shd w:val="clear" w:fill="1E1E1E"/>
          <w:lang w:val="en-US" w:eastAsia="zh-CN" w:bidi="ar"/>
        </w:rPr>
        <w:t>进行求解。</w:t>
      </w:r>
      <w:r>
        <w:rPr>
          <w:rFonts w:hint="eastAsia" w:ascii="微软雅黑" w:hAnsi="微软雅黑" w:eastAsia="微软雅黑" w:cs="微软雅黑"/>
          <w:i w:val="0"/>
          <w:caps w:val="0"/>
          <w:color w:val="1A1A1A"/>
          <w:spacing w:val="0"/>
          <w:sz w:val="27"/>
          <w:szCs w:val="27"/>
          <w:shd w:val="clear" w:fill="FFFFFF"/>
          <w:lang w:val="en-US" w:eastAsia="zh-CN"/>
        </w:rPr>
        <w:t>对于现有规模为种群，</w:t>
      </w:r>
      <w:r>
        <w:rPr>
          <w:rFonts w:hint="eastAsia" w:ascii="微软雅黑" w:hAnsi="微软雅黑" w:eastAsia="微软雅黑" w:cs="微软雅黑"/>
          <w:i w:val="0"/>
          <w:caps w:val="0"/>
          <w:color w:val="1A1A1A"/>
          <w:spacing w:val="0"/>
          <w:sz w:val="27"/>
          <w:szCs w:val="27"/>
          <w:shd w:val="clear" w:fill="FFFFFF"/>
          <w:lang w:val="en-US" w:eastAsia="zh-CN"/>
        </w:rPr>
        <w:t>其通过帕累托支配关系将种群分为$k$个非支配层，每个非支配层里的个体互无支配关系，并使用联赛选择法选择较优个体，其规则为：非支配等级越小的个体越优，若两个体非支配等级相同，则拥挤度越大的越优。优质个体选作新父种群，其产生的子群与该新父种群一起进行下一轮非支配排序。算法流程如下图所示：</w:t>
      </w:r>
    </w:p>
    <w:p>
      <w:pPr>
        <w:keepNext w:val="0"/>
        <w:keepLines w:val="0"/>
        <w:widowControl/>
        <w:suppressLineNumbers w:val="0"/>
        <w:jc w:val="left"/>
        <w:rPr>
          <w:rFonts w:hint="default" w:ascii="Consolas" w:hAnsi="Consolas" w:eastAsia="微软雅黑" w:cs="Consolas"/>
          <w:b w:val="0"/>
          <w:color w:val="D4D4D4"/>
          <w:kern w:val="0"/>
          <w:sz w:val="16"/>
          <w:szCs w:val="16"/>
          <w:shd w:val="clear" w:fill="1E1E1E"/>
          <w:lang w:val="en-US" w:eastAsia="zh-CN" w:bidi="ar"/>
        </w:rPr>
      </w:pPr>
      <w:r>
        <w:rPr>
          <w:rFonts w:hint="default" w:ascii="Consolas" w:hAnsi="Consolas" w:eastAsia="微软雅黑" w:cs="Consolas"/>
          <w:b w:val="0"/>
          <w:color w:val="D4D4D4"/>
          <w:kern w:val="0"/>
          <w:sz w:val="16"/>
          <w:szCs w:val="16"/>
          <w:shd w:val="clear" w:fill="1E1E1E"/>
          <w:lang w:val="en-US" w:eastAsia="zh-CN" w:bidi="ar"/>
        </w:rPr>
        <w:drawing>
          <wp:inline distT="0" distB="0" distL="114300" distR="114300">
            <wp:extent cx="3915410" cy="4686300"/>
            <wp:effectExtent l="0" t="0" r="1270" b="7620"/>
            <wp:docPr id="1" name="图片 1"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4"/>
                    <pic:cNvPicPr>
                      <a:picLocks noChangeAspect="1"/>
                    </pic:cNvPicPr>
                  </pic:nvPicPr>
                  <pic:blipFill>
                    <a:blip r:embed="rId4"/>
                    <a:stretch>
                      <a:fillRect/>
                    </a:stretch>
                  </pic:blipFill>
                  <pic:spPr>
                    <a:xfrm>
                      <a:off x="0" y="0"/>
                      <a:ext cx="3915410" cy="4686300"/>
                    </a:xfrm>
                    <a:prstGeom prst="rect">
                      <a:avLst/>
                    </a:prstGeom>
                  </pic:spPr>
                </pic:pic>
              </a:graphicData>
            </a:graphic>
          </wp:inline>
        </w:drawing>
      </w:r>
    </w:p>
    <w:p>
      <w:pPr>
        <w:keepNext w:val="0"/>
        <w:keepLines w:val="0"/>
        <w:widowControl/>
        <w:suppressLineNumbers w:val="0"/>
        <w:ind w:firstLine="420" w:firstLineChars="0"/>
        <w:jc w:val="left"/>
        <w:rPr>
          <w:rFonts w:hint="default" w:ascii="Consolas" w:hAnsi="Consolas" w:eastAsia="微软雅黑" w:cs="Consolas"/>
          <w:b w:val="0"/>
          <w:color w:val="D4D4D4"/>
          <w:kern w:val="0"/>
          <w:sz w:val="16"/>
          <w:szCs w:val="16"/>
          <w:shd w:val="clear" w:fill="1E1E1E"/>
          <w:lang w:val="en-US" w:eastAsia="zh-CN" w:bidi="ar"/>
        </w:rPr>
      </w:pPr>
      <w:r>
        <w:rPr>
          <w:rFonts w:hint="eastAsia" w:ascii="Consolas" w:hAnsi="Consolas" w:eastAsia="微软雅黑" w:cs="Consolas"/>
          <w:b w:val="0"/>
          <w:color w:val="D4D4D4"/>
          <w:kern w:val="0"/>
          <w:sz w:val="16"/>
          <w:szCs w:val="16"/>
          <w:shd w:val="clear" w:fill="1E1E1E"/>
          <w:lang w:val="en-US" w:eastAsia="zh-CN" w:bidi="ar"/>
        </w:rPr>
        <w:t>最后一轮迭代结束后，我们能够得到一组互不支配的帕累托占优解。类似问题二的求解方法，我们使用熵权法确定各目标的权值，并通过逼近理想排序在解集种找出相对较优的一组解作为该问题答案。</w:t>
      </w:r>
    </w:p>
    <w:p>
      <w:pPr>
        <w:keepNext w:val="0"/>
        <w:keepLines w:val="0"/>
        <w:widowControl/>
        <w:suppressLineNumbers w:val="0"/>
        <w:jc w:val="left"/>
        <w:rPr>
          <w:rFonts w:hint="eastAsia" w:ascii="Consolas" w:hAnsi="Consolas" w:eastAsia="微软雅黑" w:cs="Consolas"/>
          <w:b w:val="0"/>
          <w:color w:val="D4D4D4"/>
          <w:kern w:val="0"/>
          <w:sz w:val="28"/>
          <w:szCs w:val="28"/>
          <w:shd w:val="clear" w:fill="1E1E1E"/>
          <w:lang w:val="en-US" w:eastAsia="zh-CN" w:bidi="ar"/>
        </w:rPr>
      </w:pPr>
      <w:r>
        <w:rPr>
          <w:rFonts w:hint="eastAsia" w:ascii="Consolas" w:hAnsi="Consolas" w:eastAsia="微软雅黑" w:cs="Consolas"/>
          <w:b w:val="0"/>
          <w:color w:val="D4D4D4"/>
          <w:kern w:val="0"/>
          <w:sz w:val="28"/>
          <w:szCs w:val="28"/>
          <w:shd w:val="clear" w:fill="1E1E1E"/>
          <w:lang w:val="en-US" w:eastAsia="zh-CN" w:bidi="ar"/>
        </w:rPr>
        <w:t>6.3第三问的求解</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考虑到当$(t_1,t_3)$取值不当时模型会由于不满足限制而返回极大值，因此我们取$t_1=[3,10]$,$t_2=[3,10]$,$a=[0,1]$作为搜索空间，设置种群规模$n=1000$，最大遗传代数100代，迭代求出帕累托解集如下图所示：</w:t>
      </w:r>
    </w:p>
    <w:p>
      <w:pPr>
        <w:keepNext w:val="0"/>
        <w:keepLines w:val="0"/>
        <w:widowControl/>
        <w:suppressLineNumbers w:val="0"/>
        <w:jc w:val="left"/>
        <w:rPr>
          <w:rFonts w:hint="default" w:ascii="微软雅黑" w:hAnsi="微软雅黑" w:eastAsia="微软雅黑" w:cs="微软雅黑"/>
          <w:i w:val="0"/>
          <w:caps w:val="0"/>
          <w:color w:val="1A1A1A"/>
          <w:spacing w:val="0"/>
          <w:sz w:val="27"/>
          <w:szCs w:val="27"/>
          <w:shd w:val="clear" w:fill="FFFFFF"/>
          <w:lang w:val="en-US" w:eastAsia="zh-CN"/>
        </w:rPr>
      </w:pPr>
      <w:r>
        <w:rPr>
          <w:rFonts w:hint="default" w:ascii="微软雅黑" w:hAnsi="微软雅黑" w:eastAsia="微软雅黑" w:cs="微软雅黑"/>
          <w:i w:val="0"/>
          <w:caps w:val="0"/>
          <w:color w:val="1A1A1A"/>
          <w:spacing w:val="0"/>
          <w:sz w:val="27"/>
          <w:szCs w:val="27"/>
          <w:shd w:val="clear" w:fill="FFFFFF"/>
          <w:lang w:val="en-US" w:eastAsia="zh-CN"/>
        </w:rPr>
        <w:drawing>
          <wp:inline distT="0" distB="0" distL="114300" distR="114300">
            <wp:extent cx="5274310" cy="3955415"/>
            <wp:effectExtent l="0" t="0" r="13970" b="6985"/>
            <wp:docPr id="2" name="图片 2" descr="pa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ret"/>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bookmarkStart w:id="0" w:name="_GoBack"/>
      <w:r>
        <w:rPr>
          <w:rFonts w:hint="eastAsia" w:ascii="微软雅黑" w:hAnsi="微软雅黑" w:eastAsia="微软雅黑" w:cs="微软雅黑"/>
          <w:i w:val="0"/>
          <w:caps w:val="0"/>
          <w:color w:val="1A1A1A"/>
          <w:spacing w:val="0"/>
          <w:sz w:val="27"/>
          <w:szCs w:val="27"/>
          <w:shd w:val="clear" w:fill="FFFFFF"/>
          <w:lang w:val="en-US" w:eastAsia="zh-CN"/>
        </w:rPr>
        <w:t>我们用熵权法确定各目标权值。设解集中有$n$个解，有$m$个目标函数。第$i$个解的第$j$个指标$d_{ij}$，我们对其进行向量归一化：</w:t>
      </w:r>
    </w:p>
    <w:p>
      <w:pPr>
        <w:keepNext w:val="0"/>
        <w:keepLines w:val="0"/>
        <w:widowControl/>
        <w:suppressLineNumbers w:val="0"/>
        <w:jc w:val="left"/>
        <w:rPr>
          <w:rFonts w:hint="default" w:ascii="微软雅黑" w:hAnsi="微软雅黑" w:eastAsia="微软雅黑" w:cs="微软雅黑"/>
          <w:i w:val="0"/>
          <w:caps w:val="0"/>
          <w:color w:val="1A1A1A"/>
          <w:spacing w:val="0"/>
          <w:sz w:val="27"/>
          <w:szCs w:val="27"/>
          <w:shd w:val="clear" w:fill="FFFFFF"/>
          <w:lang w:val="en-US" w:eastAsia="zh-CN"/>
        </w:rPr>
      </w:pPr>
      <w:r>
        <w:rPr>
          <w:rFonts w:hint="default" w:ascii="微软雅黑" w:hAnsi="微软雅黑" w:eastAsia="微软雅黑" w:cs="微软雅黑"/>
          <w:i w:val="0"/>
          <w:caps w:val="0"/>
          <w:color w:val="1A1A1A"/>
          <w:spacing w:val="0"/>
          <w:sz w:val="27"/>
          <w:szCs w:val="27"/>
          <w:shd w:val="clear" w:fill="FFFFFF"/>
          <w:lang w:val="en-US" w:eastAsia="zh-CN"/>
        </w:rPr>
        <w:t>p_{ij}=\frac{d_{ij}}{\sum_{i=1}^{n}d_{ij}}}</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其中各指标的熵值为</w:t>
      </w:r>
    </w:p>
    <w:p>
      <w:pPr>
        <w:keepNext w:val="0"/>
        <w:keepLines w:val="0"/>
        <w:widowControl/>
        <w:suppressLineNumbers w:val="0"/>
        <w:jc w:val="left"/>
        <w:rPr>
          <w:rFonts w:hint="default" w:ascii="微软雅黑" w:hAnsi="微软雅黑" w:eastAsia="微软雅黑" w:cs="微软雅黑"/>
          <w:i w:val="0"/>
          <w:caps w:val="0"/>
          <w:color w:val="1A1A1A"/>
          <w:spacing w:val="0"/>
          <w:sz w:val="27"/>
          <w:szCs w:val="27"/>
          <w:shd w:val="clear" w:fill="FFFFFF"/>
          <w:lang w:val="en-US" w:eastAsia="zh-CN"/>
        </w:rPr>
      </w:pPr>
      <w:r>
        <w:rPr>
          <w:rFonts w:hint="default" w:ascii="微软雅黑" w:hAnsi="微软雅黑" w:eastAsia="微软雅黑" w:cs="微软雅黑"/>
          <w:i w:val="0"/>
          <w:caps w:val="0"/>
          <w:color w:val="1A1A1A"/>
          <w:spacing w:val="0"/>
          <w:sz w:val="27"/>
          <w:szCs w:val="27"/>
          <w:shd w:val="clear" w:fill="FFFFFF"/>
          <w:lang w:val="en-US" w:eastAsia="zh-CN"/>
        </w:rPr>
        <w:t>e_j=-k\sum_{i=1}^{n}p_{ij}lnp_{ij}</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其中$k=1/$ln$n$。由此，各指标的权重为：</w:t>
      </w:r>
    </w:p>
    <w:p>
      <w:pPr>
        <w:keepNext w:val="0"/>
        <w:keepLines w:val="0"/>
        <w:widowControl/>
        <w:suppressLineNumbers w:val="0"/>
        <w:jc w:val="left"/>
        <w:rPr>
          <w:rFonts w:hint="default" w:ascii="微软雅黑" w:hAnsi="微软雅黑" w:eastAsia="微软雅黑" w:cs="微软雅黑"/>
          <w:i w:val="0"/>
          <w:caps w:val="0"/>
          <w:color w:val="1A1A1A"/>
          <w:spacing w:val="0"/>
          <w:sz w:val="27"/>
          <w:szCs w:val="27"/>
          <w:shd w:val="clear" w:fill="FFFFFF"/>
          <w:lang w:val="en-US" w:eastAsia="zh-CN"/>
        </w:rPr>
      </w:pPr>
      <w:r>
        <w:rPr>
          <w:rFonts w:hint="default" w:ascii="微软雅黑" w:hAnsi="微软雅黑" w:eastAsia="微软雅黑" w:cs="微软雅黑"/>
          <w:i w:val="0"/>
          <w:caps w:val="0"/>
          <w:color w:val="1A1A1A"/>
          <w:spacing w:val="0"/>
          <w:sz w:val="27"/>
          <w:szCs w:val="27"/>
          <w:shd w:val="clear" w:fill="FFFFFF"/>
          <w:lang w:val="en-US" w:eastAsia="zh-CN"/>
        </w:rPr>
        <w:t>h_j=\frac{1-e_j}{\sum_{k=1}^{m}(1-e_k)}</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我们首先将解集中的角度转化由成本型指标转化为效益性指标，即令$\theta_i^</w:t>
      </w:r>
      <w:r>
        <w:rPr>
          <w:rFonts w:hint="default" w:ascii="微软雅黑" w:hAnsi="微软雅黑" w:eastAsia="微软雅黑" w:cs="微软雅黑"/>
          <w:i w:val="0"/>
          <w:caps w:val="0"/>
          <w:color w:val="1A1A1A"/>
          <w:spacing w:val="0"/>
          <w:sz w:val="27"/>
          <w:szCs w:val="27"/>
          <w:shd w:val="clear" w:fill="FFFFFF"/>
          <w:lang w:val="en-US" w:eastAsia="zh-CN"/>
        </w:rPr>
        <w:t>’</w:t>
      </w:r>
      <w:r>
        <w:rPr>
          <w:rFonts w:hint="eastAsia" w:ascii="微软雅黑" w:hAnsi="微软雅黑" w:eastAsia="微软雅黑" w:cs="微软雅黑"/>
          <w:i w:val="0"/>
          <w:caps w:val="0"/>
          <w:color w:val="1A1A1A"/>
          <w:spacing w:val="0"/>
          <w:sz w:val="27"/>
          <w:szCs w:val="27"/>
          <w:shd w:val="clear" w:fill="FFFFFF"/>
          <w:lang w:val="en-US" w:eastAsia="zh-CN"/>
        </w:rPr>
        <w:t>$=$-\theta_i$。随后对每种指标采用$Z$标准化，即</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\left\{\begin{matrix}</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 xml:space="preserve"> \theta_{zi}=\frac{\theta_i-\mu _\theta}{\sigma _{\theta_i}}&amp;\\</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 xml:space="preserve"> \eta _{zi}=\frac{\eta_i-\mu _\eta}{\sigma _{\eta_i}}&amp;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\end{matrix}\right.</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其中$\mu _\theta,\mu _\eta,\sigma _{\theta_i},\sigma _{\eta_i}$分别为$\theta_i,\eta_i$的均值和标准差。由此得到最大平均货运效率和最大摆动角度的权值分别为</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$w_\eta=0.554,w_\theta=0.447$。</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使用TOPSIS法和对加权后的解进行排序，排序前十的结果如下表</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\begin{table}[]</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\begin{tabular}{llllll}</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$a(m/s^2)$ &amp; $t_1$ &amp; $t_3$ &amp; \textbackslash{}eta\_i &amp; \textbackslash{}theta\_i &amp; rank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0.74       &amp; 8.01  &amp; 7.55  &amp; 320.77                 &amp; 0.0150                   &amp; 1.00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0.74       &amp; 8.01  &amp; 7.55  &amp; 320.70                 &amp; 0.0150                   &amp; 2.00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0.77       &amp; 7.94  &amp; 7.50  &amp; 318.27                 &amp; 0.0141                   &amp; 3.00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0.77       &amp; 7.94  &amp; 7.50  &amp; 318.10                 &amp; 0.0140                   &amp; 4.00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0.74       &amp; 8.01  &amp; 7.56  &amp; 320.50                 &amp; 0.0149                   &amp; 5.00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0.74       &amp; 8.01  &amp; 7.56  &amp; 320.89                 &amp; 0.0151                   &amp; 6.00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0.77       &amp; 7.94  &amp; 7.51  &amp; 318.31                 &amp; 0.0141                   &amp; 7.00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0.74       &amp; 8.02  &amp; 7.56  &amp; 320.53                 &amp; 0.0149                   &amp; 8.00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0.74       &amp; 8.01  &amp; 7.56  &amp; 320.85                 &amp; 0.0151                   &amp; 9.00  \\</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0.74       &amp; 8.02  &amp; 7.56  &amp; 320.97                 &amp; 0.0151                   &amp; 10.00</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\end{tabular}</w:t>
      </w:r>
    </w:p>
    <w:p>
      <w:pPr>
        <w:keepNext w:val="0"/>
        <w:keepLines w:val="0"/>
        <w:widowControl/>
        <w:suppressLineNumbers w:val="0"/>
        <w:jc w:val="left"/>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\end{table}</w:t>
      </w:r>
    </w:p>
    <w:p>
      <w:pPr>
        <w:keepNext w:val="0"/>
        <w:keepLines w:val="0"/>
        <w:widowControl/>
        <w:suppressLineNumbers w:val="0"/>
        <w:jc w:val="left"/>
        <w:rPr>
          <w:rFonts w:hint="default"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1A1A1A"/>
          <w:spacing w:val="0"/>
          <w:sz w:val="27"/>
          <w:szCs w:val="27"/>
          <w:shd w:val="clear" w:fill="FFFFFF"/>
          <w:lang w:val="en-US" w:eastAsia="zh-CN"/>
        </w:rPr>
        <w:t>由此可知，当考虑缆绳最大承载力和加速度时，令$a=0.75m/s^2$,$(t_1,t_2,t_3,t_4)$=(8.00s,2.01s,7.55s,50s)$可在吊运效率和最大吊运角度间进行较好权衡，此时最大</w:t>
      </w:r>
      <w:r>
        <w:rPr>
          <w:rFonts w:hint="eastAsia" w:cs="+mj-cs"/>
          <w:bCs/>
          <w:kern w:val="24"/>
          <w:sz w:val="28"/>
          <w:szCs w:val="28"/>
        </w:rPr>
        <w:t>起吊货物重量</w:t>
      </w:r>
      <w:r>
        <w:rPr>
          <w:rFonts w:hint="eastAsia" w:ascii="微软雅黑" w:hAnsi="微软雅黑" w:eastAsia="微软雅黑" w:cs="微软雅黑"/>
          <w:i w:val="0"/>
          <w:caps w:val="0"/>
          <w:color w:val="1A1A1A"/>
          <w:spacing w:val="0"/>
          <w:sz w:val="27"/>
          <w:szCs w:val="27"/>
          <w:shd w:val="clear" w:fill="FFFFFF"/>
          <w:lang w:val="en-US" w:eastAsia="zh-CN"/>
        </w:rPr>
        <w:t>$m_{max}$=19784kg$。</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imes-Roman">
    <w:altName w:val="Times New Roman"/>
    <w:panose1 w:val="00000000000000000000"/>
    <w:charset w:val="00"/>
    <w:family w:val="auto"/>
    <w:pitch w:val="default"/>
    <w:sig w:usb0="00000000" w:usb1="00000000" w:usb2="00000000" w:usb3="00000000" w:csb0="00000000" w:csb1="00000000"/>
  </w:font>
  <w:font w:name="+mj-cs">
    <w:altName w:val="Euphorigenic"/>
    <w:panose1 w:val="00000000000000000000"/>
    <w:charset w:val="00"/>
    <w:family w:val="roman"/>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574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2020-08-15T05:55:59Z</dcterms:created>
  <dc:creator>admin</dc:creator>
  <cp:lastModifiedBy>lzh</cp:lastModifiedBy>
  <dcterms:modified xsi:type="dcterms:W3CDTF">2020-08-15T12:22:30Z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