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Условия предоставления услуг (генерация заявок / целевых обращений)</w:t>
      </w:r>
    </w:p>
    <w:p>
      <w:r>
        <w:t>Предмет услуги — Исполнитель передает Заказчику контактные данные лиц, оставивших заявку с явным намерением приобрести товар/услугу Заказчика (далее — «целевое обращение»).</w:t>
      </w:r>
    </w:p>
    <w:p>
      <w:pPr>
        <w:pStyle w:val="Heading2"/>
      </w:pPr>
      <w:r>
        <w:t>Критерии целевого обращения</w:t>
      </w:r>
    </w:p>
    <w:p>
      <w:pPr>
        <w:pStyle w:val="ListBullet"/>
      </w:pPr>
      <w:r>
        <w:t>Указание конкретного товара/услуги или цены.</w:t>
      </w:r>
    </w:p>
    <w:p>
      <w:pPr>
        <w:pStyle w:val="ListBullet"/>
      </w:pPr>
      <w:r>
        <w:t>Наличие контактных данных (телефон, email, мессенджер).</w:t>
      </w:r>
    </w:p>
    <w:p>
      <w:pPr>
        <w:pStyle w:val="ListBullet"/>
      </w:pPr>
      <w:r>
        <w:t>Согласие лица на обратную связь от Заказчика.</w:t>
      </w:r>
    </w:p>
    <w:p>
      <w:pPr>
        <w:pStyle w:val="ListBullet"/>
      </w:pPr>
      <w:r>
        <w:t>Отсутствие признаков бота, спама или нерелевантного запроса.</w:t>
      </w:r>
    </w:p>
    <w:p>
      <w:pPr>
        <w:pStyle w:val="Heading2"/>
      </w:pPr>
      <w:r>
        <w:t>Стоимость</w:t>
      </w:r>
    </w:p>
    <w:p>
      <w:r>
        <w:t>200 рублей за одно целевое обращение.</w:t>
      </w:r>
    </w:p>
    <w:p>
      <w:r>
        <w:t>Нецелевые обращения (спам, пустые звонки, «просто посмотреть», отказ от общения) не оплачиваются.</w:t>
      </w:r>
    </w:p>
    <w:p>
      <w:pPr>
        <w:pStyle w:val="Heading2"/>
      </w:pPr>
      <w:r>
        <w:t>Фиксация результата</w:t>
      </w:r>
    </w:p>
    <w:p>
      <w:r>
        <w:t>Исполнитель предоставляет отчёт (скриншоты, запись звонка, выгрузку из CRM) с подтверждением, что обращение соответствует критериям.</w:t>
      </w:r>
    </w:p>
    <w:p>
      <w:pPr>
        <w:pStyle w:val="Heading2"/>
      </w:pPr>
      <w:r>
        <w:t>Сроки оказания</w:t>
      </w:r>
    </w:p>
    <w:p>
      <w:r>
        <w:t>Услуга считается оказанной в момент передачи отчёта по целевому обращению. Акт закрывается ежемесячно или по достижении суммы 5 000 ₽ (по выбору Заказчика).</w:t>
      </w:r>
    </w:p>
    <w:p>
      <w:pPr>
        <w:pStyle w:val="Heading2"/>
      </w:pPr>
      <w:r>
        <w:t>Доставка (не применимо для услуги)</w:t>
      </w:r>
    </w:p>
    <w:p>
      <w:r>
        <w:t>Услуга оказывается удалённо. Передача результата осуществляется через мессенджеры, email или личный кабинет. Физическая доставка товаров не предусмотрена.</w:t>
      </w:r>
    </w:p>
    <w:p>
      <w:pPr>
        <w:pStyle w:val="Heading1"/>
      </w:pPr>
      <w:r>
        <w:t>Процедура возврата и отказа от покупки (услуги генерации заявок)</w:t>
      </w:r>
    </w:p>
    <w:p>
      <w:pPr>
        <w:pStyle w:val="Heading2"/>
      </w:pPr>
      <w:r>
        <w:t>Отказ заказчика от услуги</w:t>
      </w:r>
    </w:p>
    <w:p>
      <w:r>
        <w:t>Заказчик вправе отказаться от дальнейшего оказания услуги в любое время, направив уведомление на email или в мессенджер не менее чем за 1 рабочий день.</w:t>
      </w:r>
    </w:p>
    <w:p>
      <w:r>
        <w:t>Уже переданные целевые обращения возврату и оплате не подлежат — услуга считается оказанной надлежащим образом.</w:t>
      </w:r>
    </w:p>
    <w:p>
      <w:pPr>
        <w:pStyle w:val="Heading2"/>
      </w:pPr>
      <w:r>
        <w:t>Возврат денег</w:t>
      </w:r>
    </w:p>
    <w:p>
      <w:r>
        <w:t>Возврат возможен только в случае, если Исполнитель не смог предоставить ни одного целевого обращения в рамках оплаченного аванса (если аванс был).</w:t>
      </w:r>
    </w:p>
    <w:p>
      <w:r>
        <w:t>Возврат производится за вычетом фактически переданных целевых обращений по цене 200 ₽/шт.</w:t>
      </w:r>
    </w:p>
    <w:p>
      <w:r>
        <w:t>Срок рассмотрения претензии — 3 рабочих дня.</w:t>
      </w:r>
    </w:p>
    <w:p>
      <w:r>
        <w:t>Срок возврата на карту/счёт — до 10 рабочих дней после принятия положительного решения.</w:t>
      </w:r>
    </w:p>
    <w:p>
      <w:pPr>
        <w:pStyle w:val="Heading2"/>
      </w:pPr>
      <w:r>
        <w:t>Спорные ситуации</w:t>
      </w:r>
    </w:p>
    <w:p>
      <w:r>
        <w:t>Если Заказчик не согласен с квалификацией обращения как «целевое», он должен сообщить об этом в течение 2 рабочих дней с момента получения отчёта.</w:t>
      </w:r>
    </w:p>
    <w:p>
      <w:r>
        <w:t>В противном случае обращение считается принятым и подлежит оплате.</w:t>
      </w:r>
    </w:p>
    <w:p>
      <w:pPr>
        <w:pStyle w:val="Heading2"/>
      </w:pPr>
      <w:r>
        <w:t>Полный отказ от услуги (расторжение)</w:t>
      </w:r>
    </w:p>
    <w:p>
      <w:r>
        <w:t>Расторжение договора — по письменному соглашению сторон или в одностороннем порядке с уведомлением за 3 дня.</w:t>
      </w:r>
    </w:p>
    <w:p>
      <w:r>
        <w:t>На дату расторжения Заказчик оплачивает все переданные целевые обращения. Неиспользованный аванс возвращается в течение 10 дней.</w:t>
      </w:r>
    </w:p>
    <w:p>
      <w:pPr>
        <w:pStyle w:val="Heading2"/>
      </w:pPr>
      <w:r>
        <w:t>Контакты для возвратов и отказов</w:t>
      </w:r>
    </w:p>
    <w:p>
      <w:r>
        <w:t>Телефон поддержки (по возвратам): +7 963 522-93-62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