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800C9" w14:textId="77777777" w:rsidR="008A567B" w:rsidRDefault="008A567B">
      <w:pPr>
        <w:ind w:firstLine="0"/>
      </w:pPr>
    </w:p>
    <w:p w14:paraId="6A93031F" w14:textId="77777777" w:rsidR="008A567B" w:rsidRDefault="008A567B">
      <w:pPr>
        <w:ind w:firstLine="0"/>
      </w:pPr>
    </w:p>
    <w:p w14:paraId="5C34AE6C" w14:textId="77777777" w:rsidR="008A567B" w:rsidRPr="00871A44" w:rsidRDefault="00FD65BD">
      <w:pPr>
        <w:pStyle w:val="31"/>
        <w:rPr>
          <w:lang w:val="ru-RU"/>
        </w:rPr>
      </w:pPr>
      <w:bookmarkStart w:id="0" w:name="_Toc233907767"/>
      <w:r w:rsidRPr="00871A44">
        <w:rPr>
          <w:lang w:val="ru-RU"/>
        </w:rPr>
        <w:t>4.2.11 Конфигурирование, расчёт цены (</w:t>
      </w:r>
      <w:r>
        <w:t>CPQ</w:t>
      </w:r>
      <w:r w:rsidRPr="00871A44">
        <w:rPr>
          <w:lang w:val="ru-RU"/>
        </w:rPr>
        <w:t>)</w:t>
      </w:r>
      <w:bookmarkEnd w:id="0"/>
    </w:p>
    <w:p w14:paraId="6C14551A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>КП должно быть многострочным: обязательная позиция — лебёдка; опциональные — рама, виброизоляторы, отклоняющий (отводной) блок, крепёжный комплект, пакет чертежей, услуги. Состав опциональных позици</w:t>
      </w:r>
      <w:r w:rsidRPr="00871A44">
        <w:rPr>
          <w:lang w:val="ru-RU"/>
        </w:rPr>
        <w:t>й уточняется на стадии технического проектирования с экспертами Заказчика. Каждая позиция имеет независимые цену, срок и базис поставки (</w:t>
      </w:r>
      <w:r>
        <w:t>Incoterms</w:t>
      </w:r>
      <w:r w:rsidRPr="00871A44">
        <w:rPr>
          <w:lang w:val="ru-RU"/>
        </w:rPr>
        <w:t xml:space="preserve"> 2020).</w:t>
      </w:r>
    </w:p>
    <w:p w14:paraId="6311A78D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 xml:space="preserve">Цена позиции рассчитывается как базовая цена </w:t>
      </w:r>
      <w:r>
        <w:t>EXW</w:t>
      </w:r>
      <w:r w:rsidRPr="00871A44">
        <w:rPr>
          <w:lang w:val="ru-RU"/>
        </w:rPr>
        <w:t xml:space="preserve"> + надбавки + объёмные скидки; скидка всегда применяет</w:t>
      </w:r>
      <w:r w:rsidRPr="00871A44">
        <w:rPr>
          <w:lang w:val="ru-RU"/>
        </w:rPr>
        <w:t xml:space="preserve">ся к цене </w:t>
      </w:r>
      <w:r>
        <w:t>EXW</w:t>
      </w:r>
      <w:r w:rsidRPr="00871A44">
        <w:rPr>
          <w:lang w:val="ru-RU"/>
        </w:rPr>
        <w:t xml:space="preserve"> вендора.</w:t>
      </w:r>
    </w:p>
    <w:p w14:paraId="3755B5A6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>Должны поддерживаться конвертация валют (</w:t>
      </w:r>
      <w:r>
        <w:t>USD</w:t>
      </w:r>
      <w:r w:rsidRPr="00871A44">
        <w:rPr>
          <w:lang w:val="ru-RU"/>
        </w:rPr>
        <w:t>/</w:t>
      </w:r>
      <w:r>
        <w:t>EUR</w:t>
      </w:r>
      <w:r w:rsidRPr="00871A44">
        <w:rPr>
          <w:lang w:val="ru-RU"/>
        </w:rPr>
        <w:t>/</w:t>
      </w:r>
      <w:r>
        <w:t>CNY</w:t>
      </w:r>
      <w:r w:rsidRPr="00871A44">
        <w:rPr>
          <w:lang w:val="ru-RU"/>
        </w:rPr>
        <w:t>/</w:t>
      </w:r>
      <w:r>
        <w:t>RUB</w:t>
      </w:r>
      <w:r w:rsidRPr="00871A44">
        <w:rPr>
          <w:lang w:val="ru-RU"/>
        </w:rPr>
        <w:t xml:space="preserve"> по курсу настраиваемого источника на дату КП, §4.2.12) и переговорный коридор цены.</w:t>
      </w:r>
    </w:p>
    <w:p w14:paraId="6E266A95" w14:textId="77777777" w:rsidR="008A567B" w:rsidRPr="00871A44" w:rsidRDefault="00FD65BD">
      <w:pPr>
        <w:pStyle w:val="31"/>
        <w:rPr>
          <w:lang w:val="ru-RU"/>
        </w:rPr>
      </w:pPr>
      <w:bookmarkStart w:id="1" w:name="_Toc233907768"/>
      <w:r w:rsidRPr="00871A44">
        <w:rPr>
          <w:lang w:val="ru-RU"/>
        </w:rPr>
        <w:t>4.2.12 Встроенный калькулятор стоимости (</w:t>
      </w:r>
      <w:r>
        <w:t>EXW</w:t>
      </w:r>
      <w:r w:rsidRPr="00871A44">
        <w:rPr>
          <w:lang w:val="ru-RU"/>
        </w:rPr>
        <w:t xml:space="preserve"> → </w:t>
      </w:r>
      <w:r>
        <w:t>DDP</w:t>
      </w:r>
      <w:r w:rsidRPr="00871A44">
        <w:rPr>
          <w:lang w:val="ru-RU"/>
        </w:rPr>
        <w:t>, с наценкой Оператора)</w:t>
      </w:r>
      <w:bookmarkEnd w:id="1"/>
    </w:p>
    <w:p w14:paraId="52D3C8B2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 xml:space="preserve">Оператор системы выступает торговым посредником (импортёром): закупает оборудование у производителя на условиях </w:t>
      </w:r>
      <w:r>
        <w:t>EXW</w:t>
      </w:r>
      <w:r w:rsidRPr="00871A44">
        <w:rPr>
          <w:lang w:val="ru-RU"/>
        </w:rPr>
        <w:t xml:space="preserve"> (порт КНР) и поставляет покупателю в РФ/СНГ на условиях </w:t>
      </w:r>
      <w:r>
        <w:t>DDP</w:t>
      </w:r>
      <w:r w:rsidRPr="00871A44">
        <w:rPr>
          <w:lang w:val="ru-RU"/>
        </w:rPr>
        <w:t xml:space="preserve">. Калькулятор приводит закупочную цену </w:t>
      </w:r>
      <w:r>
        <w:t>EXW</w:t>
      </w:r>
      <w:r w:rsidRPr="00871A44">
        <w:rPr>
          <w:lang w:val="ru-RU"/>
        </w:rPr>
        <w:t xml:space="preserve"> к итоговой цене продажи </w:t>
      </w:r>
      <w:r>
        <w:t>DDP</w:t>
      </w:r>
      <w:r w:rsidRPr="00871A44">
        <w:rPr>
          <w:lang w:val="ru-RU"/>
        </w:rPr>
        <w:t xml:space="preserve"> (в </w:t>
      </w:r>
      <w:r>
        <w:t>CNY</w:t>
      </w:r>
      <w:r w:rsidRPr="00871A44">
        <w:rPr>
          <w:lang w:val="ru-RU"/>
        </w:rPr>
        <w:t xml:space="preserve"> с и</w:t>
      </w:r>
      <w:r w:rsidRPr="00871A44">
        <w:rPr>
          <w:lang w:val="ru-RU"/>
        </w:rPr>
        <w:t xml:space="preserve">ндикативом в </w:t>
      </w:r>
      <w:r>
        <w:t>RUB</w:t>
      </w:r>
      <w:r w:rsidRPr="00871A44">
        <w:rPr>
          <w:lang w:val="ru-RU"/>
        </w:rPr>
        <w:t xml:space="preserve">), включая торговую наценку Оператора и все сопутствующие расходы, и рассчитывает срок поставки. Это осевая функция покупательского интерфейса на этапах сравнения, подбора замены, конфигурирования и </w:t>
      </w:r>
      <w:r>
        <w:t>RFQ</w:t>
      </w:r>
      <w:r w:rsidRPr="00871A44">
        <w:rPr>
          <w:lang w:val="ru-RU"/>
        </w:rPr>
        <w:t>.</w:t>
      </w:r>
    </w:p>
    <w:p w14:paraId="21C7242A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>Формулы и справочники калькулятора Н</w:t>
      </w:r>
      <w:r w:rsidRPr="00871A44">
        <w:rPr>
          <w:lang w:val="ru-RU"/>
        </w:rPr>
        <w:t xml:space="preserve">Е проектируются Исполнителем самостоятельно. Заказчик предоставляет </w:t>
      </w:r>
      <w:r>
        <w:t>Excel</w:t>
      </w:r>
      <w:r w:rsidRPr="00871A44">
        <w:rPr>
          <w:lang w:val="ru-RU"/>
        </w:rPr>
        <w:t>-файл-источник; Исполнитель переносит логику «один в один» по контракту именованных диапазонов (Приложение Д). Формулы стабильны и неизменны; расчётные коэффициенты вынесены в отдельн</w:t>
      </w:r>
      <w:r w:rsidRPr="00871A44">
        <w:rPr>
          <w:lang w:val="ru-RU"/>
        </w:rPr>
        <w:t>ый изменяемый набор (Таблица Д.3). Это исключает расхождение экспертной модели и реализации.</w:t>
      </w:r>
    </w:p>
    <w:p w14:paraId="6FC32E61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lastRenderedPageBreak/>
        <w:t>В личном кабинете Производителя должен быть раздел «Справочник номенклатуры», в котором производитель вносит по каждой позиции: закупочную цену, количество мест (е</w:t>
      </w:r>
      <w:r w:rsidRPr="00871A44">
        <w:rPr>
          <w:lang w:val="ru-RU"/>
        </w:rPr>
        <w:t>диниц в машине/контейнере), габариты упаковки (длина × ширина × высота) и массу. Эти данные используются калькулятором для расчёта логистики (фрахт по весу/объёму, занимаемый объём при доставке).</w:t>
      </w:r>
    </w:p>
    <w:p w14:paraId="2DD73840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 xml:space="preserve">Состав расчёта (структура цены продажи </w:t>
      </w:r>
      <w:r>
        <w:t>DDP</w:t>
      </w:r>
      <w:r w:rsidRPr="00871A44">
        <w:rPr>
          <w:lang w:val="ru-RU"/>
        </w:rPr>
        <w:t xml:space="preserve"> до склада Операто</w:t>
      </w:r>
      <w:r w:rsidRPr="00871A44">
        <w:rPr>
          <w:lang w:val="ru-RU"/>
        </w:rPr>
        <w:t xml:space="preserve">ра): закупочная цена </w:t>
      </w:r>
      <w:r>
        <w:t>EXW</w:t>
      </w:r>
      <w:r w:rsidRPr="00871A44">
        <w:rPr>
          <w:lang w:val="ru-RU"/>
        </w:rPr>
        <w:t xml:space="preserve"> производителя; экспортная упаковка и местные сборы КНР; международный фрахт (море/ж-д/авто по весу/объёму); страхование груза; ввозная пошлина ЕАЭС по коду ТН ВЭД и НДС страны назначения; услуги таможенного представителя; банковска</w:t>
      </w:r>
      <w:r w:rsidRPr="00871A44">
        <w:rPr>
          <w:lang w:val="ru-RU"/>
        </w:rPr>
        <w:t xml:space="preserve">я комиссия и плата за перевод; оплата поставщику; торговая наценка Оператора (наценка на закупочную стоимость); приведение валют. Доставка «последней мили» до адреса покупателя — опциональная услуга, рассчитывается отдельно и в базовую цену </w:t>
      </w:r>
      <w:r>
        <w:t>DDP</w:t>
      </w:r>
      <w:r w:rsidRPr="00871A44">
        <w:rPr>
          <w:lang w:val="ru-RU"/>
        </w:rPr>
        <w:t xml:space="preserve"> не включает</w:t>
      </w:r>
      <w:r w:rsidRPr="00871A44">
        <w:rPr>
          <w:lang w:val="ru-RU"/>
        </w:rPr>
        <w:t>ся. Перечень и примеры значений расчётных коэффициентов приведены в Приложении Д (Таблица Д.3).</w:t>
      </w:r>
    </w:p>
    <w:p w14:paraId="3495B037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>Расчётные коэффициенты (ставки наценки, комиссии, кредитная ставка, ставки фрахта и доставки, сроки, курс валют) изменяются Администратором Платформы через адми</w:t>
      </w:r>
      <w:r w:rsidRPr="00871A44">
        <w:rPr>
          <w:lang w:val="ru-RU"/>
        </w:rPr>
        <w:t>нистративную консоль без изменения кода, как правило — ежемесячно; формулы при этом остаются неизменными (см. §4.2.19, Приложение Д).</w:t>
      </w:r>
    </w:p>
    <w:p w14:paraId="6D95F3F6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 xml:space="preserve">Должны поддерживаться четыре предустановленных графика (условия) оплаты: (1) 100 % предоплата; (2) 50 % предоплата + 50 % </w:t>
      </w:r>
      <w:r w:rsidRPr="00871A44">
        <w:rPr>
          <w:lang w:val="ru-RU"/>
        </w:rPr>
        <w:t>перед отгрузкой; (3) 100 % перед отгрузкой; (4) 100 % после отгрузки с отсрочкой 30 дней. Для каждого графика фиксируются дата платежа клиента и сумма; надбавки/дисконты «стоимости денег» берутся из файла-источника (Таблица Д.2).</w:t>
      </w:r>
    </w:p>
    <w:p w14:paraId="2CBD173C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>Ролевая видимость и состав</w:t>
      </w:r>
      <w:r w:rsidRPr="00871A44">
        <w:rPr>
          <w:lang w:val="ru-RU"/>
        </w:rPr>
        <w:t xml:space="preserve"> полей калькулятора определяются Приложением Д (Таблица Д.4): производитель видит свою закупочную цену, строку «Наценка Оператора» в режиме просмотра и итоговую цену продажи; </w:t>
      </w:r>
      <w:r w:rsidRPr="00871A44">
        <w:rPr>
          <w:lang w:val="ru-RU"/>
        </w:rPr>
        <w:lastRenderedPageBreak/>
        <w:t xml:space="preserve">покупатель видит только итоговую цену продажи </w:t>
      </w:r>
      <w:r>
        <w:t>DDP</w:t>
      </w:r>
      <w:r w:rsidRPr="00871A44">
        <w:rPr>
          <w:lang w:val="ru-RU"/>
        </w:rPr>
        <w:t xml:space="preserve"> и выбранный график оплаты (заку</w:t>
      </w:r>
      <w:r w:rsidRPr="00871A44">
        <w:rPr>
          <w:lang w:val="ru-RU"/>
        </w:rPr>
        <w:t xml:space="preserve">почная цена </w:t>
      </w:r>
      <w:r>
        <w:t>EXW</w:t>
      </w:r>
      <w:r w:rsidRPr="00871A44">
        <w:rPr>
          <w:lang w:val="ru-RU"/>
        </w:rPr>
        <w:t xml:space="preserve"> и наценка не раскрываются ни прямо, ни косвенно); Администратор/Оператор видит все промежуточные линии расчёта и расчётные коэффициенты.</w:t>
      </w:r>
    </w:p>
    <w:p w14:paraId="6D311DCE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 xml:space="preserve">Должен быть реализован поток запроса скидки: покупатель вводит запрашиваемый процент скидки (поле </w:t>
      </w:r>
      <w:r>
        <w:t>AE</w:t>
      </w:r>
      <w:r w:rsidRPr="00871A44">
        <w:rPr>
          <w:lang w:val="ru-RU"/>
        </w:rPr>
        <w:t>; с</w:t>
      </w:r>
      <w:r w:rsidRPr="00871A44">
        <w:rPr>
          <w:lang w:val="ru-RU"/>
        </w:rPr>
        <w:t xml:space="preserve">кидка применяется к цене </w:t>
      </w:r>
      <w:r>
        <w:t>DDP</w:t>
      </w:r>
      <w:r w:rsidRPr="00871A44">
        <w:rPr>
          <w:lang w:val="ru-RU"/>
        </w:rPr>
        <w:t xml:space="preserve">); продавец (производитель) принимает решение — направляет новое КП с пересчитанной ценой </w:t>
      </w:r>
      <w:r>
        <w:t>DDP</w:t>
      </w:r>
      <w:r w:rsidRPr="00871A44">
        <w:rPr>
          <w:lang w:val="ru-RU"/>
        </w:rPr>
        <w:t xml:space="preserve"> либо отказ. Если дальнейшее снижение невозможно, покупателю отображается уведомление «Максимальная скидка предоставлена / Цена предлож</w:t>
      </w:r>
      <w:r w:rsidRPr="00871A44">
        <w:rPr>
          <w:lang w:val="ru-RU"/>
        </w:rPr>
        <w:t>ена, скидка недоступна»; покупателю доступно только «Принять» или «Отказаться».</w:t>
      </w:r>
    </w:p>
    <w:p w14:paraId="10514CD8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 xml:space="preserve">Покупатель остаётся анонимным для производителя в течение всей сессии подбора и биддинга (производитель видит только </w:t>
      </w:r>
      <w:r>
        <w:t>buyer</w:t>
      </w:r>
      <w:r w:rsidRPr="00871A44">
        <w:rPr>
          <w:lang w:val="ru-RU"/>
        </w:rPr>
        <w:t>_</w:t>
      </w:r>
      <w:r>
        <w:t>code</w:t>
      </w:r>
      <w:r w:rsidRPr="00871A44">
        <w:rPr>
          <w:lang w:val="ru-RU"/>
        </w:rPr>
        <w:t xml:space="preserve"> — см. §4.2.21). После подтверждения покупателем </w:t>
      </w:r>
      <w:r w:rsidRPr="00871A44">
        <w:rPr>
          <w:lang w:val="ru-RU"/>
        </w:rPr>
        <w:t xml:space="preserve">согласованной цены (кнопка «Заключение сделки») формируется протокол условий, сделка передаётся Оператору для исполнения, и в </w:t>
      </w:r>
      <w:r>
        <w:t>audit</w:t>
      </w:r>
      <w:r w:rsidRPr="00871A44">
        <w:rPr>
          <w:lang w:val="ru-RU"/>
        </w:rPr>
        <w:t xml:space="preserve"> </w:t>
      </w:r>
      <w:r>
        <w:t>log</w:t>
      </w:r>
      <w:r w:rsidRPr="00871A44">
        <w:rPr>
          <w:lang w:val="ru-RU"/>
        </w:rPr>
        <w:t xml:space="preserve"> фиксируется событие </w:t>
      </w:r>
      <w:r>
        <w:t>lead</w:t>
      </w:r>
      <w:r w:rsidRPr="00871A44">
        <w:rPr>
          <w:lang w:val="ru-RU"/>
        </w:rPr>
        <w:t>.</w:t>
      </w:r>
      <w:r>
        <w:t>revealed</w:t>
      </w:r>
      <w:r w:rsidRPr="00871A44">
        <w:rPr>
          <w:lang w:val="ru-RU"/>
        </w:rPr>
        <w:t xml:space="preserve"> (горячий лид) с меткой времени и идентификаторами сторон.</w:t>
      </w:r>
    </w:p>
    <w:p w14:paraId="19FDA841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 xml:space="preserve">Срок поставки: срок </w:t>
      </w:r>
      <w:r>
        <w:t>DDP</w:t>
      </w:r>
      <w:r w:rsidRPr="00871A44">
        <w:rPr>
          <w:lang w:val="ru-RU"/>
        </w:rPr>
        <w:t xml:space="preserve"> (до </w:t>
      </w:r>
      <w:r w:rsidRPr="00871A44">
        <w:rPr>
          <w:lang w:val="ru-RU"/>
        </w:rPr>
        <w:t xml:space="preserve">склада Оператора) = срок производства </w:t>
      </w:r>
      <w:r>
        <w:t>EXW</w:t>
      </w:r>
      <w:r w:rsidRPr="00871A44">
        <w:rPr>
          <w:lang w:val="ru-RU"/>
        </w:rPr>
        <w:t xml:space="preserve"> + транзит по маршруту + таможенный цикл; доставка «последней мили» (при заказе опции) добавляется отдельно. При изменении срока производства </w:t>
      </w:r>
      <w:r>
        <w:t>EXW</w:t>
      </w:r>
      <w:r w:rsidRPr="00871A44">
        <w:rPr>
          <w:lang w:val="ru-RU"/>
        </w:rPr>
        <w:t xml:space="preserve"> значения и даты вех оплат пересчитываются автоматически.</w:t>
      </w:r>
    </w:p>
    <w:p w14:paraId="332C786A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 xml:space="preserve">Должен быть </w:t>
      </w:r>
      <w:r w:rsidRPr="00871A44">
        <w:rPr>
          <w:lang w:val="ru-RU"/>
        </w:rPr>
        <w:t>реализован сервис загрузки актуальных курсов валют (Юань, Доллар, Евро, Рубль): источник курсов подключается и настраивается Администратором через конфигурацию (без привязки Системы к конкретному национальному провайдеру); курсы обновляются автоматически п</w:t>
      </w:r>
      <w:r w:rsidRPr="00871A44">
        <w:rPr>
          <w:lang w:val="ru-RU"/>
        </w:rPr>
        <w:t>о расписанию, история курсов сохраняется.</w:t>
      </w:r>
    </w:p>
    <w:p w14:paraId="4C145A31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>Сценарный пересчёт «что если» (ввод покупателем гипотетической цены и получение пересчитанной цены продажи) относится ко второй очереди; в первой очереди калькулятор проектируется с готовностью к его подключению.</w:t>
      </w:r>
    </w:p>
    <w:p w14:paraId="43D4E1EB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lastRenderedPageBreak/>
        <w:t>Д</w:t>
      </w:r>
      <w:r w:rsidRPr="00871A44">
        <w:rPr>
          <w:lang w:val="ru-RU"/>
        </w:rPr>
        <w:t>олжны быть реализованы режимы отказа: при недоступности источника фрахта/ставок/курса валют — цена скрывается с пометкой «уточняется» либо используется последнее достоверное значение с соответствующей пометкой; запрос ставится в очередь повтора; событие фи</w:t>
      </w:r>
      <w:r w:rsidRPr="00871A44">
        <w:rPr>
          <w:lang w:val="ru-RU"/>
        </w:rPr>
        <w:t>ксируется в журнале. Ранее сформированные КП неизменяемо привязаны к версии калькулятора, по которой рассчитаны.</w:t>
      </w:r>
    </w:p>
    <w:p w14:paraId="58EBBF39" w14:textId="77777777" w:rsidR="008A567B" w:rsidRPr="00871A44" w:rsidRDefault="00FD65BD">
      <w:pPr>
        <w:pStyle w:val="31"/>
        <w:rPr>
          <w:lang w:val="ru-RU"/>
        </w:rPr>
      </w:pPr>
      <w:bookmarkStart w:id="2" w:name="_Toc233907769"/>
      <w:r w:rsidRPr="00871A44">
        <w:rPr>
          <w:lang w:val="ru-RU"/>
        </w:rPr>
        <w:t xml:space="preserve">4.2.13 </w:t>
      </w:r>
      <w:r>
        <w:t>RFQ</w:t>
      </w:r>
      <w:r w:rsidRPr="00871A44">
        <w:rPr>
          <w:lang w:val="ru-RU"/>
        </w:rPr>
        <w:t xml:space="preserve"> — запрос коммерческого предложения</w:t>
      </w:r>
      <w:bookmarkEnd w:id="2"/>
    </w:p>
    <w:p w14:paraId="6713D927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 xml:space="preserve">Покупатель должен создавать </w:t>
      </w:r>
      <w:r>
        <w:t>RFQ</w:t>
      </w:r>
      <w:r w:rsidRPr="00871A44">
        <w:rPr>
          <w:lang w:val="ru-RU"/>
        </w:rPr>
        <w:t xml:space="preserve"> с техническими параметрами, объёмом, желаемым сроком, валютой, дедлайном подачи КП и желаемым графиком оплаты.</w:t>
      </w:r>
    </w:p>
    <w:p w14:paraId="7F7E9923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>Должны поддерживаться два режима выбора производителей: адресный (1–3 конкретных) и открытый (рассылка всем верифицированным по соответствию под</w:t>
      </w:r>
      <w:r w:rsidRPr="00871A44">
        <w:rPr>
          <w:lang w:val="ru-RU"/>
        </w:rPr>
        <w:t>бору).</w:t>
      </w:r>
    </w:p>
    <w:p w14:paraId="36C5CA1A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 xml:space="preserve">Вся история </w:t>
      </w:r>
      <w:r>
        <w:t>RFQ</w:t>
      </w:r>
      <w:r w:rsidRPr="00871A44">
        <w:rPr>
          <w:lang w:val="ru-RU"/>
        </w:rPr>
        <w:t>, версий КП, изменений и комментариев должна сохраняться неизменяемо (с привязкой к версии калькулятора).</w:t>
      </w:r>
    </w:p>
    <w:p w14:paraId="5CE720FC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>Режим обратного аукциона (</w:t>
      </w:r>
      <w:r>
        <w:t>multi</w:t>
      </w:r>
      <w:r w:rsidRPr="00871A44">
        <w:rPr>
          <w:lang w:val="ru-RU"/>
        </w:rPr>
        <w:t>-</w:t>
      </w:r>
      <w:r>
        <w:t>vendor</w:t>
      </w:r>
      <w:r w:rsidRPr="00871A44">
        <w:rPr>
          <w:lang w:val="ru-RU"/>
        </w:rPr>
        <w:t xml:space="preserve"> </w:t>
      </w:r>
      <w:r>
        <w:t>reverse</w:t>
      </w:r>
      <w:r w:rsidRPr="00871A44">
        <w:rPr>
          <w:lang w:val="ru-RU"/>
        </w:rPr>
        <w:t xml:space="preserve"> </w:t>
      </w:r>
      <w:r>
        <w:t>auction</w:t>
      </w:r>
      <w:r w:rsidRPr="00871A44">
        <w:rPr>
          <w:lang w:val="ru-RU"/>
        </w:rPr>
        <w:t xml:space="preserve">) относится ко второй очереди; модель данных и жизненный цикл </w:t>
      </w:r>
      <w:r>
        <w:t>RFQ</w:t>
      </w:r>
      <w:r w:rsidRPr="00871A44">
        <w:rPr>
          <w:lang w:val="ru-RU"/>
        </w:rPr>
        <w:t xml:space="preserve"> в первой</w:t>
      </w:r>
      <w:r w:rsidRPr="00871A44">
        <w:rPr>
          <w:lang w:val="ru-RU"/>
        </w:rPr>
        <w:t xml:space="preserve"> очереди проектируются с учётом последующего подключения аукциона.</w:t>
      </w:r>
    </w:p>
    <w:p w14:paraId="287BC3C3" w14:textId="77777777" w:rsidR="008A567B" w:rsidRPr="00871A44" w:rsidRDefault="00FD65BD">
      <w:pPr>
        <w:pStyle w:val="1"/>
        <w:rPr>
          <w:lang w:val="ru-RU"/>
        </w:rPr>
      </w:pPr>
      <w:bookmarkStart w:id="3" w:name="_Toc233907809"/>
      <w:r w:rsidRPr="00871A44">
        <w:rPr>
          <w:lang w:val="ru-RU"/>
        </w:rPr>
        <w:lastRenderedPageBreak/>
        <w:t>Приложение Д. Контракт встроенного калькулятора стоимости</w:t>
      </w:r>
      <w:bookmarkEnd w:id="3"/>
    </w:p>
    <w:p w14:paraId="2F11D9CC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 xml:space="preserve">Калькулятор реализуется по принципу «источник правды — </w:t>
      </w:r>
      <w:r>
        <w:t>Excel</w:t>
      </w:r>
      <w:r w:rsidRPr="00871A44">
        <w:rPr>
          <w:lang w:val="ru-RU"/>
        </w:rPr>
        <w:t xml:space="preserve">»: Заказчик предоставляет </w:t>
      </w:r>
      <w:r>
        <w:t>Excel</w:t>
      </w:r>
      <w:r w:rsidRPr="00871A44">
        <w:rPr>
          <w:lang w:val="ru-RU"/>
        </w:rPr>
        <w:t>-файл с формулами, справочниками, расчётными коэффициентами и графиками оплаты; Исполнитель пер</w:t>
      </w:r>
      <w:r w:rsidRPr="00871A44">
        <w:rPr>
          <w:lang w:val="ru-RU"/>
        </w:rPr>
        <w:t>еносит логику в код без самостоятельных экспертных допущений. Обмен значениями выполняется через именованные диапазоны (</w:t>
      </w:r>
      <w:r>
        <w:t>named</w:t>
      </w:r>
      <w:r w:rsidRPr="00871A44">
        <w:rPr>
          <w:lang w:val="ru-RU"/>
        </w:rPr>
        <w:t xml:space="preserve"> </w:t>
      </w:r>
      <w:r>
        <w:t>ranges</w:t>
      </w:r>
      <w:r w:rsidRPr="00871A44">
        <w:rPr>
          <w:lang w:val="ru-RU"/>
        </w:rPr>
        <w:t>). Формулы стабильны и неизменны; расчётные коэффициенты (Таблица Д.3) изменяются Администратором Платформы (как правило, еж</w:t>
      </w:r>
      <w:r w:rsidRPr="00871A44">
        <w:rPr>
          <w:lang w:val="ru-RU"/>
        </w:rPr>
        <w:t xml:space="preserve">емесячно). Оператор системы выступает торговым посредником (импортёром): закупает оборудование у производителя на условиях </w:t>
      </w:r>
      <w:r>
        <w:t>EXW</w:t>
      </w:r>
      <w:r w:rsidRPr="00871A44">
        <w:rPr>
          <w:lang w:val="ru-RU"/>
        </w:rPr>
        <w:t xml:space="preserve"> и поставляет покупателю на условиях </w:t>
      </w:r>
      <w:r>
        <w:t>DDP</w:t>
      </w:r>
      <w:r w:rsidRPr="00871A44">
        <w:rPr>
          <w:lang w:val="ru-RU"/>
        </w:rPr>
        <w:t>, торговая наценка Оператора включена в итоговую цену продажи. Состав контракта:</w:t>
      </w:r>
    </w:p>
    <w:p w14:paraId="5ADD254C" w14:textId="77777777" w:rsidR="008A567B" w:rsidRPr="00871A44" w:rsidRDefault="00FD65BD">
      <w:pPr>
        <w:keepNext/>
        <w:spacing w:before="120"/>
        <w:ind w:firstLine="0"/>
        <w:rPr>
          <w:lang w:val="ru-RU"/>
        </w:rPr>
      </w:pPr>
      <w:r w:rsidRPr="00871A44">
        <w:rPr>
          <w:sz w:val="24"/>
          <w:lang w:val="ru-RU"/>
        </w:rPr>
        <w:t xml:space="preserve">Таблица Д.1 — Линии расчёта (структура цены продажи </w:t>
      </w:r>
      <w:r>
        <w:rPr>
          <w:sz w:val="24"/>
        </w:rPr>
        <w:t>DDP</w:t>
      </w:r>
      <w:r w:rsidRPr="00871A44">
        <w:rPr>
          <w:sz w:val="24"/>
          <w:lang w:val="ru-RU"/>
        </w:rPr>
        <w:t>)</w:t>
      </w:r>
    </w:p>
    <w:tbl>
      <w:tblPr>
        <w:tblStyle w:val="aff0"/>
        <w:tblW w:w="9355" w:type="dxa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2551"/>
      </w:tblGrid>
      <w:tr w:rsidR="008A567B" w14:paraId="2621AAED" w14:textId="77777777">
        <w:tc>
          <w:tcPr>
            <w:tcW w:w="3402" w:type="dxa"/>
          </w:tcPr>
          <w:p w14:paraId="70ECCBAB" w14:textId="77777777" w:rsidR="008A567B" w:rsidRDefault="00FD65BD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Линия</w:t>
            </w:r>
          </w:p>
        </w:tc>
        <w:tc>
          <w:tcPr>
            <w:tcW w:w="3402" w:type="dxa"/>
          </w:tcPr>
          <w:p w14:paraId="474E5103" w14:textId="77777777" w:rsidR="008A567B" w:rsidRDefault="00FD65BD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Источник в Excel</w:t>
            </w:r>
          </w:p>
        </w:tc>
        <w:tc>
          <w:tcPr>
            <w:tcW w:w="2551" w:type="dxa"/>
          </w:tcPr>
          <w:p w14:paraId="2286BD87" w14:textId="77777777" w:rsidR="008A567B" w:rsidRDefault="00FD65BD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Видимость</w:t>
            </w:r>
          </w:p>
        </w:tc>
      </w:tr>
      <w:tr w:rsidR="008A567B" w14:paraId="259169DA" w14:textId="77777777">
        <w:tc>
          <w:tcPr>
            <w:tcW w:w="3402" w:type="dxa"/>
          </w:tcPr>
          <w:p w14:paraId="74A7197D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 xml:space="preserve">Закупочная цена </w:t>
            </w:r>
            <w:r>
              <w:rPr>
                <w:sz w:val="22"/>
              </w:rPr>
              <w:t>EXW</w:t>
            </w:r>
            <w:r w:rsidRPr="00871A44">
              <w:rPr>
                <w:sz w:val="22"/>
                <w:lang w:val="ru-RU"/>
              </w:rPr>
              <w:t xml:space="preserve"> (порт КНР)</w:t>
            </w:r>
          </w:p>
        </w:tc>
        <w:tc>
          <w:tcPr>
            <w:tcW w:w="3402" w:type="dxa"/>
          </w:tcPr>
          <w:p w14:paraId="4989D6FB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Цена производителя + надбавки + объёмные скидки</w:t>
            </w:r>
          </w:p>
        </w:tc>
        <w:tc>
          <w:tcPr>
            <w:tcW w:w="2551" w:type="dxa"/>
          </w:tcPr>
          <w:p w14:paraId="48093DB7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Производитель, Оператор</w:t>
            </w:r>
          </w:p>
        </w:tc>
      </w:tr>
      <w:tr w:rsidR="008A567B" w14:paraId="2F3CC4B5" w14:textId="77777777">
        <w:tc>
          <w:tcPr>
            <w:tcW w:w="3402" w:type="dxa"/>
          </w:tcPr>
          <w:p w14:paraId="569697E7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Экспортная упаковка и местные сборы КНР</w:t>
            </w:r>
          </w:p>
        </w:tc>
        <w:tc>
          <w:tcPr>
            <w:tcW w:w="3402" w:type="dxa"/>
          </w:tcPr>
          <w:p w14:paraId="6A4E4C3C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Лист ставок</w:t>
            </w:r>
          </w:p>
        </w:tc>
        <w:tc>
          <w:tcPr>
            <w:tcW w:w="2551" w:type="dxa"/>
          </w:tcPr>
          <w:p w14:paraId="58CF9966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Оператор</w:t>
            </w:r>
          </w:p>
        </w:tc>
      </w:tr>
      <w:tr w:rsidR="008A567B" w14:paraId="73736FC0" w14:textId="77777777">
        <w:tc>
          <w:tcPr>
            <w:tcW w:w="3402" w:type="dxa"/>
          </w:tcPr>
          <w:p w14:paraId="495327C0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Международный фрахт (море/ж-д/авто)</w:t>
            </w:r>
          </w:p>
        </w:tc>
        <w:tc>
          <w:tcPr>
            <w:tcW w:w="3402" w:type="dxa"/>
          </w:tcPr>
          <w:p w14:paraId="1628BBFB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Лист тарифов фрахта по весу/объёму</w:t>
            </w:r>
          </w:p>
        </w:tc>
        <w:tc>
          <w:tcPr>
            <w:tcW w:w="2551" w:type="dxa"/>
          </w:tcPr>
          <w:p w14:paraId="33C04DBF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Оператор</w:t>
            </w:r>
          </w:p>
        </w:tc>
      </w:tr>
      <w:tr w:rsidR="008A567B" w14:paraId="3C548CC4" w14:textId="77777777">
        <w:tc>
          <w:tcPr>
            <w:tcW w:w="3402" w:type="dxa"/>
          </w:tcPr>
          <w:p w14:paraId="2E931103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Страхование груза</w:t>
            </w:r>
          </w:p>
        </w:tc>
        <w:tc>
          <w:tcPr>
            <w:tcW w:w="3402" w:type="dxa"/>
          </w:tcPr>
          <w:p w14:paraId="5B006818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 xml:space="preserve">Ставка (по умолчанию </w:t>
            </w:r>
            <w:r>
              <w:rPr>
                <w:sz w:val="22"/>
              </w:rPr>
              <w:t>ICC</w:t>
            </w:r>
            <w:r w:rsidRPr="00871A44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A</w:t>
            </w:r>
            <w:r w:rsidRPr="00871A44">
              <w:rPr>
                <w:sz w:val="22"/>
                <w:lang w:val="ru-RU"/>
              </w:rPr>
              <w:t>, 110 % стоимости)</w:t>
            </w:r>
          </w:p>
        </w:tc>
        <w:tc>
          <w:tcPr>
            <w:tcW w:w="2551" w:type="dxa"/>
          </w:tcPr>
          <w:p w14:paraId="39A64FEA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Оператор</w:t>
            </w:r>
          </w:p>
        </w:tc>
      </w:tr>
      <w:tr w:rsidR="008A567B" w14:paraId="054BABBB" w14:textId="77777777">
        <w:tc>
          <w:tcPr>
            <w:tcW w:w="3402" w:type="dxa"/>
          </w:tcPr>
          <w:p w14:paraId="12A8FCFE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Ввозная пошлина ЕАЭС + НДС страны назначения</w:t>
            </w:r>
          </w:p>
        </w:tc>
        <w:tc>
          <w:tcPr>
            <w:tcW w:w="3402" w:type="dxa"/>
          </w:tcPr>
          <w:p w14:paraId="77FE622E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Лист пошлин и налогов по коду ТН ВЭД</w:t>
            </w:r>
          </w:p>
        </w:tc>
        <w:tc>
          <w:tcPr>
            <w:tcW w:w="2551" w:type="dxa"/>
          </w:tcPr>
          <w:p w14:paraId="75096A9B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Оператор</w:t>
            </w:r>
          </w:p>
        </w:tc>
      </w:tr>
      <w:tr w:rsidR="008A567B" w14:paraId="3C71C832" w14:textId="77777777">
        <w:tc>
          <w:tcPr>
            <w:tcW w:w="3402" w:type="dxa"/>
          </w:tcPr>
          <w:p w14:paraId="4307DC4E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 xml:space="preserve">Услуги </w:t>
            </w:r>
            <w:r>
              <w:rPr>
                <w:sz w:val="22"/>
              </w:rPr>
              <w:t>таможенного представителя</w:t>
            </w:r>
          </w:p>
        </w:tc>
        <w:tc>
          <w:tcPr>
            <w:tcW w:w="3402" w:type="dxa"/>
          </w:tcPr>
          <w:p w14:paraId="1F9B7F18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Фикс + % от CIF</w:t>
            </w:r>
          </w:p>
        </w:tc>
        <w:tc>
          <w:tcPr>
            <w:tcW w:w="2551" w:type="dxa"/>
          </w:tcPr>
          <w:p w14:paraId="2B677EA2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Оператор</w:t>
            </w:r>
          </w:p>
        </w:tc>
      </w:tr>
      <w:tr w:rsidR="008A567B" w14:paraId="0A1234C4" w14:textId="77777777">
        <w:tc>
          <w:tcPr>
            <w:tcW w:w="3402" w:type="dxa"/>
          </w:tcPr>
          <w:p w14:paraId="7419FA9B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Доставка «последней мили» (опция, рассчитывается отдельно)</w:t>
            </w:r>
          </w:p>
        </w:tc>
        <w:tc>
          <w:tcPr>
            <w:tcW w:w="3402" w:type="dxa"/>
          </w:tcPr>
          <w:p w14:paraId="23B00159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По весу/расстоянию</w:t>
            </w:r>
          </w:p>
        </w:tc>
        <w:tc>
          <w:tcPr>
            <w:tcW w:w="2551" w:type="dxa"/>
          </w:tcPr>
          <w:p w14:paraId="323082AF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Оператор</w:t>
            </w:r>
          </w:p>
        </w:tc>
      </w:tr>
      <w:tr w:rsidR="008A567B" w14:paraId="03F65FD7" w14:textId="77777777">
        <w:tc>
          <w:tcPr>
            <w:tcW w:w="3402" w:type="dxa"/>
          </w:tcPr>
          <w:p w14:paraId="777EF7BA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Банковская комиссия и плата за перевод</w:t>
            </w:r>
          </w:p>
        </w:tc>
        <w:tc>
          <w:tcPr>
            <w:tcW w:w="3402" w:type="dxa"/>
          </w:tcPr>
          <w:p w14:paraId="5CF28112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Комиссия банка (валюта) + фикс. плата за перевод</w:t>
            </w:r>
          </w:p>
        </w:tc>
        <w:tc>
          <w:tcPr>
            <w:tcW w:w="2551" w:type="dxa"/>
          </w:tcPr>
          <w:p w14:paraId="5E4E7BF5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Оператор</w:t>
            </w:r>
          </w:p>
        </w:tc>
      </w:tr>
      <w:tr w:rsidR="008A567B" w14:paraId="2555909B" w14:textId="77777777">
        <w:tc>
          <w:tcPr>
            <w:tcW w:w="3402" w:type="dxa"/>
          </w:tcPr>
          <w:p w14:paraId="1DC77BEC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Оплата поставщику</w:t>
            </w:r>
          </w:p>
        </w:tc>
        <w:tc>
          <w:tcPr>
            <w:tcW w:w="3402" w:type="dxa"/>
          </w:tcPr>
          <w:p w14:paraId="08E9C4C9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% от закупочной стоимости</w:t>
            </w:r>
          </w:p>
        </w:tc>
        <w:tc>
          <w:tcPr>
            <w:tcW w:w="2551" w:type="dxa"/>
          </w:tcPr>
          <w:p w14:paraId="0B2F0167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Оператор</w:t>
            </w:r>
          </w:p>
        </w:tc>
      </w:tr>
      <w:tr w:rsidR="008A567B" w14:paraId="2ED276F1" w14:textId="77777777">
        <w:tc>
          <w:tcPr>
            <w:tcW w:w="3402" w:type="dxa"/>
          </w:tcPr>
          <w:p w14:paraId="5E994906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Торговая наценка Оператора</w:t>
            </w:r>
          </w:p>
        </w:tc>
        <w:tc>
          <w:tcPr>
            <w:tcW w:w="3402" w:type="dxa"/>
          </w:tcPr>
          <w:p w14:paraId="3993464B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Коэффициент наценки на закупочную стоимость</w:t>
            </w:r>
          </w:p>
        </w:tc>
        <w:tc>
          <w:tcPr>
            <w:tcW w:w="2551" w:type="dxa"/>
          </w:tcPr>
          <w:p w14:paraId="61FC804A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Оператор; производитель — просмотр строки</w:t>
            </w:r>
          </w:p>
        </w:tc>
      </w:tr>
      <w:tr w:rsidR="008A567B" w14:paraId="7742986E" w14:textId="77777777">
        <w:tc>
          <w:tcPr>
            <w:tcW w:w="3402" w:type="dxa"/>
          </w:tcPr>
          <w:p w14:paraId="5B29D025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Приведение валют</w:t>
            </w:r>
          </w:p>
        </w:tc>
        <w:tc>
          <w:tcPr>
            <w:tcW w:w="3402" w:type="dxa"/>
          </w:tcPr>
          <w:p w14:paraId="6E22F80D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 xml:space="preserve">К </w:t>
            </w:r>
            <w:r>
              <w:rPr>
                <w:sz w:val="22"/>
              </w:rPr>
              <w:t>CNY</w:t>
            </w:r>
            <w:r w:rsidRPr="00871A44">
              <w:rPr>
                <w:sz w:val="22"/>
                <w:lang w:val="ru-RU"/>
              </w:rPr>
              <w:t xml:space="preserve">; </w:t>
            </w:r>
            <w:r>
              <w:rPr>
                <w:sz w:val="22"/>
              </w:rPr>
              <w:t>RUB</w:t>
            </w:r>
            <w:r w:rsidRPr="00871A44">
              <w:rPr>
                <w:sz w:val="22"/>
                <w:lang w:val="ru-RU"/>
              </w:rPr>
              <w:t>-индикатив по курсу настраиваемого источника</w:t>
            </w:r>
          </w:p>
        </w:tc>
        <w:tc>
          <w:tcPr>
            <w:tcW w:w="2551" w:type="dxa"/>
          </w:tcPr>
          <w:p w14:paraId="4E92F80B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Покупатель (RUB-индикатив)</w:t>
            </w:r>
          </w:p>
        </w:tc>
      </w:tr>
    </w:tbl>
    <w:p w14:paraId="50DEBD61" w14:textId="77777777" w:rsidR="008A567B" w:rsidRDefault="00FD65BD">
      <w:pPr>
        <w:keepNext/>
        <w:spacing w:before="120"/>
        <w:ind w:firstLine="0"/>
      </w:pPr>
      <w:r>
        <w:rPr>
          <w:sz w:val="24"/>
        </w:rPr>
        <w:t>Таблица Д.2 — Графики (условия) оплаты</w:t>
      </w:r>
    </w:p>
    <w:tbl>
      <w:tblPr>
        <w:tblStyle w:val="aff0"/>
        <w:tblW w:w="9355" w:type="dxa"/>
        <w:tblLayout w:type="fixed"/>
        <w:tblLook w:val="04A0" w:firstRow="1" w:lastRow="0" w:firstColumn="1" w:lastColumn="0" w:noHBand="0" w:noVBand="1"/>
      </w:tblPr>
      <w:tblGrid>
        <w:gridCol w:w="2551"/>
        <w:gridCol w:w="3969"/>
        <w:gridCol w:w="2835"/>
      </w:tblGrid>
      <w:tr w:rsidR="008A567B" w14:paraId="00C265DC" w14:textId="77777777">
        <w:tc>
          <w:tcPr>
            <w:tcW w:w="2551" w:type="dxa"/>
          </w:tcPr>
          <w:p w14:paraId="0C14112D" w14:textId="77777777" w:rsidR="008A567B" w:rsidRDefault="00FD65BD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График</w:t>
            </w:r>
          </w:p>
        </w:tc>
        <w:tc>
          <w:tcPr>
            <w:tcW w:w="3969" w:type="dxa"/>
          </w:tcPr>
          <w:p w14:paraId="78E3A424" w14:textId="77777777" w:rsidR="008A567B" w:rsidRDefault="00FD65BD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Условия</w:t>
            </w:r>
          </w:p>
        </w:tc>
        <w:tc>
          <w:tcPr>
            <w:tcW w:w="2835" w:type="dxa"/>
          </w:tcPr>
          <w:p w14:paraId="501CED24" w14:textId="77777777" w:rsidR="008A567B" w:rsidRDefault="00FD65BD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Эффект на цену DDP</w:t>
            </w:r>
          </w:p>
        </w:tc>
      </w:tr>
      <w:tr w:rsidR="008A567B" w:rsidRPr="00D46907" w14:paraId="3DD1E966" w14:textId="77777777">
        <w:tc>
          <w:tcPr>
            <w:tcW w:w="2551" w:type="dxa"/>
          </w:tcPr>
          <w:p w14:paraId="3CCA4BFD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100 % предоплата</w:t>
            </w:r>
          </w:p>
        </w:tc>
        <w:tc>
          <w:tcPr>
            <w:tcW w:w="3969" w:type="dxa"/>
          </w:tcPr>
          <w:p w14:paraId="37D2030D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Оплата 100 % при размещении заказа</w:t>
            </w:r>
          </w:p>
        </w:tc>
        <w:tc>
          <w:tcPr>
            <w:tcW w:w="2835" w:type="dxa"/>
          </w:tcPr>
          <w:p w14:paraId="0ECBDC5F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Дисконт «стоимости денег» из файла</w:t>
            </w:r>
          </w:p>
        </w:tc>
      </w:tr>
      <w:tr w:rsidR="008A567B" w14:paraId="60C24A5F" w14:textId="77777777">
        <w:tc>
          <w:tcPr>
            <w:tcW w:w="2551" w:type="dxa"/>
          </w:tcPr>
          <w:p w14:paraId="38F3D36F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50 % / 50 %</w:t>
            </w:r>
          </w:p>
        </w:tc>
        <w:tc>
          <w:tcPr>
            <w:tcW w:w="3969" w:type="dxa"/>
          </w:tcPr>
          <w:p w14:paraId="7D0319F2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50 % предоплата + 50 % перед отгрузкой</w:t>
            </w:r>
          </w:p>
        </w:tc>
        <w:tc>
          <w:tcPr>
            <w:tcW w:w="2835" w:type="dxa"/>
          </w:tcPr>
          <w:p w14:paraId="7B0743D5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Базовый</w:t>
            </w:r>
          </w:p>
        </w:tc>
      </w:tr>
      <w:tr w:rsidR="008A567B" w14:paraId="117A6BED" w14:textId="77777777">
        <w:tc>
          <w:tcPr>
            <w:tcW w:w="2551" w:type="dxa"/>
          </w:tcPr>
          <w:p w14:paraId="18AC126E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100 % перед отгрузкой</w:t>
            </w:r>
          </w:p>
        </w:tc>
        <w:tc>
          <w:tcPr>
            <w:tcW w:w="3969" w:type="dxa"/>
          </w:tcPr>
          <w:p w14:paraId="1C4BB95D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Оплата 100 %</w:t>
            </w:r>
            <w:r>
              <w:rPr>
                <w:sz w:val="22"/>
              </w:rPr>
              <w:t xml:space="preserve"> перед отгрузкой</w:t>
            </w:r>
          </w:p>
        </w:tc>
        <w:tc>
          <w:tcPr>
            <w:tcW w:w="2835" w:type="dxa"/>
          </w:tcPr>
          <w:p w14:paraId="2012EF7E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По правилам файла</w:t>
            </w:r>
          </w:p>
        </w:tc>
      </w:tr>
      <w:tr w:rsidR="008A567B" w:rsidRPr="00D46907" w14:paraId="11FE6408" w14:textId="77777777">
        <w:tc>
          <w:tcPr>
            <w:tcW w:w="2551" w:type="dxa"/>
          </w:tcPr>
          <w:p w14:paraId="208B0A96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lastRenderedPageBreak/>
              <w:t>100 % после отгрузки (+30 дн.)</w:t>
            </w:r>
          </w:p>
        </w:tc>
        <w:tc>
          <w:tcPr>
            <w:tcW w:w="3969" w:type="dxa"/>
          </w:tcPr>
          <w:p w14:paraId="1121EBC5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Оплата 100 % через 30 дней после отгрузки</w:t>
            </w:r>
          </w:p>
        </w:tc>
        <w:tc>
          <w:tcPr>
            <w:tcW w:w="2835" w:type="dxa"/>
          </w:tcPr>
          <w:p w14:paraId="5D5E9EC9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Надбавка «стоимости денег» из файла</w:t>
            </w:r>
          </w:p>
        </w:tc>
      </w:tr>
    </w:tbl>
    <w:p w14:paraId="675046AB" w14:textId="77777777" w:rsidR="008A567B" w:rsidRPr="00871A44" w:rsidRDefault="00FD65BD">
      <w:pPr>
        <w:keepNext/>
        <w:spacing w:before="120"/>
        <w:ind w:firstLine="0"/>
        <w:rPr>
          <w:lang w:val="ru-RU"/>
        </w:rPr>
      </w:pPr>
      <w:r w:rsidRPr="00871A44">
        <w:rPr>
          <w:sz w:val="24"/>
          <w:lang w:val="ru-RU"/>
        </w:rPr>
        <w:t>Таблица Д.3 — Расчётные коэффициенты (изменяются Администратором, как правило ежемесячно)</w:t>
      </w:r>
    </w:p>
    <w:tbl>
      <w:tblPr>
        <w:tblStyle w:val="aff0"/>
        <w:tblW w:w="9355" w:type="dxa"/>
        <w:tblLayout w:type="fixed"/>
        <w:tblLook w:val="04A0" w:firstRow="1" w:lastRow="0" w:firstColumn="1" w:lastColumn="0" w:noHBand="0" w:noVBand="1"/>
      </w:tblPr>
      <w:tblGrid>
        <w:gridCol w:w="3118"/>
        <w:gridCol w:w="2835"/>
        <w:gridCol w:w="3402"/>
      </w:tblGrid>
      <w:tr w:rsidR="008A567B" w14:paraId="2C9B5F39" w14:textId="77777777">
        <w:tc>
          <w:tcPr>
            <w:tcW w:w="3118" w:type="dxa"/>
          </w:tcPr>
          <w:p w14:paraId="0DB3FE11" w14:textId="77777777" w:rsidR="008A567B" w:rsidRDefault="00FD65BD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Коэффициент</w:t>
            </w:r>
          </w:p>
        </w:tc>
        <w:tc>
          <w:tcPr>
            <w:tcW w:w="2835" w:type="dxa"/>
          </w:tcPr>
          <w:p w14:paraId="4D2693E3" w14:textId="77777777" w:rsidR="008A567B" w:rsidRDefault="00FD65BD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 xml:space="preserve">Пример </w:t>
            </w:r>
            <w:r>
              <w:rPr>
                <w:b/>
                <w:sz w:val="22"/>
              </w:rPr>
              <w:t>значения</w:t>
            </w:r>
          </w:p>
        </w:tc>
        <w:tc>
          <w:tcPr>
            <w:tcW w:w="3402" w:type="dxa"/>
          </w:tcPr>
          <w:p w14:paraId="5C0450C4" w14:textId="77777777" w:rsidR="008A567B" w:rsidRDefault="00FD65BD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Примечание</w:t>
            </w:r>
          </w:p>
        </w:tc>
      </w:tr>
      <w:tr w:rsidR="008A567B" w14:paraId="5E5762E6" w14:textId="77777777">
        <w:tc>
          <w:tcPr>
            <w:tcW w:w="3118" w:type="dxa"/>
          </w:tcPr>
          <w:p w14:paraId="5FA0D663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Банковская комиссия + плата за перевод</w:t>
            </w:r>
          </w:p>
        </w:tc>
        <w:tc>
          <w:tcPr>
            <w:tcW w:w="2835" w:type="dxa"/>
          </w:tcPr>
          <w:p w14:paraId="384D7526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комиссия банка + ≈ 470 ¥ за сделку</w:t>
            </w:r>
          </w:p>
        </w:tc>
        <w:tc>
          <w:tcPr>
            <w:tcW w:w="3402" w:type="dxa"/>
          </w:tcPr>
          <w:p w14:paraId="0E93FCD6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Плата за перевод средств</w:t>
            </w:r>
          </w:p>
        </w:tc>
      </w:tr>
      <w:tr w:rsidR="008A567B" w14:paraId="6691B07F" w14:textId="77777777">
        <w:tc>
          <w:tcPr>
            <w:tcW w:w="3118" w:type="dxa"/>
          </w:tcPr>
          <w:p w14:paraId="597A047E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Оплата поставщику</w:t>
            </w:r>
          </w:p>
        </w:tc>
        <w:tc>
          <w:tcPr>
            <w:tcW w:w="2835" w:type="dxa"/>
          </w:tcPr>
          <w:p w14:paraId="390B480A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≈ 2 %</w:t>
            </w:r>
          </w:p>
        </w:tc>
        <w:tc>
          <w:tcPr>
            <w:tcW w:w="3402" w:type="dxa"/>
          </w:tcPr>
          <w:p w14:paraId="00D7818D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% от закупочной стоимости</w:t>
            </w:r>
          </w:p>
        </w:tc>
      </w:tr>
      <w:tr w:rsidR="008A567B" w:rsidRPr="00D46907" w14:paraId="51B2F9F1" w14:textId="77777777">
        <w:tc>
          <w:tcPr>
            <w:tcW w:w="3118" w:type="dxa"/>
          </w:tcPr>
          <w:p w14:paraId="7E2CF3C4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Кредитная (заёмная) ставка</w:t>
            </w:r>
          </w:p>
        </w:tc>
        <w:tc>
          <w:tcPr>
            <w:tcW w:w="2835" w:type="dxa"/>
          </w:tcPr>
          <w:p w14:paraId="1D90A6A2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≈ 27 %</w:t>
            </w:r>
          </w:p>
        </w:tc>
        <w:tc>
          <w:tcPr>
            <w:tcW w:w="3402" w:type="dxa"/>
          </w:tcPr>
          <w:p w14:paraId="51555537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Расчёт «стоимости денег» по отсрочкам</w:t>
            </w:r>
          </w:p>
        </w:tc>
      </w:tr>
      <w:tr w:rsidR="008A567B" w:rsidRPr="00D46907" w14:paraId="6C3A8EAD" w14:textId="77777777">
        <w:tc>
          <w:tcPr>
            <w:tcW w:w="3118" w:type="dxa"/>
          </w:tcPr>
          <w:p w14:paraId="5A2B8005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Коэффициент</w:t>
            </w:r>
            <w:r w:rsidRPr="00871A44">
              <w:rPr>
                <w:sz w:val="22"/>
                <w:lang w:val="ru-RU"/>
              </w:rPr>
              <w:t xml:space="preserve"> торговой наценки (коэффициент накладных расходов экспортёра)</w:t>
            </w:r>
          </w:p>
        </w:tc>
        <w:tc>
          <w:tcPr>
            <w:tcW w:w="2835" w:type="dxa"/>
          </w:tcPr>
          <w:p w14:paraId="51DB281E" w14:textId="6EDFC26F" w:rsidR="008A567B" w:rsidRPr="00D46907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≈ 0,12</w:t>
            </w:r>
            <w:r w:rsidR="00D46907">
              <w:rPr>
                <w:sz w:val="22"/>
                <w:lang w:val="ru-RU"/>
              </w:rPr>
              <w:t xml:space="preserve"> </w:t>
            </w:r>
            <w:r w:rsidR="00D46907" w:rsidRPr="00D46907">
              <w:rPr>
                <w:color w:val="FF0000"/>
                <w:sz w:val="22"/>
                <w:lang w:val="ru-RU"/>
              </w:rPr>
              <w:t>( теперь 0,15 – изменение от 08</w:t>
            </w:r>
            <w:r w:rsidR="00D46907" w:rsidRPr="00D46907">
              <w:rPr>
                <w:color w:val="FF0000"/>
                <w:sz w:val="22"/>
              </w:rPr>
              <w:t>.2026)</w:t>
            </w:r>
          </w:p>
        </w:tc>
        <w:tc>
          <w:tcPr>
            <w:tcW w:w="3402" w:type="dxa"/>
          </w:tcPr>
          <w:p w14:paraId="5F9EDABE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Наценка Оператора на закупочную стоимость</w:t>
            </w:r>
          </w:p>
        </w:tc>
      </w:tr>
      <w:tr w:rsidR="008A567B" w:rsidRPr="00D46907" w14:paraId="1C44515B" w14:textId="77777777">
        <w:tc>
          <w:tcPr>
            <w:tcW w:w="3118" w:type="dxa"/>
          </w:tcPr>
          <w:p w14:paraId="1D807305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Стоимость доставки до контрагента</w:t>
            </w:r>
          </w:p>
        </w:tc>
        <w:tc>
          <w:tcPr>
            <w:tcW w:w="2835" w:type="dxa"/>
          </w:tcPr>
          <w:p w14:paraId="63C93725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≈ $733,3</w:t>
            </w:r>
          </w:p>
        </w:tc>
        <w:tc>
          <w:tcPr>
            <w:tcW w:w="3402" w:type="dxa"/>
          </w:tcPr>
          <w:p w14:paraId="3955665A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Доставка «последней мили» от склада Оператора до склада покупателя (опция)</w:t>
            </w:r>
          </w:p>
        </w:tc>
      </w:tr>
      <w:tr w:rsidR="008A567B" w14:paraId="45662315" w14:textId="77777777">
        <w:tc>
          <w:tcPr>
            <w:tcW w:w="3118" w:type="dxa"/>
          </w:tcPr>
          <w:p w14:paraId="03F1CE8E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Международная доставка (ф</w:t>
            </w:r>
            <w:r>
              <w:rPr>
                <w:sz w:val="22"/>
              </w:rPr>
              <w:t>рахт)</w:t>
            </w:r>
          </w:p>
        </w:tc>
        <w:tc>
          <w:tcPr>
            <w:tcW w:w="2835" w:type="dxa"/>
          </w:tcPr>
          <w:p w14:paraId="6E8DBD6E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≈ $11 000</w:t>
            </w:r>
          </w:p>
        </w:tc>
        <w:tc>
          <w:tcPr>
            <w:tcW w:w="3402" w:type="dxa"/>
          </w:tcPr>
          <w:p w14:paraId="4EA9065E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По весу/объёму груза</w:t>
            </w:r>
          </w:p>
        </w:tc>
      </w:tr>
      <w:tr w:rsidR="008A567B" w14:paraId="179FAA37" w14:textId="77777777">
        <w:tc>
          <w:tcPr>
            <w:tcW w:w="3118" w:type="dxa"/>
          </w:tcPr>
          <w:p w14:paraId="7A5CBBC9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Срок производства / поставки / доставки</w:t>
            </w:r>
          </w:p>
        </w:tc>
        <w:tc>
          <w:tcPr>
            <w:tcW w:w="2835" w:type="dxa"/>
          </w:tcPr>
          <w:p w14:paraId="529D0215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≈ 21 / 55 / 25 дн.</w:t>
            </w:r>
          </w:p>
        </w:tc>
        <w:tc>
          <w:tcPr>
            <w:tcW w:w="3402" w:type="dxa"/>
          </w:tcPr>
          <w:p w14:paraId="6C65C767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Сроки в днях</w:t>
            </w:r>
          </w:p>
        </w:tc>
      </w:tr>
      <w:tr w:rsidR="008A567B" w14:paraId="0D9965B3" w14:textId="77777777">
        <w:tc>
          <w:tcPr>
            <w:tcW w:w="3118" w:type="dxa"/>
          </w:tcPr>
          <w:p w14:paraId="6351B3C1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Отсрочка платежа</w:t>
            </w:r>
          </w:p>
        </w:tc>
        <w:tc>
          <w:tcPr>
            <w:tcW w:w="2835" w:type="dxa"/>
          </w:tcPr>
          <w:p w14:paraId="5069E0A8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30 дней</w:t>
            </w:r>
          </w:p>
        </w:tc>
        <w:tc>
          <w:tcPr>
            <w:tcW w:w="3402" w:type="dxa"/>
          </w:tcPr>
          <w:p w14:paraId="08DC7C4E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Для графика «после отгрузки»</w:t>
            </w:r>
          </w:p>
        </w:tc>
      </w:tr>
      <w:tr w:rsidR="008A567B" w14:paraId="59C3B4B2" w14:textId="77777777">
        <w:tc>
          <w:tcPr>
            <w:tcW w:w="3118" w:type="dxa"/>
          </w:tcPr>
          <w:p w14:paraId="50DF41B1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Курс валют (¥ / $ / €)</w:t>
            </w:r>
          </w:p>
        </w:tc>
        <w:tc>
          <w:tcPr>
            <w:tcW w:w="2835" w:type="dxa"/>
          </w:tcPr>
          <w:p w14:paraId="1FE80FF3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из стороннего источника</w:t>
            </w:r>
          </w:p>
        </w:tc>
        <w:tc>
          <w:tcPr>
            <w:tcW w:w="3402" w:type="dxa"/>
          </w:tcPr>
          <w:p w14:paraId="24B89F4B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Числовые данные, автозагрузка</w:t>
            </w:r>
          </w:p>
        </w:tc>
      </w:tr>
    </w:tbl>
    <w:p w14:paraId="43F7F033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 xml:space="preserve">Значения в Таблице Д.3 приведены как пример; фактические значения задаются </w:t>
      </w:r>
      <w:r>
        <w:t>Excel</w:t>
      </w:r>
      <w:r w:rsidRPr="00871A44">
        <w:rPr>
          <w:lang w:val="ru-RU"/>
        </w:rPr>
        <w:t>-файлом-источником и изменяются Администратором через административную консоль без изменения кода.</w:t>
      </w:r>
    </w:p>
    <w:p w14:paraId="19C69EB6" w14:textId="77777777" w:rsidR="008A567B" w:rsidRPr="00871A44" w:rsidRDefault="00FD65BD">
      <w:pPr>
        <w:keepNext/>
        <w:spacing w:before="120"/>
        <w:ind w:firstLine="0"/>
        <w:rPr>
          <w:lang w:val="ru-RU"/>
        </w:rPr>
      </w:pPr>
      <w:r w:rsidRPr="00871A44">
        <w:rPr>
          <w:sz w:val="24"/>
          <w:lang w:val="ru-RU"/>
        </w:rPr>
        <w:t xml:space="preserve">Таблица Д.4 — Состав полей калькулятора по ролям (привязка к полям </w:t>
      </w:r>
      <w:r>
        <w:rPr>
          <w:sz w:val="24"/>
        </w:rPr>
        <w:t>Excel</w:t>
      </w:r>
      <w:r w:rsidRPr="00871A44">
        <w:rPr>
          <w:sz w:val="24"/>
          <w:lang w:val="ru-RU"/>
        </w:rPr>
        <w:t>)</w:t>
      </w:r>
    </w:p>
    <w:tbl>
      <w:tblPr>
        <w:tblStyle w:val="aff0"/>
        <w:tblW w:w="9355" w:type="dxa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1701"/>
      </w:tblGrid>
      <w:tr w:rsidR="008A567B" w14:paraId="7D20A751" w14:textId="77777777">
        <w:tc>
          <w:tcPr>
            <w:tcW w:w="2268" w:type="dxa"/>
          </w:tcPr>
          <w:p w14:paraId="73C358D9" w14:textId="77777777" w:rsidR="008A567B" w:rsidRDefault="00FD65BD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Рол</w:t>
            </w:r>
            <w:r>
              <w:rPr>
                <w:b/>
                <w:sz w:val="22"/>
              </w:rPr>
              <w:t>ь</w:t>
            </w:r>
          </w:p>
        </w:tc>
        <w:tc>
          <w:tcPr>
            <w:tcW w:w="5386" w:type="dxa"/>
          </w:tcPr>
          <w:p w14:paraId="28346788" w14:textId="77777777" w:rsidR="008A567B" w:rsidRDefault="00FD65BD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Поля калькулятора (поле Excel)</w:t>
            </w:r>
          </w:p>
        </w:tc>
        <w:tc>
          <w:tcPr>
            <w:tcW w:w="1701" w:type="dxa"/>
          </w:tcPr>
          <w:p w14:paraId="7D74990E" w14:textId="77777777" w:rsidR="008A567B" w:rsidRDefault="00FD65BD"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Доступ</w:t>
            </w:r>
          </w:p>
        </w:tc>
      </w:tr>
      <w:tr w:rsidR="008A567B" w:rsidRPr="00D46907" w14:paraId="58D32C17" w14:textId="77777777">
        <w:tc>
          <w:tcPr>
            <w:tcW w:w="2268" w:type="dxa"/>
          </w:tcPr>
          <w:p w14:paraId="68BFCABB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Производитель</w:t>
            </w:r>
          </w:p>
        </w:tc>
        <w:tc>
          <w:tcPr>
            <w:tcW w:w="5386" w:type="dxa"/>
          </w:tcPr>
          <w:p w14:paraId="20D14EF6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Модель (</w:t>
            </w:r>
            <w:r>
              <w:rPr>
                <w:sz w:val="22"/>
              </w:rPr>
              <w:t>C</w:t>
            </w:r>
            <w:r w:rsidRPr="00871A44">
              <w:rPr>
                <w:sz w:val="22"/>
                <w:lang w:val="ru-RU"/>
              </w:rPr>
              <w:t>); Закупочная стоимость (</w:t>
            </w:r>
            <w:r>
              <w:rPr>
                <w:sz w:val="22"/>
              </w:rPr>
              <w:t>D</w:t>
            </w:r>
            <w:r w:rsidRPr="00871A44">
              <w:rPr>
                <w:sz w:val="22"/>
                <w:lang w:val="ru-RU"/>
              </w:rPr>
              <w:t>); Кол-во в контейнере/машине (</w:t>
            </w:r>
            <w:r>
              <w:rPr>
                <w:sz w:val="22"/>
              </w:rPr>
              <w:t>L</w:t>
            </w:r>
            <w:r w:rsidRPr="00871A44">
              <w:rPr>
                <w:sz w:val="22"/>
                <w:lang w:val="ru-RU"/>
              </w:rPr>
              <w:t>); Наценка Оператора (</w:t>
            </w:r>
            <w:r>
              <w:rPr>
                <w:sz w:val="22"/>
              </w:rPr>
              <w:t>Z</w:t>
            </w:r>
            <w:r w:rsidRPr="00871A44">
              <w:rPr>
                <w:sz w:val="22"/>
                <w:lang w:val="ru-RU"/>
              </w:rPr>
              <w:t>); Срок производства (</w:t>
            </w:r>
            <w:r>
              <w:rPr>
                <w:sz w:val="22"/>
              </w:rPr>
              <w:t>O</w:t>
            </w:r>
            <w:r w:rsidRPr="00871A44">
              <w:rPr>
                <w:sz w:val="22"/>
                <w:lang w:val="ru-RU"/>
              </w:rPr>
              <w:t>); Скидка % (</w:t>
            </w:r>
            <w:r>
              <w:rPr>
                <w:sz w:val="22"/>
              </w:rPr>
              <w:t>AE</w:t>
            </w:r>
            <w:r w:rsidRPr="00871A44">
              <w:rPr>
                <w:sz w:val="22"/>
                <w:lang w:val="ru-RU"/>
              </w:rPr>
              <w:t>); Срок поставки (</w:t>
            </w:r>
            <w:r>
              <w:rPr>
                <w:sz w:val="22"/>
              </w:rPr>
              <w:t>AK</w:t>
            </w:r>
            <w:r w:rsidRPr="00871A44">
              <w:rPr>
                <w:sz w:val="22"/>
                <w:lang w:val="ru-RU"/>
              </w:rPr>
              <w:t xml:space="preserve">); Цена продажи </w:t>
            </w:r>
            <w:r>
              <w:rPr>
                <w:sz w:val="22"/>
              </w:rPr>
              <w:t>DDP</w:t>
            </w:r>
            <w:r w:rsidRPr="00871A44">
              <w:rPr>
                <w:sz w:val="22"/>
                <w:lang w:val="ru-RU"/>
              </w:rPr>
              <w:t xml:space="preserve"> без НДС с учётом доставки (</w:t>
            </w:r>
            <w:r>
              <w:rPr>
                <w:sz w:val="22"/>
              </w:rPr>
              <w:t>AG</w:t>
            </w:r>
            <w:r w:rsidRPr="00871A44">
              <w:rPr>
                <w:sz w:val="22"/>
                <w:lang w:val="ru-RU"/>
              </w:rPr>
              <w:t>)</w:t>
            </w:r>
          </w:p>
        </w:tc>
        <w:tc>
          <w:tcPr>
            <w:tcW w:w="1701" w:type="dxa"/>
          </w:tcPr>
          <w:p w14:paraId="18CF03D8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L</w:t>
            </w:r>
            <w:r w:rsidRPr="00871A44">
              <w:rPr>
                <w:sz w:val="22"/>
                <w:lang w:val="ru-RU"/>
              </w:rPr>
              <w:t xml:space="preserve"> — редактирование; </w:t>
            </w:r>
            <w:r>
              <w:rPr>
                <w:sz w:val="22"/>
              </w:rPr>
              <w:t>Z</w:t>
            </w:r>
            <w:r w:rsidRPr="00871A44">
              <w:rPr>
                <w:sz w:val="22"/>
                <w:lang w:val="ru-RU"/>
              </w:rPr>
              <w:t xml:space="preserve"> — только просмотр; остальное — ввод/просмотр</w:t>
            </w:r>
          </w:p>
        </w:tc>
      </w:tr>
      <w:tr w:rsidR="008A567B" w:rsidRPr="00D46907" w14:paraId="77D56FC3" w14:textId="77777777">
        <w:tc>
          <w:tcPr>
            <w:tcW w:w="2268" w:type="dxa"/>
          </w:tcPr>
          <w:p w14:paraId="384F5828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Покупатель</w:t>
            </w:r>
          </w:p>
        </w:tc>
        <w:tc>
          <w:tcPr>
            <w:tcW w:w="5386" w:type="dxa"/>
          </w:tcPr>
          <w:p w14:paraId="56F5BC4A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Модель (</w:t>
            </w:r>
            <w:r>
              <w:rPr>
                <w:sz w:val="22"/>
              </w:rPr>
              <w:t>C</w:t>
            </w:r>
            <w:r w:rsidRPr="00871A44">
              <w:rPr>
                <w:sz w:val="22"/>
                <w:lang w:val="ru-RU"/>
              </w:rPr>
              <w:t xml:space="preserve">); Условие оплаты — 4 варианта (дата платежа/сумма — </w:t>
            </w:r>
            <w:r>
              <w:rPr>
                <w:sz w:val="22"/>
              </w:rPr>
              <w:t>AM</w:t>
            </w:r>
            <w:r w:rsidRPr="00871A44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AN</w:t>
            </w:r>
            <w:r w:rsidRPr="00871A44">
              <w:rPr>
                <w:sz w:val="22"/>
                <w:lang w:val="ru-RU"/>
              </w:rPr>
              <w:t>); Скидка % — запрос (</w:t>
            </w:r>
            <w:r>
              <w:rPr>
                <w:sz w:val="22"/>
              </w:rPr>
              <w:t>AE</w:t>
            </w:r>
            <w:r w:rsidRPr="00871A44">
              <w:rPr>
                <w:sz w:val="22"/>
                <w:lang w:val="ru-RU"/>
              </w:rPr>
              <w:t>); Срок поставки (</w:t>
            </w:r>
            <w:r>
              <w:rPr>
                <w:sz w:val="22"/>
              </w:rPr>
              <w:t>AK</w:t>
            </w:r>
            <w:r w:rsidRPr="00871A44">
              <w:rPr>
                <w:sz w:val="22"/>
                <w:lang w:val="ru-RU"/>
              </w:rPr>
              <w:t xml:space="preserve">); Цена продажи </w:t>
            </w:r>
            <w:r>
              <w:rPr>
                <w:sz w:val="22"/>
              </w:rPr>
              <w:t>DDP</w:t>
            </w:r>
            <w:r w:rsidRPr="00871A44">
              <w:rPr>
                <w:sz w:val="22"/>
                <w:lang w:val="ru-RU"/>
              </w:rPr>
              <w:t xml:space="preserve"> (</w:t>
            </w:r>
            <w:r>
              <w:rPr>
                <w:sz w:val="22"/>
              </w:rPr>
              <w:t>AG</w:t>
            </w:r>
            <w:r w:rsidRPr="00871A44">
              <w:rPr>
                <w:sz w:val="22"/>
                <w:lang w:val="ru-RU"/>
              </w:rPr>
              <w:t>)</w:t>
            </w:r>
          </w:p>
        </w:tc>
        <w:tc>
          <w:tcPr>
            <w:tcW w:w="1701" w:type="dxa"/>
          </w:tcPr>
          <w:p w14:paraId="2C4540D8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Просмотр; ввод запроса скидки и выбор граф</w:t>
            </w:r>
            <w:r w:rsidRPr="00871A44">
              <w:rPr>
                <w:sz w:val="22"/>
                <w:lang w:val="ru-RU"/>
              </w:rPr>
              <w:t>ика оплаты</w:t>
            </w:r>
          </w:p>
        </w:tc>
      </w:tr>
      <w:tr w:rsidR="008A567B" w14:paraId="7EC36820" w14:textId="77777777">
        <w:tc>
          <w:tcPr>
            <w:tcW w:w="2268" w:type="dxa"/>
          </w:tcPr>
          <w:p w14:paraId="522D8F1D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Администратор / Оператор</w:t>
            </w:r>
          </w:p>
        </w:tc>
        <w:tc>
          <w:tcPr>
            <w:tcW w:w="5386" w:type="dxa"/>
          </w:tcPr>
          <w:p w14:paraId="38D82E5E" w14:textId="77777777" w:rsidR="008A567B" w:rsidRPr="00871A44" w:rsidRDefault="00FD65BD">
            <w:pPr>
              <w:spacing w:line="240" w:lineRule="auto"/>
              <w:ind w:firstLine="0"/>
              <w:rPr>
                <w:lang w:val="ru-RU"/>
              </w:rPr>
            </w:pPr>
            <w:r w:rsidRPr="00871A44">
              <w:rPr>
                <w:sz w:val="22"/>
                <w:lang w:val="ru-RU"/>
              </w:rPr>
              <w:t>Все расчётные коэффициенты (Таблица Д.3); все промежуточные линии расчёта; курс валют</w:t>
            </w:r>
          </w:p>
        </w:tc>
        <w:tc>
          <w:tcPr>
            <w:tcW w:w="1701" w:type="dxa"/>
          </w:tcPr>
          <w:p w14:paraId="58779607" w14:textId="77777777" w:rsidR="008A567B" w:rsidRDefault="00FD65BD">
            <w:pPr>
              <w:spacing w:line="240" w:lineRule="auto"/>
              <w:ind w:firstLine="0"/>
            </w:pPr>
            <w:r>
              <w:rPr>
                <w:sz w:val="22"/>
              </w:rPr>
              <w:t>Полный доступ; изменение коэффициентов</w:t>
            </w:r>
          </w:p>
        </w:tc>
      </w:tr>
    </w:tbl>
    <w:p w14:paraId="297E8ECF" w14:textId="77777777" w:rsidR="008A567B" w:rsidRPr="00871A44" w:rsidRDefault="00FD65BD">
      <w:pPr>
        <w:rPr>
          <w:lang w:val="ru-RU"/>
        </w:rPr>
      </w:pPr>
      <w:r w:rsidRPr="00871A44">
        <w:rPr>
          <w:lang w:val="ru-RU"/>
        </w:rPr>
        <w:t>Закупочные условия у производителя (</w:t>
      </w:r>
      <w:r>
        <w:t>EXW</w:t>
      </w:r>
      <w:r w:rsidRPr="00871A44">
        <w:rPr>
          <w:lang w:val="ru-RU"/>
        </w:rPr>
        <w:t>) фиксируются Оператором; разница между выбранным поку</w:t>
      </w:r>
      <w:r w:rsidRPr="00871A44">
        <w:rPr>
          <w:lang w:val="ru-RU"/>
        </w:rPr>
        <w:t xml:space="preserve">пателем графиком оплаты и условиями закупки закрывается Оператором как торговым посредником и отражается надбавкой/дисконтом «стоимости денег» из файла-источника. Срок поставки </w:t>
      </w:r>
      <w:r>
        <w:t>DDP</w:t>
      </w:r>
      <w:r w:rsidRPr="00871A44">
        <w:rPr>
          <w:lang w:val="ru-RU"/>
        </w:rPr>
        <w:t xml:space="preserve"> (до склада Оператора) = срок производства </w:t>
      </w:r>
      <w:r>
        <w:t>EXW</w:t>
      </w:r>
      <w:r w:rsidRPr="00871A44">
        <w:rPr>
          <w:lang w:val="ru-RU"/>
        </w:rPr>
        <w:t xml:space="preserve"> + транзит по маршруту </w:t>
      </w:r>
      <w:r w:rsidRPr="00871A44">
        <w:rPr>
          <w:lang w:val="ru-RU"/>
        </w:rPr>
        <w:lastRenderedPageBreak/>
        <w:t>(море ~</w:t>
      </w:r>
      <w:r w:rsidRPr="00871A44">
        <w:rPr>
          <w:lang w:val="ru-RU"/>
        </w:rPr>
        <w:t>35–42 дн., ж-д ~35–40 дн., авто ~25–30 дн.) + таможенный цикл (1–2 дн.). Доставка «последней мили» (опция) добавляет 2–7 дн. в зависимости от удалённости покупателя от склада Оператора. Версии калькулятора неизменяемо привязываются к рассчитанным по ним КП</w:t>
      </w:r>
      <w:r w:rsidRPr="00871A44">
        <w:rPr>
          <w:lang w:val="ru-RU"/>
        </w:rPr>
        <w:t>.</w:t>
      </w:r>
      <w:bookmarkStart w:id="4" w:name="_GoBack"/>
      <w:bookmarkEnd w:id="4"/>
    </w:p>
    <w:sectPr w:rsidR="008A567B" w:rsidRPr="00871A44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8B2E1B" w14:textId="77777777" w:rsidR="00FD65BD" w:rsidRDefault="00FD65BD">
      <w:pPr>
        <w:spacing w:line="240" w:lineRule="auto"/>
      </w:pPr>
      <w:r>
        <w:separator/>
      </w:r>
    </w:p>
  </w:endnote>
  <w:endnote w:type="continuationSeparator" w:id="0">
    <w:p w14:paraId="57358AEB" w14:textId="77777777" w:rsidR="00FD65BD" w:rsidRDefault="00FD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FC984E" w14:textId="3510125F" w:rsidR="008A567B" w:rsidRDefault="00FD65BD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D46907">
      <w:rPr>
        <w:noProof/>
        <w:sz w:val="24"/>
      </w:rPr>
      <w:t>7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1A1307" w14:textId="77777777" w:rsidR="00FD65BD" w:rsidRDefault="00FD65BD">
      <w:pPr>
        <w:spacing w:line="240" w:lineRule="auto"/>
      </w:pPr>
      <w:r>
        <w:separator/>
      </w:r>
    </w:p>
  </w:footnote>
  <w:footnote w:type="continuationSeparator" w:id="0">
    <w:p w14:paraId="40C63A88" w14:textId="77777777" w:rsidR="00FD65BD" w:rsidRDefault="00FD65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1A44"/>
    <w:rsid w:val="008A567B"/>
    <w:rsid w:val="00AA1D8D"/>
    <w:rsid w:val="00B47730"/>
    <w:rsid w:val="00CB0664"/>
    <w:rsid w:val="00D46907"/>
    <w:rsid w:val="00F84C09"/>
    <w:rsid w:val="00FC693F"/>
    <w:rsid w:val="00FD1A97"/>
    <w:rsid w:val="00FD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1B025B"/>
  <w14:defaultImageDpi w14:val="300"/>
  <w15:docId w15:val="{3F0F0D44-FD03-4DE6-B405-A203A588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20"/>
      <w:ind w:firstLine="0"/>
      <w:jc w:val="left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71A4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71A44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871A44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871A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F10B4D-E083-4CB5-8B34-67072B045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1638</Words>
  <Characters>9337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va.minakov@asi.ru</dc:creator>
  <cp:keywords/>
  <dc:description/>
  <cp:lastModifiedBy>XXX</cp:lastModifiedBy>
  <cp:revision>2</cp:revision>
  <dcterms:created xsi:type="dcterms:W3CDTF">2026-08-25T18:19:00Z</dcterms:created>
  <dcterms:modified xsi:type="dcterms:W3CDTF">2026-08-25T18:19:00Z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517190328</vt:i4>
  </property>
</Properties>
</file>