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/>
          <w:b/>
          <w:color w:val="0B2A3B"/>
          <w:sz w:val="68"/>
        </w:rPr>
        <w:t>LIFTORG B2B</w:t>
      </w:r>
    </w:p>
    <w:p>
      <w:pPr>
        <w:jc w:val="center"/>
      </w:pPr>
      <w:r>
        <w:rPr>
          <w:rFonts w:ascii="Arial" w:hAnsi="Arial"/>
          <w:color w:val="174A63"/>
          <w:sz w:val="36"/>
        </w:rPr>
        <w:t>Инженерная платформа подбора и коммерческого расчёта</w:t>
        <w:br/>
        <w:t>лифтовых тяговых машин</w:t>
      </w:r>
    </w:p>
    <w:p>
      <w:pPr>
        <w:spacing w:before="480"/>
        <w:jc w:val="center"/>
      </w:pPr>
      <w:r>
        <w:rPr>
          <w:b/>
          <w:sz w:val="26"/>
        </w:rPr>
        <w:t>Полная функциональная и техническая документация для заказчика</w:t>
      </w:r>
    </w:p>
    <w:p>
      <w:pPr>
        <w:spacing w:before="1600"/>
        <w:jc w:val="center"/>
      </w:pPr>
      <w:r>
        <w:rPr>
          <w:color w:val="505A64"/>
          <w:sz w:val="22"/>
        </w:rPr>
        <w:t>Версия продукта: 4.4.10</w:t>
        <w:br/>
      </w:r>
      <w:r>
        <w:rPr>
          <w:color w:val="505A64"/>
          <w:sz w:val="22"/>
        </w:rPr>
        <w:t>Актуализация: 28 августа 2026 г.</w:t>
        <w:br/>
      </w:r>
      <w:r>
        <w:rPr>
          <w:color w:val="505A64"/>
          <w:sz w:val="22"/>
        </w:rPr>
        <w:t>Статус: рабочая тестовая платформа / активная разработка</w:t>
        <w:br/>
      </w:r>
    </w:p>
    <w:p>
      <w:pPr>
        <w:spacing w:before="1100"/>
        <w:jc w:val="center"/>
      </w:pPr>
      <w:r>
        <w:rPr>
          <w:color w:val="6E6E6E"/>
          <w:sz w:val="19"/>
        </w:rPr>
        <w:t>Документ предназначен для согласования текущей реализации, границ этапа и дальнейшего развития продукта.</w:t>
      </w:r>
    </w:p>
    <w:p>
      <w:r>
        <w:br w:type="page"/>
      </w:r>
    </w:p>
    <w:p>
      <w:pPr>
        <w:pStyle w:val="Heading1"/>
      </w:pPr>
      <w:r>
        <w:t>1. Краткое резюме проекта</w:t>
      </w:r>
    </w:p>
    <w:p>
      <w:r>
        <w:t>Liftorg B2B — специализированная инженерная B2B-платформа для подбора, сравнения, конфигурирования, коммерческого расчёта и оформления запросов на лифтовое оборудование. Первый предметный домен — лифтовые тяговые машины (лебёдки). Платформа проектируется не как розничный интернет-магазин, а как рабочий инструмент инженера, проектировщика, закупщика, менеджера и производителя.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4A63"/>
                <w:sz w:val="19"/>
              </w:rPr>
              <w:t>Ключевой принцип: база хранит конкретные исполнения, инженерный подбор выполняется по исполнениям, а каталог для пользователя группирует их в модели. Перед расчётом, опросным листом или заказом пользователь выбирает конкретное исполнение.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515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5783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Текущее состояние</w:t>
            </w:r>
          </w:p>
        </w:tc>
      </w:tr>
      <w:tr>
        <w:tc>
          <w:tcPr>
            <w:tcW w:type="dxa" w:w="351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Товарная база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838 исполнений</w:t>
            </w:r>
          </w:p>
        </w:tc>
      </w:tr>
      <w:tr>
        <w:tc>
          <w:tcPr>
            <w:tcW w:type="dxa" w:w="351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Пользовательский каталог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около 559 моделей после группировки</w:t>
            </w:r>
          </w:p>
        </w:tc>
      </w:tr>
      <w:tr>
        <w:tc>
          <w:tcPr>
            <w:tcW w:type="dxa" w:w="351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Производители в текущей базе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Nidec, Sicor, Torindrive</w:t>
            </w:r>
          </w:p>
        </w:tc>
      </w:tr>
      <w:tr>
        <w:tc>
          <w:tcPr>
            <w:tcW w:type="dxa" w:w="351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Подбор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PASS / UNKNOWN / FAIL с объяснением</w:t>
            </w:r>
          </w:p>
        </w:tc>
      </w:tr>
      <w:tr>
        <w:tc>
          <w:tcPr>
            <w:tcW w:type="dxa" w:w="351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Сравнение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2–4 модели/исполнения</w:t>
            </w:r>
          </w:p>
        </w:tc>
      </w:tr>
      <w:tr>
        <w:tc>
          <w:tcPr>
            <w:tcW w:type="dxa" w:w="351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Калькулятор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базовый Excel-калькулятор реализован 1:1</w:t>
            </w:r>
          </w:p>
        </w:tc>
      </w:tr>
      <w:tr>
        <w:tc>
          <w:tcPr>
            <w:tcW w:type="dxa" w:w="351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Опросник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сокращённый инженерный TDNA, 58 ручных полей + автоподстановка</w:t>
            </w:r>
          </w:p>
        </w:tc>
      </w:tr>
      <w:tr>
        <w:tc>
          <w:tcPr>
            <w:tcW w:type="dxa" w:w="351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Медиа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фото / чертежи / документы с наследованием family → model → execution</w:t>
            </w:r>
          </w:p>
        </w:tc>
      </w:tr>
      <w:tr>
        <w:tc>
          <w:tcPr>
            <w:tcW w:type="dxa" w:w="351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Текущий baseline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v4.4.10</w:t>
            </w:r>
          </w:p>
        </w:tc>
      </w:tr>
    </w:tbl>
    <w:p>
      <w:pPr>
        <w:spacing w:after="40"/>
      </w:pPr>
    </w:p>
    <w:p>
      <w:pPr>
        <w:pStyle w:val="Heading1"/>
      </w:pPr>
      <w:r>
        <w:t>2. Назначение и пользователи</w:t>
      </w:r>
    </w:p>
    <w:p>
      <w:r>
        <w:t>Основная задача системы — сократить путь от инженерных параметров объекта до подходящего оборудования и коммерческого запроса, сохраняя техническую достоверность данных и прозрачность логики подбора.</w:t>
      </w:r>
    </w:p>
    <w:p>
      <w:pPr>
        <w:pStyle w:val="ListBullet"/>
        <w:spacing w:after="40"/>
      </w:pPr>
      <w:r>
        <w:t>инженеры и проектировщики</w:t>
      </w:r>
    </w:p>
    <w:p>
      <w:pPr>
        <w:pStyle w:val="ListBullet"/>
        <w:spacing w:after="40"/>
      </w:pPr>
      <w:r>
        <w:t>технические специалисты</w:t>
      </w:r>
    </w:p>
    <w:p>
      <w:pPr>
        <w:pStyle w:val="ListBullet"/>
        <w:spacing w:after="40"/>
      </w:pPr>
      <w:r>
        <w:t>B2B-закупщики</w:t>
      </w:r>
    </w:p>
    <w:p>
      <w:pPr>
        <w:pStyle w:val="ListBullet"/>
        <w:spacing w:after="40"/>
      </w:pPr>
      <w:r>
        <w:t>менеджеры Liftorg / оператора</w:t>
      </w:r>
    </w:p>
    <w:p>
      <w:pPr>
        <w:pStyle w:val="ListBullet"/>
        <w:spacing w:after="40"/>
      </w:pPr>
      <w:r>
        <w:t>производители оборудования</w:t>
      </w:r>
    </w:p>
    <w:p>
      <w:pPr>
        <w:pStyle w:val="ListBullet"/>
        <w:spacing w:after="40"/>
      </w:pPr>
      <w:r>
        <w:t>администраторы платформы</w:t>
      </w:r>
    </w:p>
    <w:p>
      <w:pPr>
        <w:pStyle w:val="Heading2"/>
      </w:pPr>
      <w:r>
        <w:t>2.1. Целевой пользовательский путь</w:t>
      </w:r>
    </w:p>
    <w:p>
      <w:pPr>
        <w:pStyle w:val="ListNumber"/>
        <w:spacing w:after="40"/>
      </w:pPr>
      <w:r>
        <w:t>Ввод технических параметров проекта.</w:t>
      </w:r>
    </w:p>
    <w:p>
      <w:pPr>
        <w:pStyle w:val="ListNumber"/>
        <w:spacing w:after="40"/>
      </w:pPr>
      <w:r>
        <w:t>Инженерный подбор по конкретным исполнениям.</w:t>
      </w:r>
    </w:p>
    <w:p>
      <w:pPr>
        <w:pStyle w:val="ListNumber"/>
        <w:spacing w:after="40"/>
      </w:pPr>
      <w:r>
        <w:t>Группировка подходящих исполнений в карточки моделей.</w:t>
      </w:r>
    </w:p>
    <w:p>
      <w:pPr>
        <w:pStyle w:val="ListNumber"/>
        <w:spacing w:after="40"/>
      </w:pPr>
      <w:r>
        <w:t>Сравнение 2–4 вариантов.</w:t>
      </w:r>
    </w:p>
    <w:p>
      <w:pPr>
        <w:pStyle w:val="ListNumber"/>
        <w:spacing w:after="40"/>
      </w:pPr>
      <w:r>
        <w:t>Выбор конкретного исполнения.</w:t>
      </w:r>
    </w:p>
    <w:p>
      <w:pPr>
        <w:pStyle w:val="ListNumber"/>
        <w:spacing w:after="40"/>
      </w:pPr>
      <w:r>
        <w:t>Просмотр технической карточки, фото, чертежей и документов.</w:t>
      </w:r>
    </w:p>
    <w:p>
      <w:pPr>
        <w:pStyle w:val="ListNumber"/>
        <w:spacing w:after="40"/>
      </w:pPr>
      <w:r>
        <w:t>Расчёт стоимости.</w:t>
      </w:r>
    </w:p>
    <w:p>
      <w:pPr>
        <w:pStyle w:val="ListNumber"/>
        <w:spacing w:after="40"/>
      </w:pPr>
      <w:r>
        <w:t>Короткий заказ или расширенный инженерный опросный лист.</w:t>
      </w:r>
    </w:p>
    <w:p>
      <w:pPr>
        <w:pStyle w:val="ListNumber"/>
        <w:spacing w:after="40"/>
      </w:pPr>
      <w:r>
        <w:t>Формирование RFQ / коммерческого предложения.</w:t>
      </w:r>
    </w:p>
    <w:p>
      <w:pPr>
        <w:pStyle w:val="ListNumber"/>
        <w:spacing w:after="40"/>
      </w:pPr>
      <w:r>
        <w:t>Передача в CRM и сопровождение сделки.</w:t>
      </w:r>
    </w:p>
    <w:p>
      <w:pPr>
        <w:pStyle w:val="Heading1"/>
      </w:pPr>
      <w:r>
        <w:t>3. Источники требований 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402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5896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4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DOC-20260823-WA0001.xlsx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Основная техническая база каталога, фильтры, характеристики и исходные значения.</w:t>
            </w:r>
          </w:p>
        </w:tc>
      </w:tr>
      <w:tr>
        <w:tc>
          <w:tcPr>
            <w:tcW w:type="dxa" w:w="34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Калькулятор-2.xlsx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Источник формул текущего базового коммерческого калькулятора.</w:t>
            </w:r>
          </w:p>
        </w:tc>
      </w:tr>
      <w:tr>
        <w:tc>
          <w:tcPr>
            <w:tcW w:type="dxa" w:w="34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описание калькулятора.docx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Целевые требования к расширенному CPQ / EXW→DDP / RFQ.</w:t>
            </w:r>
          </w:p>
        </w:tc>
      </w:tr>
      <w:tr>
        <w:tc>
          <w:tcPr>
            <w:tcW w:type="dxa" w:w="34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для воплощения на сайте-1.docx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Русские формулировки инженерного опросника; зачёркнутые поля исключаются.</w:t>
            </w:r>
          </w:p>
        </w:tc>
      </w:tr>
      <w:tr>
        <w:tc>
          <w:tcPr>
            <w:tcW w:type="dxa" w:w="34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TDNA Traction Survey.pdf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Оригинальная инженерная структура и схемы Torin Drive.</w:t>
            </w:r>
          </w:p>
        </w:tc>
      </w:tr>
      <w:tr>
        <w:tc>
          <w:tcPr>
            <w:tcW w:type="dxa" w:w="34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Последние комментарии заказчика/инженера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Имеют наивысший приоритет при уточнении инженерной классификации и UX.</w:t>
            </w:r>
          </w:p>
        </w:tc>
      </w:tr>
    </w:tbl>
    <w:p>
      <w:pPr>
        <w:spacing w:after="40"/>
      </w:pPr>
    </w:p>
    <w:p>
      <w:r>
        <w:t>При конфликте используется приоритет: последнее подтверждённое требование заказчика/инженера → утверждённый русский опросник → оригинальный TDNA → основной Excel каталога → базовый Excel-калькулятор → требования нового CPQ.</w:t>
      </w:r>
    </w:p>
    <w:p>
      <w:pPr>
        <w:pStyle w:val="Heading1"/>
      </w:pPr>
      <w:r>
        <w:t>4. Товарная база и 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Производитель</w:t>
            </w:r>
          </w:p>
        </w:tc>
        <w:tc>
          <w:tcPr>
            <w:tcW w:type="dxa" w:w="2835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Исполнений</w:t>
            </w:r>
          </w:p>
        </w:tc>
      </w:tr>
      <w:tr>
        <w:tc>
          <w:tcPr>
            <w:tcW w:type="dxa" w:w="453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Nidec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831</w:t>
            </w:r>
          </w:p>
        </w:tc>
      </w:tr>
      <w:tr>
        <w:tc>
          <w:tcPr>
            <w:tcW w:type="dxa" w:w="453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Sicor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453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Torindrive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453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Итого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838</w:t>
            </w:r>
          </w:p>
        </w:tc>
      </w:tr>
    </w:tbl>
    <w:p>
      <w:pPr>
        <w:spacing w:after="40"/>
      </w:pPr>
    </w:p>
    <w:p>
      <w:pPr>
        <w:pStyle w:val="Heading2"/>
      </w:pPr>
      <w:r>
        <w:t>4.1. Модель и исполнение</w:t>
      </w:r>
    </w:p>
    <w:p>
      <w:r>
        <w:t>Несколько строк исходного Excel могут иметь одинаковое название модели, но различаться техническими параметрами. Поэтому система не смешивает такие строки в одну «среднюю» спецификацию.</w:t>
      </w:r>
    </w:p>
    <w:p>
      <w:pPr>
        <w:pStyle w:val="ListBullet"/>
        <w:spacing w:after="40"/>
      </w:pPr>
      <w:r>
        <w:t>каждая строка исходной базы остаётся самостоятельным исполнением;</w:t>
      </w:r>
    </w:p>
    <w:p>
      <w:pPr>
        <w:pStyle w:val="ListBullet"/>
        <w:spacing w:after="40"/>
      </w:pPr>
      <w:r>
        <w:t>подбор выполняется по каждому исполнению отдельно;</w:t>
      </w:r>
    </w:p>
    <w:p>
      <w:pPr>
        <w:pStyle w:val="ListBullet"/>
        <w:spacing w:after="40"/>
      </w:pPr>
      <w:r>
        <w:t>после подбора результаты группируются по производителю и модели;</w:t>
      </w:r>
    </w:p>
    <w:p>
      <w:pPr>
        <w:pStyle w:val="ListBullet"/>
        <w:spacing w:after="40"/>
      </w:pPr>
      <w:r>
        <w:t>карточка модели показывает количество доступных исполнений;</w:t>
      </w:r>
    </w:p>
    <w:p>
      <w:pPr>
        <w:pStyle w:val="ListBullet"/>
        <w:spacing w:after="40"/>
      </w:pPr>
      <w:r>
        <w:t>расчёт, опросник и заказ всегда привязаны к выбранному product_id конкретного исполнения;</w:t>
      </w:r>
    </w:p>
    <w:p>
      <w:pPr>
        <w:pStyle w:val="ListBullet"/>
        <w:spacing w:after="40"/>
      </w:pPr>
      <w:r>
        <w:t>исходные raw-поля Excel сохраняются для аудита и дальнейшего расширения фильтров.</w:t>
      </w:r>
    </w:p>
    <w:p>
      <w:pPr>
        <w:pStyle w:val="Heading1"/>
      </w:pPr>
      <w:r>
        <w:t>5. Инженерный подбор</w:t>
      </w:r>
    </w:p>
    <w:p>
      <w:r>
        <w:t>Подбор построен на объяснимой логике PASS / UNKNOWN / FAIL. Это позволяет не исключать подходящее оборудование только потому, что отдельное значение отсутствует в исходной таблице.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14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515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4082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Поведение</w:t>
            </w:r>
          </w:p>
        </w:tc>
      </w:tr>
      <w:tr>
        <w:tc>
          <w:tcPr>
            <w:tcW w:type="dxa" w:w="1814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Значение известно и соответствует критерию.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Исполнение остаётся в точных результатах.</w:t>
            </w:r>
          </w:p>
        </w:tc>
      </w:tr>
      <w:tr>
        <w:tc>
          <w:tcPr>
            <w:tcW w:type="dxa" w:w="1814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UNKNOWN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В источнике нет значения, но явного противоречия нет.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Исполнение остаётся кандидатом с пометкой «требует уточнения».</w:t>
            </w:r>
          </w:p>
        </w:tc>
      </w:tr>
      <w:tr>
        <w:tc>
          <w:tcPr>
            <w:tcW w:type="dxa" w:w="1814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FAIL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Известное значение явно противоречит выбранному критерию.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Исполнение исключается.</w:t>
            </w:r>
          </w:p>
        </w:tc>
      </w:tr>
    </w:tbl>
    <w:p>
      <w:pPr>
        <w:spacing w:after="40"/>
      </w:pPr>
    </w:p>
    <w:p>
      <w:pPr>
        <w:pStyle w:val="Heading2"/>
      </w:pPr>
      <w:r>
        <w:t>5.1. Основные параметры подбора</w:t>
      </w:r>
    </w:p>
    <w:p>
      <w:pPr>
        <w:pStyle w:val="ListBullet"/>
        <w:spacing w:after="40"/>
      </w:pPr>
      <w:r>
        <w:t>производитель;</w:t>
      </w:r>
    </w:p>
    <w:p>
      <w:pPr>
        <w:pStyle w:val="ListBullet"/>
        <w:spacing w:after="40"/>
      </w:pPr>
      <w:r>
        <w:t>тип тяговой машины;</w:t>
      </w:r>
    </w:p>
    <w:p>
      <w:pPr>
        <w:pStyle w:val="ListBullet"/>
        <w:spacing w:after="40"/>
      </w:pPr>
      <w:r>
        <w:t>грузоподъёмность;</w:t>
      </w:r>
    </w:p>
    <w:p>
      <w:pPr>
        <w:pStyle w:val="ListBullet"/>
        <w:spacing w:after="40"/>
      </w:pPr>
      <w:r>
        <w:t>скорость;</w:t>
      </w:r>
    </w:p>
    <w:p>
      <w:pPr>
        <w:pStyle w:val="ListBullet"/>
        <w:spacing w:after="40"/>
      </w:pPr>
      <w:r>
        <w:t>кратность подвески;</w:t>
      </w:r>
    </w:p>
    <w:p>
      <w:pPr>
        <w:pStyle w:val="ListBullet"/>
        <w:spacing w:after="40"/>
      </w:pPr>
      <w:r>
        <w:t>количество скоростей;</w:t>
      </w:r>
    </w:p>
    <w:p>
      <w:pPr>
        <w:pStyle w:val="ListBullet"/>
        <w:spacing w:after="40"/>
      </w:pPr>
      <w:r>
        <w:t>частотный преобразователь;</w:t>
      </w:r>
    </w:p>
    <w:p>
      <w:pPr>
        <w:pStyle w:val="ListBullet"/>
        <w:spacing w:after="40"/>
      </w:pPr>
      <w:r>
        <w:t>тип энкодера;</w:t>
      </w:r>
    </w:p>
    <w:p>
      <w:pPr>
        <w:pStyle w:val="ListBullet"/>
        <w:spacing w:after="40"/>
      </w:pPr>
      <w:r>
        <w:t>мощность;</w:t>
      </w:r>
    </w:p>
    <w:p>
      <w:pPr>
        <w:pStyle w:val="ListBullet"/>
        <w:spacing w:after="40"/>
      </w:pPr>
      <w:r>
        <w:t>максимальная консольная нагрузка;</w:t>
      </w:r>
    </w:p>
    <w:p>
      <w:pPr>
        <w:pStyle w:val="ListBullet"/>
        <w:spacing w:after="40"/>
      </w:pPr>
      <w:r>
        <w:t>максимальная высота подъёма;</w:t>
      </w:r>
    </w:p>
    <w:p>
      <w:pPr>
        <w:pStyle w:val="ListBullet"/>
        <w:spacing w:after="40"/>
      </w:pPr>
      <w:r>
        <w:t>форма ручья U/V и допустимый угол подреза;</w:t>
      </w:r>
    </w:p>
    <w:p>
      <w:pPr>
        <w:pStyle w:val="ListBullet"/>
        <w:spacing w:after="40"/>
      </w:pPr>
      <w:r>
        <w:t>диаметр КВШ;</w:t>
      </w:r>
    </w:p>
    <w:p>
      <w:pPr>
        <w:pStyle w:val="ListBullet"/>
        <w:spacing w:after="40"/>
      </w:pPr>
      <w:r>
        <w:t>количество и диаметр канатов;</w:t>
      </w:r>
    </w:p>
    <w:p>
      <w:pPr>
        <w:pStyle w:val="ListBullet"/>
        <w:spacing w:after="40"/>
      </w:pPr>
      <w:r>
        <w:t>число включений в час;</w:t>
      </w:r>
    </w:p>
    <w:p>
      <w:pPr>
        <w:pStyle w:val="ListBullet"/>
        <w:spacing w:after="40"/>
      </w:pPr>
      <w:r>
        <w:t>напряжение тормоза;</w:t>
      </w:r>
    </w:p>
    <w:p>
      <w:pPr>
        <w:pStyle w:val="ListBullet"/>
        <w:spacing w:after="40"/>
      </w:pPr>
      <w:r>
        <w:t>масса;</w:t>
      </w:r>
    </w:p>
    <w:p>
      <w:pPr>
        <w:pStyle w:val="ListBullet"/>
        <w:spacing w:after="40"/>
      </w:pPr>
      <w:r>
        <w:t>тип размещения MR/MRL.</w:t>
      </w:r>
    </w:p>
    <w:p>
      <w:pPr>
        <w:pStyle w:val="Heading1"/>
      </w:pPr>
      <w:r>
        <w:t>6. Инженерная классификация типов и размещения</w:t>
      </w:r>
    </w:p>
    <w:p>
      <w:r>
        <w:t>Классификация является отдельным инженерным правилом и используется в фильтрах, карточках и автоматической миграции существующей базы. Ручное подтверждённое значение имеет приоритет над автоматическим правилом.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835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Группа/серия</w:t>
            </w:r>
          </w:p>
        </w:tc>
        <w:tc>
          <w:tcPr>
            <w:tcW w:type="dxa" w:w="3402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118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Размещение</w:t>
            </w:r>
          </w:p>
        </w:tc>
      </w:tr>
      <w:tr>
        <w:tc>
          <w:tcPr>
            <w:tcW w:type="dxa" w:w="283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Безредукторные «бочонки»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Безредукторная бочонок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Без машинного помещения (MRL)</w:t>
            </w:r>
          </w:p>
        </w:tc>
      </w:tr>
      <w:tr>
        <w:tc>
          <w:tcPr>
            <w:tcW w:type="dxa" w:w="283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WE 06 / WE 10 / WE 20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Безредукторная плоская таблетка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Без машинного помещения (MRL)</w:t>
            </w:r>
          </w:p>
        </w:tc>
      </w:tr>
      <w:tr>
        <w:tc>
          <w:tcPr>
            <w:tcW w:type="dxa" w:w="283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WJC-T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Безредукторная объёмная таблетка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Без машинного помещения (MRL)</w:t>
            </w:r>
          </w:p>
        </w:tc>
      </w:tr>
      <w:tr>
        <w:tc>
          <w:tcPr>
            <w:tcW w:type="dxa" w:w="283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Остальные объёмные/неплоские таблетки по подтверждённому правилу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Безредукторная таблетка соответствующего типа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В машинном помещении (MR), если нет отдельного подтверждённого исключения)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4A63"/>
                <w:sz w:val="19"/>
              </w:rPr>
              <w:t>Изменение v4.4.10: серия WJC-T исправлена по последнему уточнению заказчика — это объёмная таблетка, при этом установка остаётся MRL. В текущей базе правило применяется к 31 исполнению WJC-T.</w:t>
            </w:r>
          </w:p>
        </w:tc>
      </w:tr>
    </w:tbl>
    <w:p>
      <w:pPr>
        <w:spacing w:after="40"/>
      </w:pPr>
    </w:p>
    <w:p>
      <w:pPr>
        <w:pStyle w:val="Heading1"/>
      </w:pPr>
      <w:r>
        <w:t>7. Каталог и карточка модели</w:t>
      </w:r>
    </w:p>
    <w:p>
      <w:pPr>
        <w:pStyle w:val="ListBullet"/>
        <w:spacing w:after="40"/>
      </w:pPr>
      <w:r>
        <w:t>в каталоге показывается одна карточка на модель, а не десятки визуальных дублей исполнений;</w:t>
      </w:r>
    </w:p>
    <w:p>
      <w:pPr>
        <w:pStyle w:val="ListBullet"/>
        <w:spacing w:after="40"/>
      </w:pPr>
      <w:r>
        <w:t>карточка показывает производителя, модель, фото, ключевые характеристики и число исполнений;</w:t>
      </w:r>
    </w:p>
    <w:p>
      <w:pPr>
        <w:pStyle w:val="ListBullet"/>
        <w:spacing w:after="40"/>
      </w:pPr>
      <w:r>
        <w:t>доступны быстрые действия: открыть карточку, сравнить, рассчитать, заказать / заполнить опросник;</w:t>
      </w:r>
    </w:p>
    <w:p>
      <w:pPr>
        <w:pStyle w:val="ListBullet"/>
        <w:spacing w:after="40"/>
      </w:pPr>
      <w:r>
        <w:t>модели с неполными исходными данными не скрываются — пользователь видит, что именно требует уточнения;</w:t>
      </w:r>
    </w:p>
    <w:p>
      <w:pPr>
        <w:pStyle w:val="ListBullet"/>
        <w:spacing w:after="40"/>
      </w:pPr>
      <w:r>
        <w:t>интерфейс ориентирован на инженера и B2B-пользователя: высокая плотность технической информации без розничных элементов.</w:t>
      </w:r>
    </w:p>
    <w:p>
      <w:pPr>
        <w:pStyle w:val="Heading2"/>
      </w:pPr>
      <w:r>
        <w:t>7.1. Выбор конкретного исполнения</w:t>
      </w:r>
    </w:p>
    <w:p>
      <w:r>
        <w:t>Если у модели несколько исполнений, система показывает явный переключатель. Вся строка исполнения кликабельна, выбранный вариант подсвечивается и получает статус «Выбрано».</w:t>
      </w:r>
    </w:p>
    <w:p>
      <w:pPr>
        <w:pStyle w:val="ListBullet"/>
        <w:spacing w:after="40"/>
      </w:pPr>
      <w:r>
        <w:t>таблица выводит только те нормализованные характеристики, которыми исполнения реально отличаются;</w:t>
      </w:r>
    </w:p>
    <w:p>
      <w:pPr>
        <w:pStyle w:val="ListBullet"/>
        <w:spacing w:after="40"/>
      </w:pPr>
      <w:r>
        <w:t>при переключении загружается полный record выбранного исполнения;</w:t>
      </w:r>
    </w:p>
    <w:p>
      <w:pPr>
        <w:pStyle w:val="ListBullet"/>
        <w:spacing w:after="40"/>
      </w:pPr>
      <w:r>
        <w:t>выбранное исполнение далее используется в сравнении, калькуляторе, опроснике и заказе;</w:t>
      </w:r>
    </w:p>
    <w:p>
      <w:pPr>
        <w:pStyle w:val="ListBullet"/>
        <w:spacing w:after="40"/>
      </w:pPr>
      <w:r>
        <w:t>интерфейс защищён от полного «белого экрана» Error Boundary и проверкой некорректных execution-records.</w:t>
      </w:r>
    </w:p>
    <w:p>
      <w:pPr>
        <w:pStyle w:val="Heading1"/>
      </w:pPr>
      <w:r>
        <w:t>8. Сравнение</w:t>
      </w:r>
    </w:p>
    <w:p>
      <w:r>
        <w:t>Пользователь может сравнить 2–4 выбранные модели/исполнения. Сравнение ориентировано на ключевые инженерные параметры, а не на маркетинговые свойства.</w:t>
      </w:r>
    </w:p>
    <w:p>
      <w:pPr>
        <w:pStyle w:val="ListBullet"/>
        <w:spacing w:after="40"/>
      </w:pPr>
      <w:r>
        <w:t>фото;</w:t>
      </w:r>
    </w:p>
    <w:p>
      <w:pPr>
        <w:pStyle w:val="ListBullet"/>
        <w:spacing w:after="40"/>
      </w:pPr>
      <w:r>
        <w:t>мощность;</w:t>
      </w:r>
    </w:p>
    <w:p>
      <w:pPr>
        <w:pStyle w:val="ListBullet"/>
        <w:spacing w:after="40"/>
      </w:pPr>
      <w:r>
        <w:t>максимальная консольная нагрузка;</w:t>
      </w:r>
    </w:p>
    <w:p>
      <w:pPr>
        <w:pStyle w:val="ListBullet"/>
        <w:spacing w:after="40"/>
      </w:pPr>
      <w:r>
        <w:t>угол подреза;</w:t>
      </w:r>
    </w:p>
    <w:p>
      <w:pPr>
        <w:pStyle w:val="ListBullet"/>
        <w:spacing w:after="40"/>
      </w:pPr>
      <w:r>
        <w:t>диаметр КВШ / шкива;</w:t>
      </w:r>
    </w:p>
    <w:p>
      <w:pPr>
        <w:pStyle w:val="ListBullet"/>
        <w:spacing w:after="40"/>
      </w:pPr>
      <w:r>
        <w:t>масса;</w:t>
      </w:r>
    </w:p>
    <w:p>
      <w:pPr>
        <w:pStyle w:val="ListBullet"/>
        <w:spacing w:after="40"/>
      </w:pPr>
      <w:r>
        <w:t>другие нормализованные характеристики по мере наполнения данных.</w:t>
      </w:r>
    </w:p>
    <w:p>
      <w:pPr>
        <w:pStyle w:val="Heading1"/>
      </w:pPr>
      <w:r>
        <w:t>9. Фото, чертежи и документы</w:t>
      </w:r>
    </w:p>
    <w:p>
      <w:r>
        <w:t>Медиа вынесены в управляемую библиотеку и не требуют изменения программного кода при замене изображения или документа.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304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381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5669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1304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Исполнение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Материал конкретного исполнения имеет высший приоритет.</w:t>
            </w:r>
          </w:p>
        </w:tc>
      </w:tr>
      <w:tr>
        <w:tc>
          <w:tcPr>
            <w:tcW w:type="dxa" w:w="1304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Модель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Используется, если у исполнения нет собственного материала.</w:t>
            </w:r>
          </w:p>
        </w:tc>
      </w:tr>
      <w:tr>
        <w:tc>
          <w:tcPr>
            <w:tcW w:type="dxa" w:w="1304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Семейство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Fallback для всех моделей семейства производителя.</w:t>
            </w:r>
          </w:p>
        </w:tc>
      </w:tr>
      <w:tr>
        <w:tc>
          <w:tcPr>
            <w:tcW w:type="dxa" w:w="1304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Legacy image_ref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Резервная совместимость со старыми привязками.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поддерживаются фото, чертежи и документы;</w:t>
      </w:r>
    </w:p>
    <w:p>
      <w:pPr>
        <w:pStyle w:val="ListBullet"/>
        <w:spacing w:after="40"/>
      </w:pPr>
      <w:r>
        <w:t>администратор может назначать основное фото и порядок материалов;</w:t>
      </w:r>
    </w:p>
    <w:p>
      <w:pPr>
        <w:pStyle w:val="ListBullet"/>
        <w:spacing w:after="40"/>
      </w:pPr>
      <w:r>
        <w:t>официальные PDF/CAD/ZIP и пользовательские материалы хранятся отдельно от Docker-образа;</w:t>
      </w:r>
    </w:p>
    <w:p>
      <w:pPr>
        <w:pStyle w:val="ListBullet"/>
        <w:spacing w:after="40"/>
      </w:pPr>
      <w:r>
        <w:t>медиатека сохраняется между обновлениями приложения.</w:t>
      </w:r>
    </w:p>
    <w:p>
      <w:pPr>
        <w:pStyle w:val="Heading1"/>
      </w:pPr>
      <w:r>
        <w:t>10. Техническая карточка / паспорт</w:t>
      </w:r>
    </w:p>
    <w:p>
      <w:r>
        <w:t>Карточка содержит полный набор доступных нормализованных характеристик, исходные значения, выбранное исполнение, медиа и действия, связанные с этим исполнением. Данные разных исполнений не объединяются и не усредняются.</w:t>
      </w:r>
    </w:p>
    <w:p>
      <w:pPr>
        <w:pStyle w:val="Heading1"/>
      </w:pPr>
      <w:r>
        <w:t>11. Коммерческий калькулятор</w:t>
      </w:r>
    </w:p>
    <w:p>
      <w:pPr>
        <w:pStyle w:val="Heading2"/>
      </w:pPr>
      <w:r>
        <w:t>11.1. Реализованный базовый калькулятор</w:t>
      </w:r>
    </w:p>
    <w:p>
      <w:r>
        <w:t>Текущий калькулятор перенесён из файла «Калькулятор-2.xlsx» и сохраняет исходные четыре сценария оплаты. Формулы проверяются эталонной валидацией.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102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3969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51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Постоплата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51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50/50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51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100% по доставке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51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Предоплата 100%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4A63"/>
                <w:sz w:val="19"/>
              </w:rPr>
              <w:t>Относительно исходного файла «Калькулятор-2.xlsx» текущая реализация базового калькулятора считается выполненной полностью. Расширенный CPQ — отдельный следующий функциональный блок.</w:t>
            </w:r>
          </w:p>
        </w:tc>
      </w:tr>
    </w:tbl>
    <w:p>
      <w:pPr>
        <w:spacing w:after="40"/>
      </w:pPr>
    </w:p>
    <w:p>
      <w:pPr>
        <w:pStyle w:val="Heading2"/>
      </w:pPr>
      <w:r>
        <w:t>11.2. Видимость для покупателя и сотрудника</w:t>
      </w:r>
    </w:p>
    <w:p>
      <w:pPr>
        <w:pStyle w:val="ListBullet"/>
        <w:spacing w:after="40"/>
      </w:pPr>
      <w:r>
        <w:t>Покупатель видит итоговые цены по сценариям оплаты, без закупочной цены, внутренних расходов, сроков производства/доставки и коэффициентов.</w:t>
      </w:r>
    </w:p>
    <w:p>
      <w:pPr>
        <w:pStyle w:val="ListBullet"/>
        <w:spacing w:after="40"/>
      </w:pPr>
      <w:r>
        <w:t>Сотрудник видит полный внутренний расчёт и входные параметры.</w:t>
      </w:r>
    </w:p>
    <w:p>
      <w:pPr>
        <w:pStyle w:val="ListBullet"/>
        <w:spacing w:after="40"/>
      </w:pPr>
      <w:r>
        <w:t>Формулы базового Excel при разделении видимости не изменяются.</w:t>
      </w:r>
    </w:p>
    <w:p>
      <w:pPr>
        <w:pStyle w:val="Heading2"/>
      </w:pPr>
      <w:r>
        <w:t>11.3. Целевой CPQ 2.0</w:t>
      </w:r>
    </w:p>
    <w:p>
      <w:r>
        <w:t>Документ «описание калькулятора.docx» задаёт расширение до многострочного CPQ и полного маршрута EXW→DDP. Этот блок принят в требования и реализуется отдельным этапом.</w:t>
      </w:r>
    </w:p>
    <w:p>
      <w:pPr>
        <w:pStyle w:val="ListBullet"/>
        <w:spacing w:after="40"/>
      </w:pPr>
      <w:r>
        <w:t>несколько строк оборудования в одном КП: лебёдка, рама, виброизоляторы, отводной блок, крепёж, чертежи, услуги;</w:t>
      </w:r>
    </w:p>
    <w:p>
      <w:pPr>
        <w:pStyle w:val="ListBullet"/>
        <w:spacing w:after="40"/>
      </w:pPr>
      <w:r>
        <w:t>отдельная цена и срок по каждой строке;</w:t>
      </w:r>
    </w:p>
    <w:p>
      <w:pPr>
        <w:pStyle w:val="ListBullet"/>
        <w:spacing w:after="40"/>
      </w:pPr>
      <w:r>
        <w:t>Incoterms 2020;</w:t>
      </w:r>
    </w:p>
    <w:p>
      <w:pPr>
        <w:pStyle w:val="ListBullet"/>
        <w:spacing w:after="40"/>
      </w:pPr>
      <w:r>
        <w:t>EXW + надбавки − объёмная скидка;</w:t>
      </w:r>
    </w:p>
    <w:p>
      <w:pPr>
        <w:pStyle w:val="ListBullet"/>
        <w:spacing w:after="40"/>
      </w:pPr>
      <w:r>
        <w:t>упаковка и локальные расходы в Китае, перевозка, страхование, пошлина/НДС, брокер, банковские расходы, маржа;</w:t>
      </w:r>
    </w:p>
    <w:p>
      <w:pPr>
        <w:pStyle w:val="ListBullet"/>
        <w:spacing w:after="40"/>
      </w:pPr>
      <w:r>
        <w:t>управляемые коэффициенты без изменения кода;</w:t>
      </w:r>
    </w:p>
    <w:p>
      <w:pPr>
        <w:pStyle w:val="ListBullet"/>
        <w:spacing w:after="40"/>
      </w:pPr>
      <w:r>
        <w:t>история валютных курсов;</w:t>
      </w:r>
    </w:p>
    <w:p>
      <w:pPr>
        <w:pStyle w:val="ListBullet"/>
        <w:spacing w:after="40"/>
      </w:pPr>
      <w:r>
        <w:t>версионирование расчёта и коммерческого предложения.</w:t>
      </w:r>
    </w:p>
    <w:p>
      <w:pPr>
        <w:pStyle w:val="Heading1"/>
      </w:pPr>
      <w:r>
        <w:t>12. Заказ и инженерный опросный лист</w:t>
      </w:r>
    </w:p>
    <w:p>
      <w:r>
        <w:t>Опросный лист не является обязательным барьером для первого обращения. Пользователь выбирает один из двух независимых сценариев.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628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5669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2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Заказать лебёдку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Короткий коммерческий запрос без обязательного заполнения технической «простыни».</w:t>
            </w:r>
          </w:p>
        </w:tc>
      </w:tr>
      <w:tr>
        <w:tc>
          <w:tcPr>
            <w:tcW w:type="dxa" w:w="362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Заполнить опросный лист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Расширенный инженерный TDNA-опросник для подготовки чертежей и технического согласования.</w:t>
            </w:r>
          </w:p>
        </w:tc>
      </w:tr>
    </w:tbl>
    <w:p>
      <w:pPr>
        <w:spacing w:after="40"/>
      </w:pPr>
    </w:p>
    <w:p>
      <w:pPr>
        <w:pStyle w:val="Heading2"/>
      </w:pPr>
      <w:r>
        <w:t>12.1. TDNA-опросник</w:t>
      </w:r>
    </w:p>
    <w:p>
      <w:pPr>
        <w:pStyle w:val="ListBullet"/>
        <w:spacing w:after="40"/>
      </w:pPr>
      <w:r>
        <w:t>русские подписи берутся из утверждённого перевода;</w:t>
      </w:r>
    </w:p>
    <w:p>
      <w:pPr>
        <w:pStyle w:val="ListBullet"/>
        <w:spacing w:after="40"/>
      </w:pPr>
      <w:r>
        <w:t>полностью зачёркнутые поля исключены;</w:t>
      </w:r>
    </w:p>
    <w:p>
      <w:pPr>
        <w:pStyle w:val="ListBullet"/>
        <w:spacing w:after="40"/>
      </w:pPr>
      <w:r>
        <w:t>известные параметры выбранного исполнения подставляются автоматически;</w:t>
      </w:r>
    </w:p>
    <w:p>
      <w:pPr>
        <w:pStyle w:val="ListBullet"/>
        <w:spacing w:after="40"/>
      </w:pPr>
      <w:r>
        <w:t>повторные данные не спрашиваются вручную;</w:t>
      </w:r>
    </w:p>
    <w:p>
      <w:pPr>
        <w:pStyle w:val="ListBullet"/>
        <w:spacing w:after="40"/>
      </w:pPr>
      <w:r>
        <w:t>после очистки формы остаётся 58 ручных инженерных полей, сгруппированных по смыслу;</w:t>
      </w:r>
    </w:p>
    <w:p>
      <w:pPr>
        <w:pStyle w:val="ListBullet"/>
        <w:spacing w:after="40"/>
      </w:pPr>
      <w:r>
        <w:t>неизвестные значения можно оставить пустыми;</w:t>
      </w:r>
    </w:p>
    <w:p>
      <w:pPr>
        <w:pStyle w:val="ListBullet"/>
        <w:spacing w:after="40"/>
      </w:pPr>
      <w:r>
        <w:t>черновик сохраняется локально и на сервере и восстанавливается после перезагрузки;</w:t>
      </w:r>
    </w:p>
    <w:p>
      <w:pPr>
        <w:pStyle w:val="ListBullet"/>
        <w:spacing w:after="40"/>
      </w:pPr>
      <w:r>
        <w:t>технические схемы Torin Drive привязаны к соответствующим полям и увеличиваются по клику.</w:t>
      </w:r>
    </w:p>
    <w:p>
      <w:pPr>
        <w:pStyle w:val="Heading2"/>
      </w:pPr>
      <w:r>
        <w:t>12.2. Подтверждённые термины и единицы</w:t>
      </w:r>
    </w:p>
    <w:p>
      <w:pPr>
        <w:pStyle w:val="ListBullet"/>
        <w:spacing w:after="40"/>
      </w:pPr>
      <w:r>
        <w:t>в интерфейсе используются единицы СИ;</w:t>
      </w:r>
    </w:p>
    <w:p>
      <w:pPr>
        <w:pStyle w:val="ListBullet"/>
        <w:spacing w:after="40"/>
      </w:pPr>
      <w:r>
        <w:t>поле 208–230 / 460–480 называется «Выходное напряжение привода, В»;</w:t>
      </w:r>
    </w:p>
    <w:p>
      <w:pPr>
        <w:pStyle w:val="ListBullet"/>
        <w:spacing w:after="40"/>
      </w:pPr>
      <w:r>
        <w:t>«Deflector» отображается как «Отводной блок»;</w:t>
      </w:r>
    </w:p>
    <w:p>
      <w:pPr>
        <w:pStyle w:val="ListBullet"/>
        <w:spacing w:after="40"/>
      </w:pPr>
      <w:r>
        <w:t>поле типа шкива отображается как «Тип отводного блока / схема огибания канатом»;</w:t>
      </w:r>
    </w:p>
    <w:p>
      <w:pPr>
        <w:pStyle w:val="ListBullet"/>
        <w:spacing w:after="40"/>
      </w:pPr>
      <w:r>
        <w:t>«Трос Боудена» называется «Устройство дистанционного растормаживания» с вариантами: не требуется / 8 м / 10 м / 12 м.</w:t>
      </w:r>
    </w:p>
    <w:p>
      <w:pPr>
        <w:pStyle w:val="Heading1"/>
      </w:pPr>
      <w:r>
        <w:t>13. Заявки, кабинет производителя и администрирование</w:t>
      </w:r>
    </w:p>
    <w:p>
      <w:pPr>
        <w:pStyle w:val="Heading2"/>
      </w:pPr>
      <w:r>
        <w:t>13.1. Заявки</w:t>
      </w:r>
    </w:p>
    <w:p>
      <w:pPr>
        <w:pStyle w:val="ListBullet"/>
        <w:spacing w:after="40"/>
      </w:pPr>
      <w:r>
        <w:t>короткий заказ и инженерный опросник сохраняются в общей системе заявок;</w:t>
      </w:r>
    </w:p>
    <w:p>
      <w:pPr>
        <w:pStyle w:val="ListBullet"/>
        <w:spacing w:after="40"/>
      </w:pPr>
      <w:r>
        <w:t>каждая заявка связана с выбранным исполнением и snapshot технических данных;</w:t>
      </w:r>
    </w:p>
    <w:p>
      <w:pPr>
        <w:pStyle w:val="ListBullet"/>
        <w:spacing w:after="40"/>
      </w:pPr>
      <w:r>
        <w:t>исторические ответы и черновики не удаляются при изменении формы.</w:t>
      </w:r>
    </w:p>
    <w:p>
      <w:pPr>
        <w:pStyle w:val="Heading2"/>
      </w:pPr>
      <w:r>
        <w:t>13.2. Производитель</w:t>
      </w:r>
    </w:p>
    <w:p>
      <w:pPr>
        <w:pStyle w:val="ListBullet"/>
        <w:spacing w:after="40"/>
      </w:pPr>
      <w:r>
        <w:t>базовый справочник номенклатуры и отпускных цен;</w:t>
      </w:r>
    </w:p>
    <w:p>
      <w:pPr>
        <w:pStyle w:val="ListBullet"/>
        <w:spacing w:after="40"/>
      </w:pPr>
      <w:r>
        <w:t>цена производителя может использоваться как вход калькулятора;</w:t>
      </w:r>
    </w:p>
    <w:p>
      <w:pPr>
        <w:pStyle w:val="ListBullet"/>
        <w:spacing w:after="40"/>
      </w:pPr>
      <w:r>
        <w:t>целевое развитие: упаковка, габариты, масса, срок производства, Incoterms, история изменений и предложения по RFQ.</w:t>
      </w:r>
    </w:p>
    <w:p>
      <w:pPr>
        <w:pStyle w:val="Heading2"/>
      </w:pPr>
      <w:r>
        <w:t>13.3. Администратор</w:t>
      </w:r>
    </w:p>
    <w:p>
      <w:pPr>
        <w:pStyle w:val="ListBullet"/>
        <w:spacing w:after="40"/>
      </w:pPr>
      <w:r>
        <w:t>редактирование товарных позиций;</w:t>
      </w:r>
    </w:p>
    <w:p>
      <w:pPr>
        <w:pStyle w:val="ListBullet"/>
        <w:spacing w:after="40"/>
      </w:pPr>
      <w:r>
        <w:t>динамические характеристики без изменения базовой схемы;</w:t>
      </w:r>
    </w:p>
    <w:p>
      <w:pPr>
        <w:pStyle w:val="ListBullet"/>
        <w:spacing w:after="40"/>
      </w:pPr>
      <w:r>
        <w:t>просмотр исходных raw-данных / source audit;</w:t>
      </w:r>
    </w:p>
    <w:p>
      <w:pPr>
        <w:pStyle w:val="ListBullet"/>
        <w:spacing w:after="40"/>
      </w:pPr>
      <w:r>
        <w:t>управление медиабиблиотекой;</w:t>
      </w:r>
    </w:p>
    <w:p>
      <w:pPr>
        <w:pStyle w:val="ListBullet"/>
        <w:spacing w:after="40"/>
      </w:pPr>
      <w:r>
        <w:t>просмотр заявок;</w:t>
      </w:r>
    </w:p>
    <w:p>
      <w:pPr>
        <w:pStyle w:val="ListBullet"/>
        <w:spacing w:after="40"/>
      </w:pPr>
      <w:r>
        <w:t>целевой production-импорт Excel с проверкой и отчётом изменений.</w:t>
      </w:r>
    </w:p>
    <w:p>
      <w:pPr>
        <w:pStyle w:val="Heading1"/>
      </w:pPr>
      <w:r>
        <w:t>14. Архитектура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402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5669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Текущая технология</w:t>
            </w:r>
          </w:p>
        </w:tc>
      </w:tr>
      <w:tr>
        <w:tc>
          <w:tcPr>
            <w:tcW w:type="dxa" w:w="34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Backend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Python / FastAPI</w:t>
            </w:r>
          </w:p>
        </w:tc>
      </w:tr>
      <w:tr>
        <w:tc>
          <w:tcPr>
            <w:tcW w:type="dxa" w:w="34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База тестового контура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SQLite; production-направление — PostgreSQL</w:t>
            </w:r>
          </w:p>
        </w:tc>
      </w:tr>
      <w:tr>
        <w:tc>
          <w:tcPr>
            <w:tcW w:type="dxa" w:w="34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Пользовательский каталог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React</w:t>
            </w:r>
          </w:p>
        </w:tc>
      </w:tr>
      <w:tr>
        <w:tc>
          <w:tcPr>
            <w:tcW w:type="dxa" w:w="34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Серверные формы/админка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FastAPI + server-rendered UI</w:t>
            </w:r>
          </w:p>
        </w:tc>
      </w:tr>
      <w:tr>
        <w:tc>
          <w:tcPr>
            <w:tcW w:type="dxa" w:w="34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Контейнеризация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Docker Compose</w:t>
            </w:r>
          </w:p>
        </w:tc>
      </w:tr>
      <w:tr>
        <w:tc>
          <w:tcPr>
            <w:tcW w:type="dxa" w:w="34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Проксирование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Nginx</w:t>
            </w:r>
          </w:p>
        </w:tc>
      </w:tr>
      <w:tr>
        <w:tc>
          <w:tcPr>
            <w:tcW w:type="dxa" w:w="340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Медиа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Persistent host storage / bind volumes</w:t>
            </w:r>
          </w:p>
        </w:tc>
      </w:tr>
    </w:tbl>
    <w:p>
      <w:pPr>
        <w:spacing w:after="40"/>
      </w:pPr>
    </w:p>
    <w:p>
      <w:r>
        <w:t>Архитектура допускает отдельную интеграцию с существующим сайтом Liftorg на 1C‑Bitrix и дальнейшее подключение CRM через независимый интеграционный слой.</w:t>
      </w:r>
    </w:p>
    <w:p>
      <w:pPr>
        <w:pStyle w:val="Heading1"/>
      </w:pPr>
      <w:r>
        <w:t>15. Роли и разграничение информации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6236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Что видит / делает</w:t>
            </w:r>
          </w:p>
        </w:tc>
      </w:tr>
      <w:tr>
        <w:tc>
          <w:tcPr>
            <w:tcW w:type="dxa" w:w="283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Покупатель / инженер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Каталог, подбор, сравнение, карточки, итоговые цены, заказ, опросник. Не видит внутреннюю закупочную экономику.</w:t>
            </w:r>
          </w:p>
        </w:tc>
      </w:tr>
      <w:tr>
        <w:tc>
          <w:tcPr>
            <w:tcW w:type="dxa" w:w="283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Производитель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Собственную номенклатуру и отпускные данные; в целевой модели — ответы на RFQ.</w:t>
            </w:r>
          </w:p>
        </w:tc>
      </w:tr>
      <w:tr>
        <w:tc>
          <w:tcPr>
            <w:tcW w:type="dxa" w:w="283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Оператор / сотрудник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Внутренний расчёт, заявки, коммерческие параметры, коммуникация.</w:t>
            </w:r>
          </w:p>
        </w:tc>
      </w:tr>
      <w:tr>
        <w:tc>
          <w:tcPr>
            <w:tcW w:type="dxa" w:w="2835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Администратор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Товарная база, атрибуты, медиа, коэффициенты, аудит, пользователи и интеграции.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4A63"/>
                <w:sz w:val="19"/>
              </w:rPr>
              <w:t>В тестовом контуре часть административной авторизации временно упрощена для разработки. Перед production-публикацией доступ должен быть закрыт полноценной ролевой авторизацией и HTTPS.</w:t>
            </w:r>
          </w:p>
        </w:tc>
      </w:tr>
    </w:tbl>
    <w:p>
      <w:pPr>
        <w:spacing w:after="40"/>
      </w:pPr>
    </w:p>
    <w:p>
      <w:pPr>
        <w:pStyle w:val="Heading1"/>
      </w:pPr>
      <w:r>
        <w:t>16. RFQ, скидки и CRM — следующий функциональный контур</w:t>
      </w:r>
    </w:p>
    <w:p>
      <w:pPr>
        <w:pStyle w:val="Heading2"/>
      </w:pPr>
      <w:r>
        <w:t>16.1. RFQ</w:t>
      </w:r>
    </w:p>
    <w:p>
      <w:pPr>
        <w:pStyle w:val="ListBullet"/>
        <w:spacing w:after="40"/>
      </w:pPr>
      <w:r>
        <w:t>технические параметры, объём партии, желаемый срок, валюта, дедлайн, график оплаты;</w:t>
      </w:r>
    </w:p>
    <w:p>
      <w:pPr>
        <w:pStyle w:val="ListBullet"/>
        <w:spacing w:after="40"/>
      </w:pPr>
      <w:r>
        <w:t>адресное направление 1–3 производителям или открытый запрос подходящим верифицированным производителям;</w:t>
      </w:r>
    </w:p>
    <w:p>
      <w:pPr>
        <w:pStyle w:val="ListBullet"/>
        <w:spacing w:after="40"/>
      </w:pPr>
      <w:r>
        <w:t>история версий и предложений;</w:t>
      </w:r>
    </w:p>
    <w:p>
      <w:pPr>
        <w:pStyle w:val="ListBullet"/>
        <w:spacing w:after="40"/>
      </w:pPr>
      <w:r>
        <w:t>вложения и комментарии;</w:t>
      </w:r>
    </w:p>
    <w:p>
      <w:pPr>
        <w:pStyle w:val="ListBullet"/>
        <w:spacing w:after="40"/>
      </w:pPr>
      <w:r>
        <w:t>reverse auction — вторая очередь.</w:t>
      </w:r>
    </w:p>
    <w:p>
      <w:pPr>
        <w:pStyle w:val="Heading2"/>
      </w:pPr>
      <w:r>
        <w:t>16.2. Согласование скидки</w:t>
      </w:r>
    </w:p>
    <w:p>
      <w:pPr>
        <w:pStyle w:val="ListBullet"/>
        <w:spacing w:after="40"/>
      </w:pPr>
      <w:r>
        <w:t>фиксированная история запросов скидки и решений;</w:t>
      </w:r>
    </w:p>
    <w:p>
      <w:pPr>
        <w:pStyle w:val="ListBullet"/>
        <w:spacing w:after="40"/>
      </w:pPr>
      <w:r>
        <w:t>разделение прав покупателя, производителя и оператора;</w:t>
      </w:r>
    </w:p>
    <w:p>
      <w:pPr>
        <w:pStyle w:val="ListBullet"/>
        <w:spacing w:after="40"/>
      </w:pPr>
      <w:r>
        <w:t>привязка скидки к конкретной версии КП.</w:t>
      </w:r>
    </w:p>
    <w:p>
      <w:pPr>
        <w:pStyle w:val="Heading2"/>
      </w:pPr>
      <w:r>
        <w:t>16.3. CRM</w:t>
      </w:r>
    </w:p>
    <w:p>
      <w:r>
        <w:t>Целевая интеграция предполагает передачу lead/RFQ/deal в CRM, в том числе BPMSoft, через нейтральный адаптер с журналом синхронизации, повторными попытками и защитой от дублей. Интеграция CRM является отдельным этапом развития.</w:t>
      </w:r>
    </w:p>
    <w:p>
      <w:pPr>
        <w:pStyle w:val="Heading1"/>
      </w:pPr>
      <w:r>
        <w:t>17. Масштабирование платформы</w:t>
      </w:r>
    </w:p>
    <w:p>
      <w:r>
        <w:t>Архитектура должна стать ядром общего лифтового каталога Liftorg, а не остаться одноразовым каталогом лебёдок.</w:t>
      </w:r>
    </w:p>
    <w:p>
      <w:pPr>
        <w:pStyle w:val="ListBullet"/>
        <w:spacing w:after="40"/>
      </w:pPr>
      <w:r>
        <w:t>каталог лифтов;</w:t>
      </w:r>
    </w:p>
    <w:p>
      <w:pPr>
        <w:pStyle w:val="ListBullet"/>
        <w:spacing w:after="40"/>
      </w:pPr>
      <w:r>
        <w:t>страницы производителей по единому шаблону;</w:t>
      </w:r>
    </w:p>
    <w:p>
      <w:pPr>
        <w:pStyle w:val="ListBullet"/>
        <w:spacing w:after="40"/>
      </w:pPr>
      <w:r>
        <w:t>адаптация существующих страниц производителей;</w:t>
      </w:r>
    </w:p>
    <w:p>
      <w:pPr>
        <w:pStyle w:val="ListBullet"/>
        <w:spacing w:after="40"/>
      </w:pPr>
      <w:r>
        <w:t>масштабирование до порядка 100 производителей;</w:t>
      </w:r>
    </w:p>
    <w:p>
      <w:pPr>
        <w:pStyle w:val="ListBullet"/>
        <w:spacing w:after="40"/>
      </w:pPr>
      <w:r>
        <w:t>отдельные конфигураторы и опросники по категориям;</w:t>
      </w:r>
    </w:p>
    <w:p>
      <w:pPr>
        <w:pStyle w:val="ListBullet"/>
        <w:spacing w:after="40"/>
      </w:pPr>
      <w:r>
        <w:t>SEO-структура;</w:t>
      </w:r>
    </w:p>
    <w:p>
      <w:pPr>
        <w:pStyle w:val="ListBullet"/>
        <w:spacing w:after="40"/>
      </w:pPr>
      <w:r>
        <w:t>передача заявок в общий коммерческий контур и CRM.</w:t>
      </w:r>
    </w:p>
    <w:p>
      <w:pPr>
        <w:pStyle w:val="Heading1"/>
      </w:pPr>
      <w:r>
        <w:t>18. Текущий статус функциональных блоков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953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3118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База 838 исполнений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Raw source / сохранение исходных полей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Группировка исполнений в модели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PASS / UNKNOWN / FAIL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Явный выбор исполнения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WJC-T = объёмная таблетка, MRL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 v4.4.10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Сравнение 2–4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Техническая карточка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Реализовано, UX развивается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Медиабиблиотека family→model→execution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Загрузка медиа из админки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Persistent media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Базовый Калькулятор-2.xlsx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 1:1 / validate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Ролевая видимость калькулятора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Короткий заказ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TDNA-опросник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Реализовано, сокращён до 58 ручных полей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Автосохранение черновика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Динамические характеристики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Базово реализовано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Цены производителя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Базово реализовано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Полный EXW→DDP CPQ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Следующий этап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Управляемые коэффициенты CPQ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Следующий этап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FX history/provider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Следующий этап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Многострочное КП и versioning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Следующий этап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Advanced multi-vendor RFQ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Следующий этап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Discount workflow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Следующий этап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Production Excel import UX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Требует доработки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Production auth / HTTPS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Перед production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CRM / BPMSoft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Отдельный этап</w:t>
            </w:r>
          </w:p>
        </w:tc>
      </w:tr>
      <w:tr>
        <w:tc>
          <w:tcPr>
            <w:tcW w:type="dxa" w:w="5953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Общий каталог лифтов / manufacturer pages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Дальнейшее развитие</w:t>
            </w:r>
          </w:p>
        </w:tc>
      </w:tr>
    </w:tbl>
    <w:p>
      <w:pPr>
        <w:spacing w:after="40"/>
      </w:pPr>
    </w:p>
    <w:p>
      <w:pPr>
        <w:pStyle w:val="Heading1"/>
      </w:pPr>
      <w:r>
        <w:t>19. Критерии приёмки текущего каталога</w:t>
      </w:r>
    </w:p>
    <w:p>
      <w:pPr>
        <w:pStyle w:val="ListBullet"/>
        <w:spacing w:after="40"/>
      </w:pPr>
      <w:r>
        <w:t>загружаются все 838 исполнений;</w:t>
      </w:r>
    </w:p>
    <w:p>
      <w:pPr>
        <w:pStyle w:val="ListBullet"/>
        <w:spacing w:after="40"/>
      </w:pPr>
      <w:r>
        <w:t>модели группируются без визуальных дублей;</w:t>
      </w:r>
    </w:p>
    <w:p>
      <w:pPr>
        <w:pStyle w:val="ListBullet"/>
        <w:spacing w:after="40"/>
      </w:pPr>
      <w:r>
        <w:t>логика подбора объяснима;</w:t>
      </w:r>
    </w:p>
    <w:p>
      <w:pPr>
        <w:pStyle w:val="ListBullet"/>
        <w:spacing w:after="40"/>
      </w:pPr>
      <w:r>
        <w:t>отсутствующее значение не исключает оборудование без явного противоречия;</w:t>
      </w:r>
    </w:p>
    <w:p>
      <w:pPr>
        <w:pStyle w:val="ListBullet"/>
        <w:spacing w:after="40"/>
      </w:pPr>
      <w:r>
        <w:t>карточка модели и конкретного исполнения открывается;</w:t>
      </w:r>
    </w:p>
    <w:p>
      <w:pPr>
        <w:pStyle w:val="ListBullet"/>
        <w:spacing w:after="40"/>
      </w:pPr>
      <w:r>
        <w:t>можно переключить исполнение и увидеть реальные отличия;</w:t>
      </w:r>
    </w:p>
    <w:p>
      <w:pPr>
        <w:pStyle w:val="ListBullet"/>
        <w:spacing w:after="40"/>
      </w:pPr>
      <w:r>
        <w:t>сравнение 2–4 работает;</w:t>
      </w:r>
    </w:p>
    <w:p>
      <w:pPr>
        <w:pStyle w:val="ListBullet"/>
        <w:spacing w:after="40"/>
      </w:pPr>
      <w:r>
        <w:t>фото, чертежи и документы отображаются;</w:t>
      </w:r>
    </w:p>
    <w:p>
      <w:pPr>
        <w:pStyle w:val="ListBullet"/>
        <w:spacing w:after="40"/>
      </w:pPr>
      <w:r>
        <w:t>базовый расчёт запускается и проходит эталонную валидацию;</w:t>
      </w:r>
    </w:p>
    <w:p>
      <w:pPr>
        <w:pStyle w:val="ListBullet"/>
        <w:spacing w:after="40"/>
      </w:pPr>
      <w:r>
        <w:t>короткий заказ создаёт заявку;</w:t>
      </w:r>
    </w:p>
    <w:p>
      <w:pPr>
        <w:pStyle w:val="ListBullet"/>
        <w:spacing w:after="40"/>
      </w:pPr>
      <w:r>
        <w:t>опросник необязателен и сохраняет черновик;</w:t>
      </w:r>
    </w:p>
    <w:p>
      <w:pPr>
        <w:pStyle w:val="ListBullet"/>
        <w:spacing w:after="40"/>
      </w:pPr>
      <w:r>
        <w:t>администратор может редактировать позицию и медиа;</w:t>
      </w:r>
    </w:p>
    <w:p>
      <w:pPr>
        <w:pStyle w:val="ListBullet"/>
        <w:spacing w:after="40"/>
      </w:pPr>
      <w:r>
        <w:t>документация синхронизирована с текущим baseline.</w:t>
      </w:r>
    </w:p>
    <w:p>
      <w:pPr>
        <w:pStyle w:val="Heading1"/>
      </w:pPr>
      <w:r>
        <w:t>20. Контроль качества и тестирование</w:t>
      </w:r>
    </w:p>
    <w:p>
      <w:pPr>
        <w:pStyle w:val="Heading2"/>
      </w:pPr>
      <w:r>
        <w:t>20.1. Smoke-проверка релиза</w:t>
      </w:r>
    </w:p>
    <w:p>
      <w:pPr>
        <w:pStyle w:val="ListBullet"/>
        <w:spacing w:after="40"/>
      </w:pPr>
      <w:r>
        <w:t>версия и health;</w:t>
      </w:r>
    </w:p>
    <w:p>
      <w:pPr>
        <w:pStyle w:val="ListBullet"/>
        <w:spacing w:after="40"/>
      </w:pPr>
      <w:r>
        <w:t>главная страница;</w:t>
      </w:r>
    </w:p>
    <w:p>
      <w:pPr>
        <w:pStyle w:val="ListBullet"/>
        <w:spacing w:after="40"/>
      </w:pPr>
      <w:r>
        <w:t>meta count = 838;</w:t>
      </w:r>
    </w:p>
    <w:p>
      <w:pPr>
        <w:pStyle w:val="ListBullet"/>
        <w:spacing w:after="40"/>
      </w:pPr>
      <w:r>
        <w:t>поиск и группировка моделей;</w:t>
      </w:r>
    </w:p>
    <w:p>
      <w:pPr>
        <w:pStyle w:val="ListBullet"/>
        <w:spacing w:after="40"/>
      </w:pPr>
      <w:r>
        <w:t>карточка товара;</w:t>
      </w:r>
    </w:p>
    <w:p>
      <w:pPr>
        <w:pStyle w:val="ListBullet"/>
        <w:spacing w:after="40"/>
      </w:pPr>
      <w:r>
        <w:t>выбор исполнения;</w:t>
      </w:r>
    </w:p>
    <w:p>
      <w:pPr>
        <w:pStyle w:val="ListBullet"/>
        <w:spacing w:after="40"/>
      </w:pPr>
      <w:r>
        <w:t>сравнение;</w:t>
      </w:r>
    </w:p>
    <w:p>
      <w:pPr>
        <w:pStyle w:val="ListBullet"/>
        <w:spacing w:after="40"/>
      </w:pPr>
      <w:r>
        <w:t>калькулятор validate;</w:t>
      </w:r>
    </w:p>
    <w:p>
      <w:pPr>
        <w:pStyle w:val="ListBullet"/>
        <w:spacing w:after="40"/>
      </w:pPr>
      <w:r>
        <w:t>короткий заказ;</w:t>
      </w:r>
    </w:p>
    <w:p>
      <w:pPr>
        <w:pStyle w:val="ListBullet"/>
        <w:spacing w:after="40"/>
      </w:pPr>
      <w:r>
        <w:t>опросник и черновик;</w:t>
      </w:r>
    </w:p>
    <w:p>
      <w:pPr>
        <w:pStyle w:val="ListBullet"/>
        <w:spacing w:after="40"/>
      </w:pPr>
      <w:r>
        <w:t>админка и кабинет производителя;</w:t>
      </w:r>
    </w:p>
    <w:p>
      <w:pPr>
        <w:pStyle w:val="ListBullet"/>
        <w:spacing w:after="40"/>
      </w:pPr>
      <w:r>
        <w:t>статические фото и схемы.</w:t>
      </w:r>
    </w:p>
    <w:p>
      <w:pPr>
        <w:pStyle w:val="Heading2"/>
      </w:pPr>
      <w:r>
        <w:t>20.2. Инженерный regression</w:t>
      </w:r>
    </w:p>
    <w:p>
      <w:pPr>
        <w:pStyle w:val="ListBullet"/>
        <w:spacing w:after="40"/>
      </w:pPr>
      <w:r>
        <w:t>одиночные и комбинированные фильтры;</w:t>
      </w:r>
    </w:p>
    <w:p>
      <w:pPr>
        <w:pStyle w:val="ListBullet"/>
        <w:spacing w:after="40"/>
      </w:pPr>
      <w:r>
        <w:t>границы диапазонов;</w:t>
      </w:r>
    </w:p>
    <w:p>
      <w:pPr>
        <w:pStyle w:val="ListBullet"/>
        <w:spacing w:after="40"/>
      </w:pPr>
      <w:r>
        <w:t>UNKNOWN и явный FAIL;</w:t>
      </w:r>
    </w:p>
    <w:p>
      <w:pPr>
        <w:pStyle w:val="ListBullet"/>
        <w:spacing w:after="40"/>
      </w:pPr>
      <w:r>
        <w:t>зависимости U/V и углов;</w:t>
      </w:r>
    </w:p>
    <w:p>
      <w:pPr>
        <w:pStyle w:val="ListBullet"/>
        <w:spacing w:after="40"/>
      </w:pPr>
      <w:r>
        <w:t>gearless → 1 скорость;</w:t>
      </w:r>
    </w:p>
    <w:p>
      <w:pPr>
        <w:pStyle w:val="ListBullet"/>
        <w:spacing w:after="40"/>
      </w:pPr>
      <w:r>
        <w:t>проверка классификации MR/MRL;</w:t>
      </w:r>
    </w:p>
    <w:p>
      <w:pPr>
        <w:pStyle w:val="ListBullet"/>
        <w:spacing w:after="40"/>
      </w:pPr>
      <w:r>
        <w:t>проверка WJC-T как объёмной таблетки MRL;</w:t>
      </w:r>
    </w:p>
    <w:p>
      <w:pPr>
        <w:pStyle w:val="ListBullet"/>
        <w:spacing w:after="40"/>
      </w:pPr>
      <w:r>
        <w:t>отсутствие регрессий в калькуляторе, заявках, медиа, черновиках и raw data.</w:t>
      </w:r>
    </w:p>
    <w:p>
      <w:pPr>
        <w:pStyle w:val="Heading1"/>
      </w:pPr>
      <w:r>
        <w:t>21. Рекомендуемый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51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6803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551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A. Стабилизация каталога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Доработка UX карточек и фасетов, инженерная проверка групп, admin edit UX, production Excel import, завершение медиа-покрытия.</w:t>
            </w:r>
          </w:p>
        </w:tc>
      </w:tr>
      <w:tr>
        <w:tc>
          <w:tcPr>
            <w:tcW w:type="dxa" w:w="2551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B. CPQ 2.0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Mapping нового калькулятора, упаковка/логистика, коэффициенты, EXW→DDP, FX, графики оплаты, versioning, многострочное КП.</w:t>
            </w:r>
          </w:p>
        </w:tc>
      </w:tr>
      <w:tr>
        <w:tc>
          <w:tcPr>
            <w:tcW w:type="dxa" w:w="2551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C. RFQ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Мультивендорные запросы, версии предложений, вложения, комментарии, скидки, buyer_code, аудит.</w:t>
            </w:r>
          </w:p>
        </w:tc>
      </w:tr>
      <w:tr>
        <w:tc>
          <w:tcPr>
            <w:tcW w:type="dxa" w:w="2551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D. CRM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Интеграционный слой и BPMSoft, lead/RFQ/deal, retry/idempotency, журнал синхронизации.</w:t>
            </w:r>
          </w:p>
        </w:tc>
      </w:tr>
      <w:tr>
        <w:tc>
          <w:tcPr>
            <w:tcW w:type="dxa" w:w="2551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E. Общий лифтовый каталог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Taxonomy, карточки лифтов, шаблоны производителей, миграция существующих страниц, масштабирование и SEO.</w:t>
            </w:r>
          </w:p>
        </w:tc>
      </w:tr>
    </w:tbl>
    <w:p>
      <w:pPr>
        <w:spacing w:after="40"/>
      </w:pPr>
    </w:p>
    <w:p>
      <w:pPr>
        <w:pStyle w:val="Heading1"/>
      </w:pPr>
      <w:r>
        <w:t>22. Последние изменения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51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6803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Изменение</w:t>
            </w:r>
          </w:p>
        </w:tc>
      </w:tr>
      <w:tr>
        <w:tc>
          <w:tcPr>
            <w:tcW w:type="dxa" w:w="2551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4.4.6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Управляемая медиабиблиотека и наследование media.</w:t>
            </w:r>
          </w:p>
        </w:tc>
      </w:tr>
      <w:tr>
        <w:tc>
          <w:tcPr>
            <w:tcW w:type="dxa" w:w="2551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4.4.7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Разделение видимости калькулятора для покупателя и сотрудника.</w:t>
            </w:r>
          </w:p>
        </w:tc>
      </w:tr>
      <w:tr>
        <w:tc>
          <w:tcPr>
            <w:tcW w:type="dxa" w:w="2551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4.4.8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Persistent media вне Docker image.</w:t>
            </w:r>
          </w:p>
        </w:tc>
      </w:tr>
      <w:tr>
        <w:tc>
          <w:tcPr>
            <w:tcW w:type="dxa" w:w="2551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4.4.9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Явный выбор исполнения и показ только отличающихся характеристик.</w:t>
            </w:r>
          </w:p>
        </w:tc>
      </w:tr>
      <w:tr>
        <w:tc>
          <w:tcPr>
            <w:tcW w:type="dxa" w:w="2551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4.4.9.1–4.4.9.2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Frontend/runtime hotfix и защита интерфейса от полного белого экрана.</w:t>
            </w:r>
          </w:p>
        </w:tc>
      </w:tr>
      <w:tr>
        <w:tc>
          <w:tcPr>
            <w:tcW w:type="dxa" w:w="2551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4.4.10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WJC-T классифицирована как безредукторная объёмная таблетка; размещение — MRL. Правило применяется к 31 исполнению.</w:t>
            </w:r>
          </w:p>
        </w:tc>
      </w:tr>
    </w:tbl>
    <w:p>
      <w:pPr>
        <w:spacing w:after="40"/>
      </w:pPr>
    </w:p>
    <w:p>
      <w:pPr>
        <w:pStyle w:val="Heading1"/>
      </w:pPr>
      <w:r>
        <w:t>23. Термины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948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Термин</w:t>
            </w:r>
          </w:p>
        </w:tc>
        <w:tc>
          <w:tcPr>
            <w:tcW w:type="dxa" w:w="6406"/>
            <w:vAlign w:val="center"/>
            <w:shd w:fill="174A6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94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Модель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Пользовательская карточка, объединяющая одноимённые технические исполнения.</w:t>
            </w:r>
          </w:p>
        </w:tc>
      </w:tr>
      <w:tr>
        <w:tc>
          <w:tcPr>
            <w:tcW w:type="dxa" w:w="294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Исполнение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Конкретная инженерная строка / product_id с собственным набором характеристик.</w:t>
            </w:r>
          </w:p>
        </w:tc>
      </w:tr>
      <w:tr>
        <w:tc>
          <w:tcPr>
            <w:tcW w:type="dxa" w:w="294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MR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Machine Room — установка в машинном помещении.</w:t>
            </w:r>
          </w:p>
        </w:tc>
      </w:tr>
      <w:tr>
        <w:tc>
          <w:tcPr>
            <w:tcW w:type="dxa" w:w="294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MRL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Machine Room-Less — установка без машинного помещения.</w:t>
            </w:r>
          </w:p>
        </w:tc>
      </w:tr>
      <w:tr>
        <w:tc>
          <w:tcPr>
            <w:tcW w:type="dxa" w:w="294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CPQ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Configure, Price, Quote — конфигурирование, расчёт цены и формирование предложения.</w:t>
            </w:r>
          </w:p>
        </w:tc>
      </w:tr>
      <w:tr>
        <w:tc>
          <w:tcPr>
            <w:tcW w:type="dxa" w:w="294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RFQ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Request for Quotation — запрос коммерческого предложения.</w:t>
            </w:r>
          </w:p>
        </w:tc>
      </w:tr>
      <w:tr>
        <w:tc>
          <w:tcPr>
            <w:tcW w:type="dxa" w:w="294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EXW / DDP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Базисы поставки Incoterms: от цены производителя до поставки с оплатой всех расходов.</w:t>
            </w:r>
          </w:p>
        </w:tc>
      </w:tr>
      <w:tr>
        <w:tc>
          <w:tcPr>
            <w:tcW w:type="dxa" w:w="294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PASS / UNKNOWN / FAIL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Статусы соответствия исполнения критериям инженерного подбора.</w:t>
            </w:r>
          </w:p>
        </w:tc>
      </w:tr>
    </w:tbl>
    <w:p>
      <w:pPr>
        <w:spacing w:after="40"/>
      </w:pPr>
    </w:p>
    <w:p>
      <w:pPr>
        <w:pStyle w:val="Heading1"/>
      </w:pPr>
      <w:r>
        <w:t>24. Итог</w:t>
      </w:r>
    </w:p>
    <w:p>
      <w:r>
        <w:t>На baseline v4.4.10 сформировано рабочее ядро инженерного каталога лебёдок: нормализованная база 838 исполнений, группировка по моделям, объяснимый подбор, явный выбор исполнения, сравнение, технические карточки, медиабиблиотека, базовый коммерческий калькулятор, короткий заказ и инженерный TDNA-опросник. Последнее инженерное уточнение по серии WJC-T внесено в классификацию: серия относится к объёмным безредукторным таблеткам и устанавливается без машинного помещения (MRL).</w:t>
      </w:r>
    </w:p>
    <w:p>
      <w:r>
        <w:t>Следующий крупный продуктовый блок — расширенный CPQ 2.0 и RFQ, после чего платформа может быть связана с CRM и масштабирована на общий каталог лифтового оборудования.</w:t>
      </w:r>
    </w:p>
    <w:sectPr w:rsidR="00FC693F" w:rsidRPr="0006063C" w:rsidSect="00034616">
      <w:footerReference w:type="default" r:id="rId9"/>
      <w:pgSz w:w="12240" w:h="15840"/>
      <w:pgMar w:top="964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 xml:space="preserve">Liftorg B2B · Документация для заказчика · v4.4.10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A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4A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C5F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B2A3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5A646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Liftorg B2B — полная документация для заказчика v4.4.10</dc:title>
  <dc:subject>Функциональная и техническая документация проекта</dc:subject>
  <dc:creator>Liftorg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