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Wi-Fi Device Localization Using Deep Neural Networks and CSI Feature Engineering</w:t>
      </w:r>
    </w:p>
    <w:p>
      <w:pPr>
        <w:jc w:val="center"/>
      </w:pPr>
      <w:r>
        <w:rPr>
          <w:rFonts w:ascii="Times New Roman" w:hAnsi="Times New Roman"/>
          <w:sz w:val="22"/>
        </w:rPr>
        <w:t>Author Name 1, Author Name 2</w:t>
      </w:r>
    </w:p>
    <w:p>
      <w:pPr>
        <w:jc w:val="center"/>
      </w:pPr>
      <w:r>
        <w:rPr>
          <w:rFonts w:ascii="Times New Roman" w:hAnsi="Times New Roman"/>
          <w:i/>
          <w:sz w:val="20"/>
        </w:rPr>
        <w:t>Department, University</w:t>
      </w:r>
    </w:p>
    <w:p/>
    <w:p>
      <w:pPr>
        <w:jc w:val="center"/>
      </w:pPr>
      <w:r>
        <w:rPr>
          <w:rFonts w:ascii="Times New Roman" w:hAnsi="Times New Roman"/>
          <w:b/>
          <w:sz w:val="20"/>
        </w:rPr>
        <w:t>Abstract</w:t>
      </w:r>
    </w:p>
    <w:p>
      <w:pPr>
        <w:jc w:val="both"/>
      </w:pPr>
      <w:r>
        <w:rPr>
          <w:rFonts w:ascii="Times New Roman" w:hAnsi="Times New Roman"/>
          <w:sz w:val="20"/>
        </w:rPr>
        <w:t>This paper presents a deep learning approach for Wi-Fi device localization using Channel State Information (CSI). The task is formulated as a 10-class classification problem where the goal is to predict the position of a Wi-Fi device based on 260-dimensional CSI measurements. We initially explored Random Forest classifiers but found that neural networks better capture the complex patterns in high-dimensional CSI data. Our approach combines domain-specific feature engineering with residual neural networks. The feature engineering pipeline transforms raw I/Q values into amplitude and phase representations, removes inactive guard band subcarriers, and extracts cross-antenna features that capture angle-of-arrival information. We conducted a hyperparameter search over 43 configurations and built a 12-model ensemble using diversity-based selection. The final ensemble achieves 96.59% validation accuracy, representing a 0.88% improvement over our baseline feedforward network.</w:t>
      </w:r>
    </w:p>
    <w:p>
      <w:pPr>
        <w:jc w:val="center"/>
      </w:pPr>
      <w:r>
        <w:rPr>
          <w:rFonts w:ascii="Times New Roman" w:hAnsi="Times New Roman"/>
          <w:b/>
          <w:sz w:val="20"/>
        </w:rPr>
        <w:t>I. INTRODUCTION</w:t>
      </w:r>
    </w:p>
    <w:p>
      <w:pPr>
        <w:jc w:val="both"/>
      </w:pPr>
      <w:r>
        <w:rPr>
          <w:rFonts w:ascii="Times New Roman" w:hAnsi="Times New Roman"/>
          <w:sz w:val="20"/>
        </w:rPr>
        <w:t>Channel State Information (CSI) describes how wireless signals are affected by the environment before reaching a receiver. Modern Wi-Fi systems use Orthogonal Frequency Division Multiplexing (OFDM), which splits transmissions across multiple closely spaced subcarriers. As signals travel through space, they experience reflections, scattering, and fading. CSI captures these effects by measuring amplitude and phase for each subcarrier.</w:t>
      </w:r>
    </w:p>
    <w:p>
      <w:pPr>
        <w:ind w:firstLine="360"/>
        <w:jc w:val="both"/>
      </w:pPr>
      <w:r>
        <w:rPr>
          <w:rFonts w:ascii="Times New Roman" w:hAnsi="Times New Roman"/>
          <w:sz w:val="20"/>
        </w:rPr>
        <w:t>CSI-based sensing has become increasingly important in recent years. The high dimensionality of CSI data makes it well suited for machine learning approaches, which can learn complex patterns that traditional analytical models struggle to capture. Applications include motion detection, presence sensing, occupancy tracking, and device localization.</w:t>
      </w:r>
    </w:p>
    <w:p>
      <w:pPr>
        <w:ind w:firstLine="360"/>
        <w:jc w:val="both"/>
      </w:pPr>
      <w:r>
        <w:rPr>
          <w:rFonts w:ascii="Times New Roman" w:hAnsi="Times New Roman"/>
          <w:sz w:val="20"/>
        </w:rPr>
        <w:t>This paper addresses the problem of Wi-Fi device localization. Given CSI measurements from a tracking unit, we aim to classify the position of a target Wi-Fi device into one of ten predefined classes. The dataset contains 12,888 training samples with 260 features each. The features consist of 5 metadata values (timestamp, sequence control, angle of arrival, and two RSSI measurements) plus 255 CSI values representing I/Q pairs for 64 subcarriers across 2 antennas.</w:t>
      </w:r>
    </w:p>
    <w:p>
      <w:pPr>
        <w:ind w:firstLine="360"/>
        <w:jc w:val="both"/>
      </w:pPr>
      <w:r>
        <w:rPr>
          <w:rFonts w:ascii="Times New Roman" w:hAnsi="Times New Roman"/>
          <w:sz w:val="20"/>
        </w:rPr>
        <w:t>Our main contributions are:</w:t>
      </w:r>
    </w:p>
    <w:p>
      <w:pPr>
        <w:pStyle w:val="ListBullet"/>
      </w:pPr>
      <w:r>
        <w:rPr>
          <w:rFonts w:ascii="Times New Roman" w:hAnsi="Times New Roman"/>
          <w:sz w:val="20"/>
        </w:rPr>
        <w:t>A feature engineering pipeline that transforms raw CSI data into more informative representations</w:t>
      </w:r>
    </w:p>
    <w:p>
      <w:pPr>
        <w:pStyle w:val="ListBullet"/>
      </w:pPr>
      <w:r>
        <w:rPr>
          <w:rFonts w:ascii="Times New Roman" w:hAnsi="Times New Roman"/>
          <w:sz w:val="20"/>
        </w:rPr>
        <w:t>A residual neural network architecture designed for CSI classification</w:t>
      </w:r>
    </w:p>
    <w:p>
      <w:pPr>
        <w:pStyle w:val="ListBullet"/>
      </w:pPr>
      <w:r>
        <w:rPr>
          <w:rFonts w:ascii="Times New Roman" w:hAnsi="Times New Roman"/>
          <w:sz w:val="20"/>
        </w:rPr>
        <w:t>A diversity-optimized ensemble that combines multiple trained models</w:t>
      </w:r>
    </w:p>
    <w:p>
      <w:pPr>
        <w:pStyle w:val="ListBullet"/>
      </w:pPr>
      <w:r>
        <w:rPr>
          <w:rFonts w:ascii="Times New Roman" w:hAnsi="Times New Roman"/>
          <w:sz w:val="20"/>
        </w:rPr>
        <w:t>Comprehensive hyperparameter optimization across 43 configurations</w:t>
      </w:r>
    </w:p>
    <w:p>
      <w:pPr>
        <w:jc w:val="center"/>
      </w:pPr>
      <w:r>
        <w:rPr>
          <w:rFonts w:ascii="Times New Roman" w:hAnsi="Times New Roman"/>
          <w:b/>
          <w:sz w:val="20"/>
        </w:rPr>
        <w:t>II. FEATURE ANALYSIS</w:t>
      </w:r>
    </w:p>
    <w:p>
      <w:r>
        <w:rPr>
          <w:rFonts w:ascii="Times New Roman" w:hAnsi="Times New Roman"/>
          <w:i/>
          <w:sz w:val="20"/>
        </w:rPr>
        <w:t>A. Raw CSI Structure</w:t>
      </w:r>
    </w:p>
    <w:p>
      <w:pPr>
        <w:jc w:val="both"/>
      </w:pPr>
      <w:r>
        <w:rPr>
          <w:rFonts w:ascii="Times New Roman" w:hAnsi="Times New Roman"/>
          <w:sz w:val="20"/>
        </w:rPr>
        <w:t>The raw CSI data consists of 255 values representing measurements from 64 OFDM subcarriers across 2 receiver antennas. Each subcarrier measurement includes in-phase (I) and quadrature (Q) components. The 64 subcarriers correspond to a 20 MHz Wi-Fi channel.</w:t>
      </w:r>
    </w:p>
    <w:p>
      <w:pPr>
        <w:ind w:firstLine="360"/>
        <w:jc w:val="both"/>
      </w:pPr>
      <w:r>
        <w:rPr>
          <w:rFonts w:ascii="Times New Roman" w:hAnsi="Times New Roman"/>
          <w:sz w:val="20"/>
        </w:rPr>
        <w:t>Not all subcarriers carry useful information. Wi-Fi channels include guard bands at the edges and null subcarriers to prevent interference between adjacent channels. In our dataset, 12 subcarriers are inactive: the DC subcarrier (index 0) and guard band subcarriers (indices 27-37).</w:t>
      </w:r>
    </w:p>
    <w:p>
      <w:r>
        <w:rPr>
          <w:rFonts w:ascii="Times New Roman" w:hAnsi="Times New Roman"/>
          <w:i/>
          <w:sz w:val="20"/>
        </w:rPr>
        <w:t>B. Feature Engineering Pipeline</w:t>
      </w:r>
    </w:p>
    <w:p>
      <w:pPr>
        <w:jc w:val="center"/>
      </w:pPr>
      <w:r>
        <w:rPr>
          <w:rFonts w:ascii="Times New Roman" w:hAnsi="Times New Roman"/>
          <w:i/>
          <w:sz w:val="20"/>
        </w:rPr>
        <w:t>[INSERT FIGURE HERE]</w:t>
      </w:r>
    </w:p>
    <w:p>
      <w:pPr>
        <w:jc w:val="center"/>
      </w:pPr>
      <w:r>
        <w:rPr>
          <w:rFonts w:ascii="Times New Roman" w:hAnsi="Times New Roman"/>
          <w:sz w:val="18"/>
        </w:rPr>
        <w:t>Fig. 1. Feature engineering pipeline transforming raw CSI to 335 engineered features.</w:t>
      </w:r>
    </w:p>
    <w:p>
      <w:pPr>
        <w:jc w:val="both"/>
      </w:pPr>
      <w:r>
        <w:rPr>
          <w:rFonts w:ascii="Times New Roman" w:hAnsi="Times New Roman"/>
          <w:sz w:val="20"/>
        </w:rPr>
        <w:t>Our feature engineering pipeline transforms 260 raw features into 335 engineered features through the following steps:</w:t>
      </w:r>
    </w:p>
    <w:p>
      <w:pPr>
        <w:ind w:firstLine="360"/>
        <w:jc w:val="both"/>
      </w:pPr>
      <w:r>
        <w:rPr>
          <w:rFonts w:ascii="Times New Roman" w:hAnsi="Times New Roman"/>
          <w:sz w:val="20"/>
        </w:rPr>
        <w:t>1) Amplitude and Phase Extraction: Raw I/Q values are converted to polar representation. For each subcarrier, amplitude is computed as sqrt(I^2 + Q^2) and phase as arctan2(Q, I). This representation separates signal strength from timing information.</w:t>
      </w:r>
    </w:p>
    <w:p>
      <w:pPr>
        <w:ind w:firstLine="360"/>
        <w:jc w:val="both"/>
      </w:pPr>
      <w:r>
        <w:rPr>
          <w:rFonts w:ascii="Times New Roman" w:hAnsi="Times New Roman"/>
          <w:sz w:val="20"/>
        </w:rPr>
        <w:t>2) Inactive Subcarrier Removal: We remove the 12 inactive subcarriers (indices 0, 27-37) to reduce noise from null and pilot carriers. This leaves 52 active subcarriers per antenna.</w:t>
      </w:r>
    </w:p>
    <w:p>
      <w:pPr>
        <w:ind w:firstLine="360"/>
        <w:jc w:val="both"/>
      </w:pPr>
      <w:r>
        <w:rPr>
          <w:rFonts w:ascii="Times New Roman" w:hAnsi="Times New Roman"/>
          <w:sz w:val="20"/>
        </w:rPr>
        <w:t>3) Cross-Antenna Features: We compute amplitude difference and normalized phase difference between the two antennas for each active subcarrier. These features capture angle-of-arrival information that helps distinguish device positions.</w:t>
      </w:r>
    </w:p>
    <w:p>
      <w:pPr>
        <w:ind w:firstLine="360"/>
        <w:jc w:val="both"/>
      </w:pPr>
      <w:r>
        <w:rPr>
          <w:rFonts w:ascii="Times New Roman" w:hAnsi="Times New Roman"/>
          <w:sz w:val="20"/>
        </w:rPr>
        <w:t>4) Band Statistics: We divide subcarriers into low, mid, and high frequency bands and compute aggregate statistics (mean, standard deviation, maximum) for each band and antenna. This captures frequency-dependent propagation characteristics.</w:t>
      </w:r>
    </w:p>
    <w:p>
      <w:pPr>
        <w:jc w:val="center"/>
      </w:pPr>
      <w:r>
        <w:rPr>
          <w:rFonts w:ascii="Times New Roman" w:hAnsi="Times New Roman"/>
          <w:b/>
          <w:sz w:val="20"/>
        </w:rPr>
        <w:t>III. CLASSIFICATION METHODS</w:t>
      </w:r>
    </w:p>
    <w:p>
      <w:r>
        <w:rPr>
          <w:rFonts w:ascii="Times New Roman" w:hAnsi="Times New Roman"/>
          <w:i/>
          <w:sz w:val="20"/>
        </w:rPr>
        <w:t>A. Initial Approach: Random Forest</w:t>
      </w:r>
    </w:p>
    <w:p>
      <w:pPr>
        <w:jc w:val="both"/>
      </w:pPr>
      <w:r>
        <w:rPr>
          <w:rFonts w:ascii="Times New Roman" w:hAnsi="Times New Roman"/>
          <w:sz w:val="20"/>
        </w:rPr>
        <w:t>We initially experimented with Random Forest classifiers. Random Forests are a natural choice for tabular data and provide good baseline performance without extensive tuning. However, we found that Random Forests struggled to capture the complex spatial relationships in high-dimensional CSI data. The I/Q values from different subcarriers and antennas have intricate correlations that tree-based methods do not model effectively.</w:t>
      </w:r>
    </w:p>
    <w:p>
      <w:r>
        <w:rPr>
          <w:rFonts w:ascii="Times New Roman" w:hAnsi="Times New Roman"/>
          <w:i/>
          <w:sz w:val="20"/>
        </w:rPr>
        <w:t>B. Neural Network Approach</w:t>
      </w:r>
    </w:p>
    <w:p>
      <w:pPr>
        <w:jc w:val="both"/>
      </w:pPr>
      <w:r>
        <w:rPr>
          <w:rFonts w:ascii="Times New Roman" w:hAnsi="Times New Roman"/>
          <w:sz w:val="20"/>
        </w:rPr>
        <w:t>We switched to neural networks, which can learn arbitrary nonlinear relationships between features. Neural networks are particularly well suited for CSI data because they can jointly process all subcarrier measurements and learn representations that capture spatial patterns.</w:t>
      </w:r>
    </w:p>
    <w:p>
      <w:r>
        <w:rPr>
          <w:rFonts w:ascii="Times New Roman" w:hAnsi="Times New Roman"/>
          <w:i/>
          <w:sz w:val="20"/>
        </w:rPr>
        <w:t>C. Baseline Architecture (v3)</w:t>
      </w:r>
    </w:p>
    <w:p>
      <w:pPr>
        <w:jc w:val="center"/>
      </w:pPr>
      <w:r>
        <w:rPr>
          <w:rFonts w:ascii="Times New Roman" w:hAnsi="Times New Roman"/>
          <w:i/>
          <w:sz w:val="20"/>
        </w:rPr>
        <w:t>[INSERT FIGURE HERE]</w:t>
      </w:r>
    </w:p>
    <w:p>
      <w:pPr>
        <w:jc w:val="center"/>
      </w:pPr>
      <w:r>
        <w:rPr>
          <w:rFonts w:ascii="Times New Roman" w:hAnsi="Times New Roman"/>
          <w:sz w:val="18"/>
        </w:rPr>
        <w:t>Fig. 2. Neural network architectures: v3 baseline (left) and v4 ResNet (right).</w:t>
      </w:r>
    </w:p>
    <w:p>
      <w:pPr>
        <w:jc w:val="both"/>
      </w:pPr>
      <w:r>
        <w:rPr>
          <w:rFonts w:ascii="Times New Roman" w:hAnsi="Times New Roman"/>
          <w:sz w:val="20"/>
        </w:rPr>
        <w:t>Our baseline model is a 4-layer feedforward network with the following structure: Input (260) -&gt; Linear(512) -&gt; BatchNorm -&gt; ReLU -&gt; Dropout(0.3) -&gt; Linear(256) -&gt; BatchNorm -&gt; ReLU -&gt; Dropout(0.3) -&gt; Linear(128) -&gt; BatchNorm -&gt; ReLU -&gt; Dropout(0.2) -&gt; Linear(64) -&gt; BatchNorm -&gt; ReLU -&gt; Dropout(0.2) -&gt; Output(10).</w:t>
      </w:r>
    </w:p>
    <w:p>
      <w:pPr>
        <w:ind w:firstLine="360"/>
        <w:jc w:val="both"/>
      </w:pPr>
      <w:r>
        <w:rPr>
          <w:rFonts w:ascii="Times New Roman" w:hAnsi="Times New Roman"/>
          <w:sz w:val="20"/>
        </w:rPr>
        <w:t>Batch normalization stabilizes training and allows higher learning rates. Dropout provides regularization to prevent overfitting. The network outputs raw logits, and softmax is applied internally by the cross-entropy loss function.</w:t>
      </w:r>
    </w:p>
    <w:p>
      <w:r>
        <w:rPr>
          <w:rFonts w:ascii="Times New Roman" w:hAnsi="Times New Roman"/>
          <w:i/>
          <w:sz w:val="20"/>
        </w:rPr>
        <w:t>D. Improved Architecture (v4)</w:t>
      </w:r>
    </w:p>
    <w:p>
      <w:pPr>
        <w:jc w:val="both"/>
      </w:pPr>
      <w:r>
        <w:rPr>
          <w:rFonts w:ascii="Times New Roman" w:hAnsi="Times New Roman"/>
          <w:sz w:val="20"/>
        </w:rPr>
        <w:t>The improved v4 model uses residual blocks with skip connections. The architecture is: Input (335) -&gt; Linear(1024) -&gt; BatchNorm -&gt; ReLU -&gt; Dropout(0.45) -&gt; ResBlock (1024-&gt;512) -&gt; ResBlock (512-&gt;256) -&gt; ResBlock (256-&gt;128) -&gt; ResBlock (128-&gt;64) -&gt; Linear(64) -&gt; BatchNorm -&gt; ReLU -&gt; Dropout(0.2) -&gt; Output(10).</w:t>
      </w:r>
    </w:p>
    <w:p>
      <w:pPr>
        <w:ind w:firstLine="360"/>
        <w:jc w:val="both"/>
      </w:pPr>
      <w:r>
        <w:rPr>
          <w:rFonts w:ascii="Times New Roman" w:hAnsi="Times New Roman"/>
          <w:sz w:val="20"/>
        </w:rPr>
        <w:t>Each residual block consists of two linear layers with batch normalization, and a skip connection that adds the input to the output. Skip connections help gradient flow during training and allow the network to learn residual mappings.</w:t>
      </w:r>
    </w:p>
    <w:p>
      <w:r>
        <w:rPr>
          <w:rFonts w:ascii="Times New Roman" w:hAnsi="Times New Roman"/>
          <w:i/>
          <w:sz w:val="20"/>
        </w:rPr>
        <w:t>E. Ensemble Strategy</w:t>
      </w:r>
    </w:p>
    <w:p>
      <w:pPr>
        <w:jc w:val="both"/>
      </w:pPr>
      <w:r>
        <w:rPr>
          <w:rFonts w:ascii="Times New Roman" w:hAnsi="Times New Roman"/>
          <w:sz w:val="20"/>
        </w:rPr>
        <w:t>Our final model is an ensemble of 12 neural networks. Individual predictions are averaged (soft voting) to produce the final class probabilities. The ensemble members are selected using a diversity-based greedy algorithm: (1) Train 43 models with different hyperparameter configurations, (2) Select the top 20 models by validation accuracy, (3) Start with the best model, (4) Iteratively add models that maximize 0.7*accuracy + 0.3*diversity, where diversity is measured by prediction disagreement rate.</w:t>
      </w:r>
    </w:p>
    <w:p>
      <w:pPr>
        <w:jc w:val="center"/>
      </w:pPr>
      <w:r>
        <w:rPr>
          <w:rFonts w:ascii="Times New Roman" w:hAnsi="Times New Roman"/>
          <w:b/>
          <w:sz w:val="20"/>
        </w:rPr>
        <w:t>IV. EVALUATION METRICS</w:t>
      </w:r>
    </w:p>
    <w:p>
      <w:pPr>
        <w:jc w:val="both"/>
      </w:pPr>
      <w:r>
        <w:rPr>
          <w:rFonts w:ascii="Times New Roman" w:hAnsi="Times New Roman"/>
          <w:sz w:val="20"/>
        </w:rPr>
        <w:t>The primary evaluation metric is classification accuracy, which measures the fraction of correctly classified samples. We also report precision, recall, and F1-score to understand per-class performance. Confusion matrix analysis reveals which position classes are commonly confused, providing insight into the spatial relationships between positions.</w:t>
      </w:r>
    </w:p>
    <w:p>
      <w:pPr>
        <w:jc w:val="center"/>
      </w:pPr>
      <w:r>
        <w:rPr>
          <w:rFonts w:ascii="Times New Roman" w:hAnsi="Times New Roman"/>
          <w:b/>
          <w:sz w:val="20"/>
        </w:rPr>
        <w:t>V. EXPERIMENTS</w:t>
      </w:r>
    </w:p>
    <w:p>
      <w:r>
        <w:rPr>
          <w:rFonts w:ascii="Times New Roman" w:hAnsi="Times New Roman"/>
          <w:i/>
          <w:sz w:val="20"/>
        </w:rPr>
        <w:t>A. Data Split and Preprocessing</w:t>
      </w:r>
    </w:p>
    <w:p>
      <w:pPr>
        <w:jc w:val="both"/>
      </w:pPr>
      <w:r>
        <w:rPr>
          <w:rFonts w:ascii="Times New Roman" w:hAnsi="Times New Roman"/>
          <w:sz w:val="20"/>
        </w:rPr>
        <w:t>We use an 85/15 stratified train/validation split. Stratification ensures each split has the same class distribution as the original dataset. All features are standardized (zero mean, unit variance) using statistics computed on the training set.</w:t>
      </w:r>
    </w:p>
    <w:p>
      <w:r>
        <w:rPr>
          <w:rFonts w:ascii="Times New Roman" w:hAnsi="Times New Roman"/>
          <w:i/>
          <w:sz w:val="20"/>
        </w:rPr>
        <w:t>B. Hyperparameter Search</w:t>
      </w:r>
    </w:p>
    <w:p>
      <w:pPr>
        <w:jc w:val="both"/>
      </w:pPr>
      <w:r>
        <w:rPr>
          <w:rFonts w:ascii="Times New Roman" w:hAnsi="Times New Roman"/>
          <w:sz w:val="20"/>
        </w:rPr>
        <w:t>We searched 43 hyperparameter configurations, varying learning rate (0.0005 to 0.0012), weight decay (5e-6 to 5e-5), dropout base (0.35 to 0.45), label smoothing (0.05 to 0.15), and mixup alpha (0.15 to 0.25). Table I shows the top configurations.</w:t>
      </w:r>
    </w:p>
    <w:p>
      <w:pPr>
        <w:jc w:val="center"/>
      </w:pPr>
      <w:r>
        <w:rPr>
          <w:rFonts w:ascii="Times New Roman" w:hAnsi="Times New Roman"/>
          <w:sz w:val="18"/>
        </w:rPr>
        <w:t>TABLE I: TOP HYPERPARAMETER CONFIGURATIONS</w:t>
      </w:r>
    </w:p>
    <w:tbl>
      <w:tblPr>
        <w:tblW w:type="auto" w:w="0"/>
        <w:jc w:val="center"/>
        <w:tblLook w:firstColumn="1" w:firstRow="1" w:lastColumn="0" w:lastRow="0" w:noHBand="0" w:noVBand="1" w:val="04A0"/>
      </w:tblPr>
      <w:tblGrid>
        <w:gridCol w:w="1740"/>
        <w:gridCol w:w="1740"/>
        <w:gridCol w:w="1740"/>
        <w:gridCol w:w="1740"/>
        <w:gridCol w:w="1740"/>
        <w:gridCol w:w="1740"/>
      </w:tblGrid>
      <w:tr>
        <w:tc>
          <w:tcPr>
            <w:tcW w:type="dxa" w:w="1740"/>
          </w:tcPr>
          <w:p>
            <w:pPr>
              <w:jc w:val="center"/>
            </w:pPr>
            <w:r>
              <w:rPr>
                <w:rFonts w:ascii="Times New Roman" w:hAnsi="Times New Roman"/>
                <w:b/>
                <w:sz w:val="18"/>
              </w:rPr>
              <w:t>Rank</w:t>
            </w:r>
          </w:p>
        </w:tc>
        <w:tc>
          <w:tcPr>
            <w:tcW w:type="dxa" w:w="1740"/>
          </w:tcPr>
          <w:p>
            <w:pPr>
              <w:jc w:val="center"/>
            </w:pPr>
            <w:r>
              <w:rPr>
                <w:rFonts w:ascii="Times New Roman" w:hAnsi="Times New Roman"/>
                <w:b/>
                <w:sz w:val="18"/>
              </w:rPr>
              <w:t>LR</w:t>
            </w:r>
          </w:p>
        </w:tc>
        <w:tc>
          <w:tcPr>
            <w:tcW w:type="dxa" w:w="1740"/>
          </w:tcPr>
          <w:p>
            <w:pPr>
              <w:jc w:val="center"/>
            </w:pPr>
            <w:r>
              <w:rPr>
                <w:rFonts w:ascii="Times New Roman" w:hAnsi="Times New Roman"/>
                <w:b/>
                <w:sz w:val="18"/>
              </w:rPr>
              <w:t>Dropout</w:t>
            </w:r>
          </w:p>
        </w:tc>
        <w:tc>
          <w:tcPr>
            <w:tcW w:type="dxa" w:w="1740"/>
          </w:tcPr>
          <w:p>
            <w:pPr>
              <w:jc w:val="center"/>
            </w:pPr>
            <w:r>
              <w:rPr>
                <w:rFonts w:ascii="Times New Roman" w:hAnsi="Times New Roman"/>
                <w:b/>
                <w:sz w:val="18"/>
              </w:rPr>
              <w:t>Label Sm.</w:t>
            </w:r>
          </w:p>
        </w:tc>
        <w:tc>
          <w:tcPr>
            <w:tcW w:type="dxa" w:w="1740"/>
          </w:tcPr>
          <w:p>
            <w:pPr>
              <w:jc w:val="center"/>
            </w:pPr>
            <w:r>
              <w:rPr>
                <w:rFonts w:ascii="Times New Roman" w:hAnsi="Times New Roman"/>
                <w:b/>
                <w:sz w:val="18"/>
              </w:rPr>
              <w:t>Mixup</w:t>
            </w:r>
          </w:p>
        </w:tc>
        <w:tc>
          <w:tcPr>
            <w:tcW w:type="dxa" w:w="1740"/>
          </w:tcPr>
          <w:p>
            <w:pPr>
              <w:jc w:val="center"/>
            </w:pPr>
            <w:r>
              <w:rPr>
                <w:rFonts w:ascii="Times New Roman" w:hAnsi="Times New Roman"/>
                <w:b/>
                <w:sz w:val="18"/>
              </w:rPr>
              <w:t>Val Acc</w:t>
            </w:r>
          </w:p>
        </w:tc>
      </w:tr>
      <w:tr>
        <w:tc>
          <w:tcPr>
            <w:tcW w:type="dxa" w:w="1740"/>
          </w:tcPr>
          <w:p>
            <w:pPr>
              <w:jc w:val="center"/>
            </w:pPr>
            <w:r>
              <w:rPr>
                <w:rFonts w:ascii="Times New Roman" w:hAnsi="Times New Roman"/>
                <w:sz w:val="18"/>
              </w:rPr>
              <w:t>1</w:t>
            </w:r>
          </w:p>
        </w:tc>
        <w:tc>
          <w:tcPr>
            <w:tcW w:type="dxa" w:w="1740"/>
          </w:tcPr>
          <w:p>
            <w:pPr>
              <w:jc w:val="center"/>
            </w:pPr>
            <w:r>
              <w:rPr>
                <w:rFonts w:ascii="Times New Roman" w:hAnsi="Times New Roman"/>
                <w:sz w:val="18"/>
              </w:rPr>
              <w:t>0.001</w:t>
            </w:r>
          </w:p>
        </w:tc>
        <w:tc>
          <w:tcPr>
            <w:tcW w:type="dxa" w:w="1740"/>
          </w:tcPr>
          <w:p>
            <w:pPr>
              <w:jc w:val="center"/>
            </w:pPr>
            <w:r>
              <w:rPr>
                <w:rFonts w:ascii="Times New Roman" w:hAnsi="Times New Roman"/>
                <w:sz w:val="18"/>
              </w:rPr>
              <w:t>0.45</w:t>
            </w:r>
          </w:p>
        </w:tc>
        <w:tc>
          <w:tcPr>
            <w:tcW w:type="dxa" w:w="1740"/>
          </w:tcPr>
          <w:p>
            <w:pPr>
              <w:jc w:val="center"/>
            </w:pPr>
            <w:r>
              <w:rPr>
                <w:rFonts w:ascii="Times New Roman" w:hAnsi="Times New Roman"/>
                <w:sz w:val="18"/>
              </w:rPr>
              <w:t>0.1</w:t>
            </w:r>
          </w:p>
        </w:tc>
        <w:tc>
          <w:tcPr>
            <w:tcW w:type="dxa" w:w="1740"/>
          </w:tcPr>
          <w:p>
            <w:pPr>
              <w:jc w:val="center"/>
            </w:pPr>
            <w:r>
              <w:rPr>
                <w:rFonts w:ascii="Times New Roman" w:hAnsi="Times New Roman"/>
                <w:sz w:val="18"/>
              </w:rPr>
              <w:t>0.20</w:t>
            </w:r>
          </w:p>
        </w:tc>
        <w:tc>
          <w:tcPr>
            <w:tcW w:type="dxa" w:w="1740"/>
          </w:tcPr>
          <w:p>
            <w:pPr>
              <w:jc w:val="center"/>
            </w:pPr>
            <w:r>
              <w:rPr>
                <w:rFonts w:ascii="Times New Roman" w:hAnsi="Times New Roman"/>
                <w:sz w:val="18"/>
              </w:rPr>
              <w:t>96.48%</w:t>
            </w:r>
          </w:p>
        </w:tc>
      </w:tr>
      <w:tr>
        <w:tc>
          <w:tcPr>
            <w:tcW w:type="dxa" w:w="1740"/>
          </w:tcPr>
          <w:p>
            <w:pPr>
              <w:jc w:val="center"/>
            </w:pPr>
            <w:r>
              <w:rPr>
                <w:rFonts w:ascii="Times New Roman" w:hAnsi="Times New Roman"/>
                <w:sz w:val="18"/>
              </w:rPr>
              <w:t>2</w:t>
            </w:r>
          </w:p>
        </w:tc>
        <w:tc>
          <w:tcPr>
            <w:tcW w:type="dxa" w:w="1740"/>
          </w:tcPr>
          <w:p>
            <w:pPr>
              <w:jc w:val="center"/>
            </w:pPr>
            <w:r>
              <w:rPr>
                <w:rFonts w:ascii="Times New Roman" w:hAnsi="Times New Roman"/>
                <w:sz w:val="18"/>
              </w:rPr>
              <w:t>0.001</w:t>
            </w:r>
          </w:p>
        </w:tc>
        <w:tc>
          <w:tcPr>
            <w:tcW w:type="dxa" w:w="1740"/>
          </w:tcPr>
          <w:p>
            <w:pPr>
              <w:jc w:val="center"/>
            </w:pPr>
            <w:r>
              <w:rPr>
                <w:rFonts w:ascii="Times New Roman" w:hAnsi="Times New Roman"/>
                <w:sz w:val="18"/>
              </w:rPr>
              <w:t>0.45</w:t>
            </w:r>
          </w:p>
        </w:tc>
        <w:tc>
          <w:tcPr>
            <w:tcW w:type="dxa" w:w="1740"/>
          </w:tcPr>
          <w:p>
            <w:pPr>
              <w:jc w:val="center"/>
            </w:pPr>
            <w:r>
              <w:rPr>
                <w:rFonts w:ascii="Times New Roman" w:hAnsi="Times New Roman"/>
                <w:sz w:val="18"/>
              </w:rPr>
              <w:t>0.1</w:t>
            </w:r>
          </w:p>
        </w:tc>
        <w:tc>
          <w:tcPr>
            <w:tcW w:type="dxa" w:w="1740"/>
          </w:tcPr>
          <w:p>
            <w:pPr>
              <w:jc w:val="center"/>
            </w:pPr>
            <w:r>
              <w:rPr>
                <w:rFonts w:ascii="Times New Roman" w:hAnsi="Times New Roman"/>
                <w:sz w:val="18"/>
              </w:rPr>
              <w:t>0.25</w:t>
            </w:r>
          </w:p>
        </w:tc>
        <w:tc>
          <w:tcPr>
            <w:tcW w:type="dxa" w:w="1740"/>
          </w:tcPr>
          <w:p>
            <w:pPr>
              <w:jc w:val="center"/>
            </w:pPr>
            <w:r>
              <w:rPr>
                <w:rFonts w:ascii="Times New Roman" w:hAnsi="Times New Roman"/>
                <w:sz w:val="18"/>
              </w:rPr>
              <w:t>96.38%</w:t>
            </w:r>
          </w:p>
        </w:tc>
      </w:tr>
      <w:tr>
        <w:tc>
          <w:tcPr>
            <w:tcW w:type="dxa" w:w="1740"/>
          </w:tcPr>
          <w:p>
            <w:pPr>
              <w:jc w:val="center"/>
            </w:pPr>
            <w:r>
              <w:rPr>
                <w:rFonts w:ascii="Times New Roman" w:hAnsi="Times New Roman"/>
                <w:sz w:val="18"/>
              </w:rPr>
              <w:t>3</w:t>
            </w:r>
          </w:p>
        </w:tc>
        <w:tc>
          <w:tcPr>
            <w:tcW w:type="dxa" w:w="1740"/>
          </w:tcPr>
          <w:p>
            <w:pPr>
              <w:jc w:val="center"/>
            </w:pPr>
            <w:r>
              <w:rPr>
                <w:rFonts w:ascii="Times New Roman" w:hAnsi="Times New Roman"/>
                <w:sz w:val="18"/>
              </w:rPr>
              <w:t>0.001</w:t>
            </w:r>
          </w:p>
        </w:tc>
        <w:tc>
          <w:tcPr>
            <w:tcW w:type="dxa" w:w="1740"/>
          </w:tcPr>
          <w:p>
            <w:pPr>
              <w:jc w:val="center"/>
            </w:pPr>
            <w:r>
              <w:rPr>
                <w:rFonts w:ascii="Times New Roman" w:hAnsi="Times New Roman"/>
                <w:sz w:val="18"/>
              </w:rPr>
              <w:t>0.35</w:t>
            </w:r>
          </w:p>
        </w:tc>
        <w:tc>
          <w:tcPr>
            <w:tcW w:type="dxa" w:w="1740"/>
          </w:tcPr>
          <w:p>
            <w:pPr>
              <w:jc w:val="center"/>
            </w:pPr>
            <w:r>
              <w:rPr>
                <w:rFonts w:ascii="Times New Roman" w:hAnsi="Times New Roman"/>
                <w:sz w:val="18"/>
              </w:rPr>
              <w:t>0.05</w:t>
            </w:r>
          </w:p>
        </w:tc>
        <w:tc>
          <w:tcPr>
            <w:tcW w:type="dxa" w:w="1740"/>
          </w:tcPr>
          <w:p>
            <w:pPr>
              <w:jc w:val="center"/>
            </w:pPr>
            <w:r>
              <w:rPr>
                <w:rFonts w:ascii="Times New Roman" w:hAnsi="Times New Roman"/>
                <w:sz w:val="18"/>
              </w:rPr>
              <w:t>0.20</w:t>
            </w:r>
          </w:p>
        </w:tc>
        <w:tc>
          <w:tcPr>
            <w:tcW w:type="dxa" w:w="1740"/>
          </w:tcPr>
          <w:p>
            <w:pPr>
              <w:jc w:val="center"/>
            </w:pPr>
            <w:r>
              <w:rPr>
                <w:rFonts w:ascii="Times New Roman" w:hAnsi="Times New Roman"/>
                <w:sz w:val="18"/>
              </w:rPr>
              <w:t>96.28%</w:t>
            </w:r>
          </w:p>
        </w:tc>
      </w:tr>
      <w:tr>
        <w:tc>
          <w:tcPr>
            <w:tcW w:type="dxa" w:w="1740"/>
          </w:tcPr>
          <w:p>
            <w:pPr>
              <w:jc w:val="center"/>
            </w:pPr>
            <w:r>
              <w:rPr>
                <w:rFonts w:ascii="Times New Roman" w:hAnsi="Times New Roman"/>
                <w:sz w:val="18"/>
              </w:rPr>
              <w:t>4</w:t>
            </w:r>
          </w:p>
        </w:tc>
        <w:tc>
          <w:tcPr>
            <w:tcW w:type="dxa" w:w="1740"/>
          </w:tcPr>
          <w:p>
            <w:pPr>
              <w:jc w:val="center"/>
            </w:pPr>
            <w:r>
              <w:rPr>
                <w:rFonts w:ascii="Times New Roman" w:hAnsi="Times New Roman"/>
                <w:sz w:val="18"/>
              </w:rPr>
              <w:t>0.001</w:t>
            </w:r>
          </w:p>
        </w:tc>
        <w:tc>
          <w:tcPr>
            <w:tcW w:type="dxa" w:w="1740"/>
          </w:tcPr>
          <w:p>
            <w:pPr>
              <w:jc w:val="center"/>
            </w:pPr>
            <w:r>
              <w:rPr>
                <w:rFonts w:ascii="Times New Roman" w:hAnsi="Times New Roman"/>
                <w:sz w:val="18"/>
              </w:rPr>
              <w:t>0.45</w:t>
            </w:r>
          </w:p>
        </w:tc>
        <w:tc>
          <w:tcPr>
            <w:tcW w:type="dxa" w:w="1740"/>
          </w:tcPr>
          <w:p>
            <w:pPr>
              <w:jc w:val="center"/>
            </w:pPr>
            <w:r>
              <w:rPr>
                <w:rFonts w:ascii="Times New Roman" w:hAnsi="Times New Roman"/>
                <w:sz w:val="18"/>
              </w:rPr>
              <w:t>0.05</w:t>
            </w:r>
          </w:p>
        </w:tc>
        <w:tc>
          <w:tcPr>
            <w:tcW w:type="dxa" w:w="1740"/>
          </w:tcPr>
          <w:p>
            <w:pPr>
              <w:jc w:val="center"/>
            </w:pPr>
            <w:r>
              <w:rPr>
                <w:rFonts w:ascii="Times New Roman" w:hAnsi="Times New Roman"/>
                <w:sz w:val="18"/>
              </w:rPr>
              <w:t>0.20</w:t>
            </w:r>
          </w:p>
        </w:tc>
        <w:tc>
          <w:tcPr>
            <w:tcW w:type="dxa" w:w="1740"/>
          </w:tcPr>
          <w:p>
            <w:pPr>
              <w:jc w:val="center"/>
            </w:pPr>
            <w:r>
              <w:rPr>
                <w:rFonts w:ascii="Times New Roman" w:hAnsi="Times New Roman"/>
                <w:sz w:val="18"/>
              </w:rPr>
              <w:t>96.23%</w:t>
            </w:r>
          </w:p>
        </w:tc>
      </w:tr>
      <w:tr>
        <w:tc>
          <w:tcPr>
            <w:tcW w:type="dxa" w:w="1740"/>
          </w:tcPr>
          <w:p>
            <w:pPr>
              <w:jc w:val="center"/>
            </w:pPr>
            <w:r>
              <w:rPr>
                <w:rFonts w:ascii="Times New Roman" w:hAnsi="Times New Roman"/>
                <w:sz w:val="18"/>
              </w:rPr>
              <w:t>5</w:t>
            </w:r>
          </w:p>
        </w:tc>
        <w:tc>
          <w:tcPr>
            <w:tcW w:type="dxa" w:w="1740"/>
          </w:tcPr>
          <w:p>
            <w:pPr>
              <w:jc w:val="center"/>
            </w:pPr>
            <w:r>
              <w:rPr>
                <w:rFonts w:ascii="Times New Roman" w:hAnsi="Times New Roman"/>
                <w:sz w:val="18"/>
              </w:rPr>
              <w:t>0.001</w:t>
            </w:r>
          </w:p>
        </w:tc>
        <w:tc>
          <w:tcPr>
            <w:tcW w:type="dxa" w:w="1740"/>
          </w:tcPr>
          <w:p>
            <w:pPr>
              <w:jc w:val="center"/>
            </w:pPr>
            <w:r>
              <w:rPr>
                <w:rFonts w:ascii="Times New Roman" w:hAnsi="Times New Roman"/>
                <w:sz w:val="18"/>
              </w:rPr>
              <w:t>0.35</w:t>
            </w:r>
          </w:p>
        </w:tc>
        <w:tc>
          <w:tcPr>
            <w:tcW w:type="dxa" w:w="1740"/>
          </w:tcPr>
          <w:p>
            <w:pPr>
              <w:jc w:val="center"/>
            </w:pPr>
            <w:r>
              <w:rPr>
                <w:rFonts w:ascii="Times New Roman" w:hAnsi="Times New Roman"/>
                <w:sz w:val="18"/>
              </w:rPr>
              <w:t>0.15</w:t>
            </w:r>
          </w:p>
        </w:tc>
        <w:tc>
          <w:tcPr>
            <w:tcW w:type="dxa" w:w="1740"/>
          </w:tcPr>
          <w:p>
            <w:pPr>
              <w:jc w:val="center"/>
            </w:pPr>
            <w:r>
              <w:rPr>
                <w:rFonts w:ascii="Times New Roman" w:hAnsi="Times New Roman"/>
                <w:sz w:val="18"/>
              </w:rPr>
              <w:t>0.20</w:t>
            </w:r>
          </w:p>
        </w:tc>
        <w:tc>
          <w:tcPr>
            <w:tcW w:type="dxa" w:w="1740"/>
          </w:tcPr>
          <w:p>
            <w:pPr>
              <w:jc w:val="center"/>
            </w:pPr>
            <w:r>
              <w:rPr>
                <w:rFonts w:ascii="Times New Roman" w:hAnsi="Times New Roman"/>
                <w:sz w:val="18"/>
              </w:rPr>
              <w:t>96.23%</w:t>
            </w:r>
          </w:p>
        </w:tc>
      </w:tr>
    </w:tbl>
    <w:p/>
    <w:p>
      <w:r>
        <w:rPr>
          <w:rFonts w:ascii="Times New Roman" w:hAnsi="Times New Roman"/>
          <w:i/>
          <w:sz w:val="20"/>
        </w:rPr>
        <w:t>C. Training Configuration</w:t>
      </w:r>
    </w:p>
    <w:p>
      <w:pPr>
        <w:jc w:val="both"/>
      </w:pPr>
      <w:r>
        <w:rPr>
          <w:rFonts w:ascii="Times New Roman" w:hAnsi="Times New Roman"/>
          <w:sz w:val="20"/>
        </w:rPr>
        <w:t>All models are trained with AdamW optimizer, batch size 256, maximum 1000 epochs, early stopping patience of 30-40 epochs, 10-epoch learning rate warmup followed by cosine annealing, and gradient clipping with max norm 1.0.</w:t>
      </w:r>
    </w:p>
    <w:p>
      <w:r>
        <w:rPr>
          <w:rFonts w:ascii="Times New Roman" w:hAnsi="Times New Roman"/>
          <w:i/>
          <w:sz w:val="20"/>
        </w:rPr>
        <w:t>D. Training Enhancements</w:t>
      </w:r>
    </w:p>
    <w:p>
      <w:pPr>
        <w:jc w:val="both"/>
      </w:pPr>
      <w:r>
        <w:rPr>
          <w:rFonts w:ascii="Times New Roman" w:hAnsi="Times New Roman"/>
          <w:sz w:val="20"/>
        </w:rPr>
        <w:t>Mixup Data Augmentation: During training, we linearly interpolate between random pairs of samples and their labels. Given samples (x_i, y_i) and (x_j, y_j), we create mixed samples where lambda is sampled from Beta(alpha, alpha). This smooths the decision boundary and improves generalization.</w:t>
      </w:r>
    </w:p>
    <w:p>
      <w:pPr>
        <w:ind w:firstLine="360"/>
        <w:jc w:val="both"/>
      </w:pPr>
      <w:r>
        <w:rPr>
          <w:rFonts w:ascii="Times New Roman" w:hAnsi="Times New Roman"/>
          <w:sz w:val="20"/>
        </w:rPr>
        <w:t>Label Smoothing: Instead of hard targets (0 or 1), we use soft targets that distribute a small amount of probability mass to incorrect classes. This prevents overconfident predictions and improves calibration.</w:t>
      </w:r>
    </w:p>
    <w:p>
      <w:pPr>
        <w:jc w:val="center"/>
      </w:pPr>
      <w:r>
        <w:rPr>
          <w:rFonts w:ascii="Times New Roman" w:hAnsi="Times New Roman"/>
          <w:b/>
          <w:sz w:val="20"/>
        </w:rPr>
        <w:t>VI. RESULTS</w:t>
      </w:r>
    </w:p>
    <w:p>
      <w:pPr>
        <w:jc w:val="center"/>
      </w:pPr>
      <w:r>
        <w:rPr>
          <w:rFonts w:ascii="Times New Roman" w:hAnsi="Times New Roman"/>
          <w:i/>
          <w:sz w:val="20"/>
        </w:rPr>
        <w:t>[INSERT FIGURE HERE]</w:t>
      </w:r>
    </w:p>
    <w:p>
      <w:pPr>
        <w:jc w:val="center"/>
      </w:pPr>
      <w:r>
        <w:rPr>
          <w:rFonts w:ascii="Times New Roman" w:hAnsi="Times New Roman"/>
          <w:sz w:val="18"/>
        </w:rPr>
        <w:t>Fig. 3. Training and validation accuracy curves over epochs.</w:t>
      </w:r>
    </w:p>
    <w:p>
      <w:pPr>
        <w:jc w:val="center"/>
      </w:pPr>
      <w:r>
        <w:rPr>
          <w:rFonts w:ascii="Times New Roman" w:hAnsi="Times New Roman"/>
          <w:sz w:val="18"/>
        </w:rPr>
        <w:t>TABLE II: MODEL COMPARISON RESULTS</w:t>
      </w:r>
    </w:p>
    <w:tbl>
      <w:tblPr>
        <w:tblW w:type="auto" w:w="0"/>
        <w:jc w:val="center"/>
        <w:tblLook w:firstColumn="1" w:firstRow="1" w:lastColumn="0" w:lastRow="0" w:noHBand="0" w:noVBand="1" w:val="04A0"/>
      </w:tblPr>
      <w:tblGrid>
        <w:gridCol w:w="3480"/>
        <w:gridCol w:w="3480"/>
        <w:gridCol w:w="3480"/>
      </w:tblGrid>
      <w:tr>
        <w:tc>
          <w:tcPr>
            <w:tcW w:type="dxa" w:w="3480"/>
          </w:tcPr>
          <w:p>
            <w:pPr>
              <w:jc w:val="center"/>
            </w:pPr>
            <w:r>
              <w:rPr>
                <w:rFonts w:ascii="Times New Roman" w:hAnsi="Times New Roman"/>
                <w:b/>
                <w:sz w:val="18"/>
              </w:rPr>
              <w:t>Model</w:t>
            </w:r>
          </w:p>
        </w:tc>
        <w:tc>
          <w:tcPr>
            <w:tcW w:type="dxa" w:w="3480"/>
          </w:tcPr>
          <w:p>
            <w:pPr>
              <w:jc w:val="center"/>
            </w:pPr>
            <w:r>
              <w:rPr>
                <w:rFonts w:ascii="Times New Roman" w:hAnsi="Times New Roman"/>
                <w:b/>
                <w:sz w:val="18"/>
              </w:rPr>
              <w:t>Val. Accuracy</w:t>
            </w:r>
          </w:p>
        </w:tc>
        <w:tc>
          <w:tcPr>
            <w:tcW w:type="dxa" w:w="3480"/>
          </w:tcPr>
          <w:p>
            <w:pPr>
              <w:jc w:val="center"/>
            </w:pPr>
            <w:r>
              <w:rPr>
                <w:rFonts w:ascii="Times New Roman" w:hAnsi="Times New Roman"/>
                <w:b/>
                <w:sz w:val="18"/>
              </w:rPr>
              <w:t>Improvement</w:t>
            </w:r>
          </w:p>
        </w:tc>
      </w:tr>
      <w:tr>
        <w:tc>
          <w:tcPr>
            <w:tcW w:type="dxa" w:w="3480"/>
          </w:tcPr>
          <w:p>
            <w:pPr>
              <w:jc w:val="center"/>
            </w:pPr>
            <w:r>
              <w:rPr>
                <w:rFonts w:ascii="Times New Roman" w:hAnsi="Times New Roman"/>
                <w:sz w:val="18"/>
              </w:rPr>
              <w:t>v3 Baseline</w:t>
            </w:r>
          </w:p>
        </w:tc>
        <w:tc>
          <w:tcPr>
            <w:tcW w:type="dxa" w:w="3480"/>
          </w:tcPr>
          <w:p>
            <w:pPr>
              <w:jc w:val="center"/>
            </w:pPr>
            <w:r>
              <w:rPr>
                <w:rFonts w:ascii="Times New Roman" w:hAnsi="Times New Roman"/>
                <w:sz w:val="18"/>
              </w:rPr>
              <w:t>95.71%</w:t>
            </w:r>
          </w:p>
        </w:tc>
        <w:tc>
          <w:tcPr>
            <w:tcW w:type="dxa" w:w="3480"/>
          </w:tcPr>
          <w:p>
            <w:pPr>
              <w:jc w:val="center"/>
            </w:pPr>
            <w:r>
              <w:rPr>
                <w:rFonts w:ascii="Times New Roman" w:hAnsi="Times New Roman"/>
                <w:sz w:val="18"/>
              </w:rPr>
              <w:t>-</w:t>
            </w:r>
          </w:p>
        </w:tc>
      </w:tr>
      <w:tr>
        <w:tc>
          <w:tcPr>
            <w:tcW w:type="dxa" w:w="3480"/>
          </w:tcPr>
          <w:p>
            <w:pPr>
              <w:jc w:val="center"/>
            </w:pPr>
            <w:r>
              <w:rPr>
                <w:rFonts w:ascii="Times New Roman" w:hAnsi="Times New Roman"/>
                <w:sz w:val="18"/>
              </w:rPr>
              <w:t>v4 Single (best)</w:t>
            </w:r>
          </w:p>
        </w:tc>
        <w:tc>
          <w:tcPr>
            <w:tcW w:type="dxa" w:w="3480"/>
          </w:tcPr>
          <w:p>
            <w:pPr>
              <w:jc w:val="center"/>
            </w:pPr>
            <w:r>
              <w:rPr>
                <w:rFonts w:ascii="Times New Roman" w:hAnsi="Times New Roman"/>
                <w:sz w:val="18"/>
              </w:rPr>
              <w:t>96.48%</w:t>
            </w:r>
          </w:p>
        </w:tc>
        <w:tc>
          <w:tcPr>
            <w:tcW w:type="dxa" w:w="3480"/>
          </w:tcPr>
          <w:p>
            <w:pPr>
              <w:jc w:val="center"/>
            </w:pPr>
            <w:r>
              <w:rPr>
                <w:rFonts w:ascii="Times New Roman" w:hAnsi="Times New Roman"/>
                <w:sz w:val="18"/>
              </w:rPr>
              <w:t>+0.77%</w:t>
            </w:r>
          </w:p>
        </w:tc>
      </w:tr>
      <w:tr>
        <w:tc>
          <w:tcPr>
            <w:tcW w:type="dxa" w:w="3480"/>
          </w:tcPr>
          <w:p>
            <w:pPr>
              <w:jc w:val="center"/>
            </w:pPr>
            <w:r>
              <w:rPr>
                <w:rFonts w:ascii="Times New Roman" w:hAnsi="Times New Roman"/>
                <w:sz w:val="18"/>
              </w:rPr>
              <w:t>v4 Ensemble (12)</w:t>
            </w:r>
          </w:p>
        </w:tc>
        <w:tc>
          <w:tcPr>
            <w:tcW w:type="dxa" w:w="3480"/>
          </w:tcPr>
          <w:p>
            <w:pPr>
              <w:jc w:val="center"/>
            </w:pPr>
            <w:r>
              <w:rPr>
                <w:rFonts w:ascii="Times New Roman" w:hAnsi="Times New Roman"/>
                <w:sz w:val="18"/>
              </w:rPr>
              <w:t>96.59%</w:t>
            </w:r>
          </w:p>
        </w:tc>
        <w:tc>
          <w:tcPr>
            <w:tcW w:type="dxa" w:w="3480"/>
          </w:tcPr>
          <w:p>
            <w:pPr>
              <w:jc w:val="center"/>
            </w:pPr>
            <w:r>
              <w:rPr>
                <w:rFonts w:ascii="Times New Roman" w:hAnsi="Times New Roman"/>
                <w:sz w:val="18"/>
              </w:rPr>
              <w:t>+0.88%</w:t>
            </w:r>
          </w:p>
        </w:tc>
      </w:tr>
    </w:tbl>
    <w:p/>
    <w:p>
      <w:r>
        <w:rPr>
          <w:rFonts w:ascii="Times New Roman" w:hAnsi="Times New Roman"/>
          <w:i/>
          <w:sz w:val="20"/>
        </w:rPr>
        <w:t>A. Baseline Performance</w:t>
      </w:r>
    </w:p>
    <w:p>
      <w:pPr>
        <w:jc w:val="both"/>
      </w:pPr>
      <w:r>
        <w:rPr>
          <w:rFonts w:ascii="Times New Roman" w:hAnsi="Times New Roman"/>
          <w:sz w:val="20"/>
        </w:rPr>
        <w:t>The v3 baseline model achieves 95.71% validation accuracy. This model uses raw features without engineering and a simple feedforward architecture. Training converges within approximately 200 epochs with early stopping.</w:t>
      </w:r>
    </w:p>
    <w:p>
      <w:r>
        <w:rPr>
          <w:rFonts w:ascii="Times New Roman" w:hAnsi="Times New Roman"/>
          <w:i/>
          <w:sz w:val="20"/>
        </w:rPr>
        <w:t>B. Feature Engineering Impact</w:t>
      </w:r>
    </w:p>
    <w:p>
      <w:pPr>
        <w:jc w:val="both"/>
      </w:pPr>
      <w:r>
        <w:rPr>
          <w:rFonts w:ascii="Times New Roman" w:hAnsi="Times New Roman"/>
          <w:sz w:val="20"/>
        </w:rPr>
        <w:t>Adding feature engineering improves single-model accuracy from 95.71% to 96.48%. The amplitude/phase representation and cross-antenna features provide the most benefit, as they directly encode information relevant to device localization.</w:t>
      </w:r>
    </w:p>
    <w:p>
      <w:r>
        <w:rPr>
          <w:rFonts w:ascii="Times New Roman" w:hAnsi="Times New Roman"/>
          <w:i/>
          <w:sz w:val="20"/>
        </w:rPr>
        <w:t>C. Ensemble Performance</w:t>
      </w:r>
    </w:p>
    <w:p>
      <w:pPr>
        <w:jc w:val="both"/>
      </w:pPr>
      <w:r>
        <w:rPr>
          <w:rFonts w:ascii="Times New Roman" w:hAnsi="Times New Roman"/>
          <w:sz w:val="20"/>
        </w:rPr>
        <w:t>The 12-model diversity-optimized ensemble achieves 96.59% validation accuracy. Compared to simple top-N averaging, diversity-based selection produces better results with fewer models. The ensemble corrects errors made by individual models while introducing few new errors.</w:t>
      </w:r>
    </w:p>
    <w:p>
      <w:r>
        <w:rPr>
          <w:rFonts w:ascii="Times New Roman" w:hAnsi="Times New Roman"/>
          <w:i/>
          <w:sz w:val="20"/>
        </w:rPr>
        <w:t>D. Best Hyperparameters</w:t>
      </w:r>
    </w:p>
    <w:p>
      <w:pPr>
        <w:jc w:val="both"/>
      </w:pPr>
      <w:r>
        <w:rPr>
          <w:rFonts w:ascii="Times New Roman" w:hAnsi="Times New Roman"/>
          <w:sz w:val="20"/>
        </w:rPr>
        <w:t>The best single model uses: learning rate 0.001, weight decay 5e-6, dropout base 0.45, label smoothing 0.1, and mixup alpha 0.2. Higher dropout combined with label smoothing and mixup provides strong regularization without degrading training.</w:t>
      </w:r>
    </w:p>
    <w:p>
      <w:pPr>
        <w:jc w:val="center"/>
      </w:pPr>
      <w:r>
        <w:rPr>
          <w:rFonts w:ascii="Times New Roman" w:hAnsi="Times New Roman"/>
          <w:b/>
          <w:sz w:val="20"/>
        </w:rPr>
        <w:t>VII. CONCLUSIONS</w:t>
      </w:r>
    </w:p>
    <w:p>
      <w:pPr>
        <w:jc w:val="both"/>
      </w:pPr>
      <w:r>
        <w:rPr>
          <w:rFonts w:ascii="Times New Roman" w:hAnsi="Times New Roman"/>
          <w:sz w:val="20"/>
        </w:rPr>
        <w:t>We presented a deep learning system for Wi-Fi device localization using CSI data. Our main findings are: (1) Feature engineering significantly improves performance by converting I/Q values to amplitude and phase and extracting cross-antenna features; (2) Residual networks outperform feedforward networks due to better gradient flow; (3) Ensemble diversity matters more than simply averaging top performers; (4) Regularization through dropout, label smoothing, and mixup is crucial for preventing overfitting.</w:t>
      </w:r>
    </w:p>
    <w:p>
      <w:pPr>
        <w:ind w:firstLine="360"/>
        <w:jc w:val="both"/>
      </w:pPr>
      <w:r>
        <w:rPr>
          <w:rFonts w:ascii="Times New Roman" w:hAnsi="Times New Roman"/>
          <w:sz w:val="20"/>
        </w:rPr>
        <w:t>Our final ensemble achieves 96.59% validation accuracy on the 10-class localization task. Future work could explore 1D convolutional networks, attention mechanisms, or CSI-specific data augmentation techniques.</w:t>
      </w:r>
    </w:p>
    <w:p>
      <w:pPr>
        <w:jc w:val="center"/>
      </w:pPr>
      <w:r>
        <w:rPr>
          <w:rFonts w:ascii="Times New Roman" w:hAnsi="Times New Roman"/>
          <w:b/>
          <w:sz w:val="20"/>
        </w:rPr>
        <w:t>REFERENCES</w:t>
      </w:r>
    </w:p>
    <w:p>
      <w:r>
        <w:rPr>
          <w:rFonts w:ascii="Times New Roman" w:hAnsi="Times New Roman"/>
          <w:sz w:val="16"/>
        </w:rPr>
        <w:t>[1] A. Paszke et al., "PyTorch: An Imperative Style, High-Performance Deep Learning Library," in Advances in Neural Information Processing Systems 32, 2019.</w:t>
      </w:r>
    </w:p>
    <w:p>
      <w:r>
        <w:rPr>
          <w:rFonts w:ascii="Times New Roman" w:hAnsi="Times New Roman"/>
          <w:sz w:val="16"/>
        </w:rPr>
        <w:t>[2] K. He, X. Zhang, S. Ren, and J. Sun, "Deep Residual Learning for Image Recognition," in Proc. IEEE CVPR, 2016.</w:t>
      </w:r>
    </w:p>
    <w:p>
      <w:r>
        <w:rPr>
          <w:rFonts w:ascii="Times New Roman" w:hAnsi="Times New Roman"/>
          <w:sz w:val="16"/>
        </w:rPr>
        <w:t>[3] H. Zhang, M. Cisse, Y. N. Dauphin, and D. Lopez-Paz, "mixup: Beyond Empirical Risk Minimization," in ICLR, 2018.</w:t>
      </w:r>
    </w:p>
    <w:p>
      <w:r>
        <w:rPr>
          <w:rFonts w:ascii="Times New Roman" w:hAnsi="Times New Roman"/>
          <w:sz w:val="16"/>
        </w:rPr>
        <w:t>[4] C. Szegedy et al., "Rethinking the Inception Architecture for Computer Vision," in Proc. IEEE CVPR, 2016.</w:t>
      </w:r>
    </w:p>
    <w:p>
      <w:r>
        <w:rPr>
          <w:rFonts w:ascii="Times New Roman" w:hAnsi="Times New Roman"/>
          <w:sz w:val="16"/>
        </w:rPr>
        <w:t>[5] IEEE 802.11bf Task Group, "WLAN Sensing," IEEE Standards Association, 2024.</w:t>
      </w:r>
    </w:p>
    <w:sectPr w:rsidR="00FC693F" w:rsidRPr="0006063C" w:rsidSect="00034616">
      <w:pgSz w:w="12240" w:h="15840"/>
      <w:pgMar w:top="1080" w:right="900" w:bottom="1440" w:left="90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