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MeDIAuto Studio 플랫폼 차별성 분석</w:t>
      </w:r>
    </w:p>
    <w:p>
      <w:r>
        <w:rPr>
          <w:b w:val="0"/>
        </w:rPr>
        <w:t>특허 기술 초안 · 프로젝트 구현 · 경쟁 플랫폼 공식 자료 기반</w:t>
      </w:r>
    </w:p>
    <w:p>
      <w:r>
        <w:rPr>
          <w:b w:val="0"/>
        </w:rPr>
        <w:t>문서 버전 1.0 | 작성일 2026-09-14 | 프로젝트 기준 v3.1.0 / Git 4c98bf6</w:t>
      </w:r>
    </w:p>
    <w:p>
      <w:r>
        <w:rPr>
          <w:b w:val="0"/>
        </w:rPr>
        <w:t>기관 도입 검토 및 기술 소개용 초안. 소스코드 기준의 분석이며 운영 서버에 동일 버전이 배포되었음을 확인하는 문서는 아니다.</w:t>
      </w:r>
    </w:p>
    <w:p>
      <w:pPr>
        <w:pStyle w:val="Heading1"/>
      </w:pPr>
      <w:r>
        <w:rPr>
          <w:b w:val="0"/>
        </w:rPr>
        <w:t>1. 핵심 제안 — 병리 AI 결과를 검토하고 수정하는 작업 공간</w:t>
      </w:r>
    </w:p>
    <w:p>
      <w:r>
        <w:rPr>
          <w:b/>
        </w:rPr>
        <w:t>MeDIAuto Studio는 대용량 병리 슬라이드 탐색, 정량 AI 결과 확인, 가상염색 비교, 조직·세포 주석 및 검수 작업을 웹 기반 작업 환경에 연결하는 플랫폼이다.</w:t>
      </w:r>
      <w:r>
        <w:rPr>
          <w:b w:val="0"/>
        </w:rPr>
        <w:t xml:space="preserve"> 차별화의 중심은 개별 AI 기능의 유무보다, 동일한 슬라이드 좌표를 기준으로 결과를 확인하고 사람이 수정하는 흐름과 이를 지원하는 서버 처리 구조에 있다.</w:t>
      </w:r>
    </w:p>
    <w:p>
      <w:r>
        <w:rPr>
          <w:b w:val="0"/>
        </w:rPr>
        <w:t>현재 소스에서 확인한 주요 분석 계열은 Quanti HE, Quanti PD-L1, Quanti IHC, VS IHC다. VS IHC의 모델 등록은 현재 ihc_membrane 한 종류다. 분석 계열을 지원한다는 사실과 각 모델의 임상 성능이 검증되었다는 주장은 구분한다.</w:t>
      </w:r>
    </w:p>
    <w:tbl>
      <w:tblPr>
        <w:tblStyle w:val="TableGrid"/>
        <w:tblW w:type="auto" w:w="0"/>
        <w:jc w:val="center"/>
        <w:tblLayout w:type="fixed"/>
        <w:tblLook w:firstColumn="1" w:firstRow="1" w:lastColumn="0" w:lastRow="0" w:noHBand="0" w:noVBand="1" w:val="04A0"/>
      </w:tblPr>
      <w:tblGrid>
        <w:gridCol w:w="2154"/>
        <w:gridCol w:w="7824"/>
      </w:tblGrid>
      <w:tr>
        <w:trPr>
          <w:cantSplit/>
          <w:tblHeader/>
        </w:trPr>
        <w:tc>
          <w:tcPr>
            <w:tcW w:type="dxa" w:w="2154"/>
            <w:vAlign w:val="top"/>
            <w:shd w:fill="E8E7F2"/>
          </w:tcPr>
          <w:p>
            <w:pPr>
              <w:spacing w:after="80" w:before="60" w:line="252" w:lineRule="auto"/>
            </w:pPr>
            <w:r>
              <w:rPr>
                <w:b/>
                <w:sz w:val="16"/>
              </w:rPr>
              <w:t>강조할 차별화 축</w:t>
            </w:r>
          </w:p>
        </w:tc>
        <w:tc>
          <w:tcPr>
            <w:tcW w:type="dxa" w:w="7824"/>
            <w:vAlign w:val="top"/>
            <w:shd w:fill="E8E7F2"/>
          </w:tcPr>
          <w:p>
            <w:pPr>
              <w:spacing w:after="80" w:before="60" w:line="252" w:lineRule="auto"/>
            </w:pPr>
            <w:r>
              <w:rPr>
                <w:b/>
                <w:sz w:val="16"/>
              </w:rPr>
              <w:t>확인된 구현과 사용자 가치</w:t>
            </w:r>
          </w:p>
        </w:tc>
      </w:tr>
      <w:tr>
        <w:trPr>
          <w:cantSplit/>
        </w:trPr>
        <w:tc>
          <w:tcPr>
            <w:tcW w:type="dxa" w:w="2154"/>
            <w:vAlign w:val="top"/>
          </w:tcPr>
          <w:p>
            <w:pPr>
              <w:spacing w:after="80" w:before="60" w:line="252" w:lineRule="auto"/>
            </w:pPr>
            <w:r>
              <w:rPr>
                <w:b w:val="0"/>
                <w:sz w:val="16"/>
              </w:rPr>
              <w:t>탐색 중 필요한 데이터 우선 처리</w:t>
            </w:r>
          </w:p>
        </w:tc>
        <w:tc>
          <w:tcPr>
            <w:tcW w:type="dxa" w:w="7824"/>
            <w:vAlign w:val="top"/>
          </w:tcPr>
          <w:p>
            <w:pPr>
              <w:spacing w:after="80" w:before="60" w:line="252" w:lineRule="auto"/>
            </w:pPr>
            <w:r>
              <w:rPr>
                <w:b w:val="0"/>
                <w:sz w:val="16"/>
              </w:rPr>
              <w:t>현재 화면의 미생성 타일 요청을 우선 처리하고 서버 대기열·실행 수에 따라 즉시 생성 여부를 결정한다. 분석과 탐색이 함께 일어나는 환경의 응답성을 고려한 구조다.</w:t>
            </w:r>
          </w:p>
        </w:tc>
      </w:tr>
      <w:tr>
        <w:trPr>
          <w:cantSplit/>
        </w:trPr>
        <w:tc>
          <w:tcPr>
            <w:tcW w:type="dxa" w:w="2154"/>
            <w:vAlign w:val="top"/>
          </w:tcPr>
          <w:p>
            <w:pPr>
              <w:spacing w:after="80" w:before="60" w:line="252" w:lineRule="auto"/>
            </w:pPr>
            <w:r>
              <w:rPr>
                <w:b w:val="0"/>
                <w:sz w:val="16"/>
              </w:rPr>
              <w:t>정량 결과를 원본 위치에서 검토</w:t>
            </w:r>
          </w:p>
        </w:tc>
        <w:tc>
          <w:tcPr>
            <w:tcW w:type="dxa" w:w="7824"/>
            <w:vAlign w:val="top"/>
          </w:tcPr>
          <w:p>
            <w:pPr>
              <w:spacing w:after="80" w:before="60" w:line="252" w:lineRule="auto"/>
            </w:pPr>
            <w:r>
              <w:rPr>
                <w:b w:val="0"/>
                <w:sz w:val="16"/>
              </w:rPr>
              <w:t>공간 격자로 화면 내 세포를 조회하고 확대 수준·세포 수에 따라 표시 방식을 바꾼다. 클래스와 신뢰도 필터로 검토 대상을 좁힐 수 있다.</w:t>
            </w:r>
          </w:p>
        </w:tc>
      </w:tr>
      <w:tr>
        <w:trPr>
          <w:cantSplit/>
        </w:trPr>
        <w:tc>
          <w:tcPr>
            <w:tcW w:type="dxa" w:w="2154"/>
            <w:vAlign w:val="top"/>
          </w:tcPr>
          <w:p>
            <w:pPr>
              <w:spacing w:after="80" w:before="60" w:line="252" w:lineRule="auto"/>
            </w:pPr>
            <w:r>
              <w:rPr>
                <w:b w:val="0"/>
                <w:sz w:val="16"/>
              </w:rPr>
              <w:t>가상염색 생성과 비교 화면 연결</w:t>
            </w:r>
          </w:p>
        </w:tc>
        <w:tc>
          <w:tcPr>
            <w:tcW w:type="dxa" w:w="7824"/>
            <w:vAlign w:val="top"/>
          </w:tcPr>
          <w:p>
            <w:pPr>
              <w:spacing w:after="80" w:before="60" w:line="252" w:lineRule="auto"/>
            </w:pPr>
            <w:r>
              <w:rPr>
                <w:b w:val="0"/>
                <w:sz w:val="16"/>
              </w:rPr>
              <w:t>패치 추론, 겹침 영역 혼합, 타일 피라미드 생성, 원본 정렬 표시 및 split view를 연결한다. 생성 결과를 원본 위치와 비교할 수 있다.</w:t>
            </w:r>
          </w:p>
        </w:tc>
      </w:tr>
      <w:tr>
        <w:trPr>
          <w:cantSplit/>
        </w:trPr>
        <w:tc>
          <w:tcPr>
            <w:tcW w:type="dxa" w:w="2154"/>
            <w:vAlign w:val="top"/>
          </w:tcPr>
          <w:p>
            <w:pPr>
              <w:spacing w:after="80" w:before="60" w:line="252" w:lineRule="auto"/>
            </w:pPr>
            <w:r>
              <w:rPr>
                <w:b w:val="0"/>
                <w:sz w:val="16"/>
              </w:rPr>
              <w:t>AI 보조 작업과 사람의 검수 연결</w:t>
            </w:r>
          </w:p>
        </w:tc>
        <w:tc>
          <w:tcPr>
            <w:tcW w:type="dxa" w:w="7824"/>
            <w:vAlign w:val="top"/>
          </w:tcPr>
          <w:p>
            <w:pPr>
              <w:spacing w:after="80" w:before="60" w:line="252" w:lineRule="auto"/>
            </w:pPr>
            <w:r>
              <w:rPr>
                <w:b w:val="0"/>
                <w:sz w:val="16"/>
              </w:rPr>
              <w:t>필요 영역과 패치 작업, 세포 주석, 검수 상태를 관리한다. 정량 AI 원본 결과와 사용자별 수정 결과는 분리 저장한다.</w:t>
            </w:r>
          </w:p>
        </w:tc>
      </w:tr>
    </w:tbl>
    <w:p>
      <w:pPr>
        <w:spacing w:after="0"/>
      </w:pPr>
    </w:p>
    <w:p>
      <w:r>
        <w:rPr>
          <w:b/>
        </w:rPr>
        <w:t>추천 소개 문구</w:t>
      </w:r>
    </w:p>
    <w:p>
      <w:r>
        <w:rPr>
          <w:b w:val="0"/>
        </w:rPr>
        <w:t>“MeDIAuto Studio는 병리 슬라이드의 정량 AI 분석과 가상염색 결과를 원본 영상 위에서 검토하고, 주석·패치 작업과 사람의 검수로 연결하는 웹 기반 병리 AI 작업 플랫폼입니다. 현재 화면에 필요한 영상 처리를 우선하는 구조를 통해 분석과 탐색이 함께 이루어지는 작업 환경을 지원합니다.”</w:t>
      </w:r>
    </w:p>
    <w:p>
      <w:r>
        <w:rPr>
          <w:b w:val="0"/>
        </w:rPr>
        <w:t>위 문구는 구현을 설명하는 표현이다. ‘세계 최초’, ‘유일’, ‘가장 빠름’, ‘진단 정확도 우위’, ‘등록 특허로 보호됨’을 의미하지 않는다.</w:t>
      </w:r>
    </w:p>
    <w:p>
      <w:r>
        <w:rPr>
          <w:b w:val="0"/>
        </w:rPr>
        <w:t xml:space="preserve">특허 자료는 저장소의 출원 후보 요약, 네 건의 상세 HTML·DOCX 및 PDF 초안을 사용했다. 확인한 자료에는 출원·등록번호의 증빙이 없으므로 본 문서는 네 가지를 </w:t>
      </w:r>
      <w:r>
        <w:rPr>
          <w:b/>
        </w:rPr>
        <w:t>특허 기술 후보</w:t>
      </w:r>
      <w:r>
        <w:rPr>
          <w:b w:val="0"/>
        </w:rPr>
        <w:t>로 지칭한다. 시장 비교는 공개 제품 기능 비교이며 특허 신규성·진보성 또는 타사 권리 범위에 대한 판단이 아니다.</w:t>
      </w:r>
    </w:p>
    <w:p>
      <w:pPr>
        <w:pStyle w:val="Heading1"/>
        <w:pageBreakBefore/>
      </w:pPr>
      <w:r>
        <w:rPr>
          <w:b w:val="0"/>
        </w:rPr>
        <w:t>2. 경쟁 플랫폼 비교 — 기능 보유보다 작업 흐름을 비교</w:t>
      </w:r>
    </w:p>
    <w:p>
      <w:r>
        <w:rPr>
          <w:b w:val="0"/>
        </w:rPr>
        <w:t>비교 단위는 아래에 명시한 제품 또는 제품 조합이다. 동일 업체의 연구용·진단용 제품, 별도 모듈, 제휴 서비스는 동일한 기본 기능으로 간주하지 않는다. 공식 자료에서 확인되지 않은 내부 구현은 ‘미확인’이며 ‘없음’을 뜻하지 않는다.</w:t>
      </w:r>
    </w:p>
    <w:tbl>
      <w:tblPr>
        <w:tblStyle w:val="TableGrid"/>
        <w:tblW w:type="auto" w:w="0"/>
        <w:jc w:val="center"/>
        <w:tblLayout w:type="fixed"/>
        <w:tblLook w:firstColumn="1" w:firstRow="1" w:lastColumn="0" w:lastRow="0" w:noHBand="0" w:noVBand="1" w:val="04A0"/>
      </w:tblPr>
      <w:tblGrid>
        <w:gridCol w:w="1814"/>
        <w:gridCol w:w="4082"/>
        <w:gridCol w:w="4082"/>
      </w:tblGrid>
      <w:tr>
        <w:trPr>
          <w:cantSplit/>
          <w:tblHeader/>
        </w:trPr>
        <w:tc>
          <w:tcPr>
            <w:tcW w:type="dxa" w:w="1814"/>
            <w:vAlign w:val="top"/>
            <w:shd w:fill="E8E7F2"/>
          </w:tcPr>
          <w:p>
            <w:pPr>
              <w:spacing w:after="80" w:before="60" w:line="252" w:lineRule="auto"/>
            </w:pPr>
            <w:r>
              <w:rPr>
                <w:b/>
                <w:sz w:val="16"/>
              </w:rPr>
              <w:t>비교 대상</w:t>
            </w:r>
          </w:p>
        </w:tc>
        <w:tc>
          <w:tcPr>
            <w:tcW w:type="dxa" w:w="4082"/>
            <w:vAlign w:val="top"/>
            <w:shd w:fill="E8E7F2"/>
          </w:tcPr>
          <w:p>
            <w:pPr>
              <w:spacing w:after="80" w:before="60" w:line="252" w:lineRule="auto"/>
            </w:pPr>
            <w:r>
              <w:rPr>
                <w:b/>
                <w:sz w:val="16"/>
              </w:rPr>
              <w:t>공식 자료에서 확인한 주력 기능</w:t>
            </w:r>
          </w:p>
        </w:tc>
        <w:tc>
          <w:tcPr>
            <w:tcW w:type="dxa" w:w="4082"/>
            <w:vAlign w:val="top"/>
            <w:shd w:fill="E8E7F2"/>
          </w:tcPr>
          <w:p>
            <w:pPr>
              <w:spacing w:after="80" w:before="60" w:line="252" w:lineRule="auto"/>
            </w:pPr>
            <w:r>
              <w:rPr>
                <w:b/>
                <w:sz w:val="16"/>
              </w:rPr>
              <w:t>MeDIAuto의 제안 방향과 보완점</w:t>
            </w:r>
          </w:p>
        </w:tc>
      </w:tr>
      <w:tr>
        <w:trPr>
          <w:cantSplit/>
        </w:trPr>
        <w:tc>
          <w:tcPr>
            <w:tcW w:type="dxa" w:w="1814"/>
            <w:vAlign w:val="top"/>
          </w:tcPr>
          <w:p>
            <w:pPr>
              <w:spacing w:after="80" w:before="60" w:line="252" w:lineRule="auto"/>
            </w:pPr>
            <w:r>
              <w:rPr>
                <w:b w:val="0"/>
                <w:sz w:val="16"/>
              </w:rPr>
              <w:t>HALO + HALO AI + HALO Link</w:t>
            </w:r>
          </w:p>
        </w:tc>
        <w:tc>
          <w:tcPr>
            <w:tcW w:type="dxa" w:w="4082"/>
            <w:vAlign w:val="top"/>
          </w:tcPr>
          <w:p>
            <w:pPr>
              <w:spacing w:after="80" w:before="60" w:line="252" w:lineRule="auto"/>
            </w:pPr>
            <w:r>
              <w:rPr>
                <w:b w:val="0"/>
                <w:sz w:val="16"/>
              </w:rPr>
              <w:t xml:space="preserve">학습 가능한 병리 AI, 확률 임계값·대화형 결과 확인, ONNX 호환, 공동 학습 데이터 작업 및 이미지 관리. </w:t>
            </w:r>
            <w:hyperlink r:id="rId11">
              <w:r>
                <w:rPr>
                  <w:color w:val="266A88"/>
                  <w:u w:val="single"/>
                </w:rPr>
                <w:t>H1</w:t>
              </w:r>
            </w:hyperlink>
            <w:r>
              <w:rPr>
                <w:b w:val="0"/>
                <w:sz w:val="16"/>
              </w:rPr>
              <w:t xml:space="preserve">, </w:t>
            </w:r>
            <w:hyperlink r:id="rId12">
              <w:r>
                <w:rPr>
                  <w:color w:val="266A88"/>
                  <w:u w:val="single"/>
                </w:rPr>
                <w:t>H2</w:t>
              </w:r>
            </w:hyperlink>
          </w:p>
        </w:tc>
        <w:tc>
          <w:tcPr>
            <w:tcW w:type="dxa" w:w="4082"/>
            <w:vAlign w:val="top"/>
          </w:tcPr>
          <w:p>
            <w:pPr>
              <w:spacing w:after="80" w:before="60" w:line="252" w:lineRule="auto"/>
            </w:pPr>
            <w:r>
              <w:rPr>
                <w:b w:val="0"/>
                <w:sz w:val="16"/>
              </w:rPr>
              <w:t>AI 분석과 협업 자체로 구분하기 어렵다. MeDIAuto는 가상염색 비교와 패치 검수의 연결을 시연해야 한다. 범용 모델 학습·검증과 연동 생태계는 비교 시 보완 항목이다.</w:t>
            </w:r>
          </w:p>
        </w:tc>
      </w:tr>
      <w:tr>
        <w:trPr>
          <w:cantSplit/>
        </w:trPr>
        <w:tc>
          <w:tcPr>
            <w:tcW w:type="dxa" w:w="1814"/>
            <w:vAlign w:val="top"/>
          </w:tcPr>
          <w:p>
            <w:pPr>
              <w:spacing w:after="80" w:before="60" w:line="252" w:lineRule="auto"/>
            </w:pPr>
            <w:r>
              <w:rPr>
                <w:b w:val="0"/>
                <w:sz w:val="16"/>
              </w:rPr>
              <w:t>Aiforia Create</w:t>
            </w:r>
          </w:p>
        </w:tc>
        <w:tc>
          <w:tcPr>
            <w:tcW w:type="dxa" w:w="4082"/>
            <w:vAlign w:val="top"/>
          </w:tcPr>
          <w:p>
            <w:pPr>
              <w:spacing w:after="80" w:before="60" w:line="252" w:lineRule="auto"/>
            </w:pPr>
            <w:r>
              <w:rPr>
                <w:b w:val="0"/>
                <w:sz w:val="16"/>
              </w:rPr>
              <w:t xml:space="preserve">클라우드 기반 모델 개발·검증, active learning 기반 Annotation Assistant의 제안 수락·수정·거절. 연구용 제품으로 명시. </w:t>
            </w:r>
            <w:hyperlink r:id="rId13">
              <w:r>
                <w:rPr>
                  <w:color w:val="266A88"/>
                  <w:u w:val="single"/>
                </w:rPr>
                <w:t>A1</w:t>
              </w:r>
            </w:hyperlink>
          </w:p>
        </w:tc>
        <w:tc>
          <w:tcPr>
            <w:tcW w:type="dxa" w:w="4082"/>
            <w:vAlign w:val="top"/>
          </w:tcPr>
          <w:p>
            <w:pPr>
              <w:spacing w:after="80" w:before="60" w:line="252" w:lineRule="auto"/>
            </w:pPr>
            <w:r>
              <w:rPr>
                <w:b w:val="0"/>
                <w:sz w:val="16"/>
              </w:rPr>
              <w:t>‘AI가 제안하고 사람이 수정’은 공통 영역이다. 기관 서버에서 운영하는 현재 구조와 구체적인 패치 검수 절차를 설명할 수 있다. 자동 학습 루프는 현재 차별점으로 제시하지 않는다.</w:t>
            </w:r>
          </w:p>
        </w:tc>
      </w:tr>
      <w:tr>
        <w:trPr>
          <w:cantSplit/>
        </w:trPr>
        <w:tc>
          <w:tcPr>
            <w:tcW w:type="dxa" w:w="1814"/>
            <w:vAlign w:val="top"/>
          </w:tcPr>
          <w:p>
            <w:pPr>
              <w:spacing w:after="80" w:before="60" w:line="252" w:lineRule="auto"/>
            </w:pPr>
            <w:r>
              <w:rPr>
                <w:b w:val="0"/>
                <w:sz w:val="16"/>
              </w:rPr>
              <w:t>Visiopharm 연구 분석 도구 / AI Author</w:t>
            </w:r>
          </w:p>
        </w:tc>
        <w:tc>
          <w:tcPr>
            <w:tcW w:type="dxa" w:w="4082"/>
            <w:vAlign w:val="top"/>
          </w:tcPr>
          <w:p>
            <w:pPr>
              <w:spacing w:after="80" w:before="60" w:line="252" w:lineRule="auto"/>
            </w:pPr>
            <w:r>
              <w:rPr>
                <w:b w:val="0"/>
                <w:sz w:val="16"/>
              </w:rPr>
              <w:t xml:space="preserve">사용자 예제로 학습하는 분류, 규칙 기반 분석과 딥러닝 결합, 조직·세포 표현형 분석. </w:t>
            </w:r>
            <w:hyperlink r:id="rId14">
              <w:r>
                <w:rPr>
                  <w:color w:val="266A88"/>
                  <w:u w:val="single"/>
                </w:rPr>
                <w:t>V1</w:t>
              </w:r>
            </w:hyperlink>
            <w:r>
              <w:rPr>
                <w:b w:val="0"/>
                <w:sz w:val="16"/>
              </w:rPr>
              <w:t xml:space="preserve">, </w:t>
            </w:r>
            <w:hyperlink r:id="rId15">
              <w:r>
                <w:rPr>
                  <w:color w:val="266A88"/>
                  <w:u w:val="single"/>
                </w:rPr>
                <w:t>V2</w:t>
              </w:r>
            </w:hyperlink>
          </w:p>
        </w:tc>
        <w:tc>
          <w:tcPr>
            <w:tcW w:type="dxa" w:w="4082"/>
            <w:vAlign w:val="top"/>
          </w:tcPr>
          <w:p>
            <w:pPr>
              <w:spacing w:after="80" w:before="60" w:line="252" w:lineRule="auto"/>
            </w:pPr>
            <w:r>
              <w:rPr>
                <w:b w:val="0"/>
                <w:sz w:val="16"/>
              </w:rPr>
              <w:t>정량 분석 자체는 공통 영역이다. MeDIAuto는 브라우저 내 원본·가상염색 비교와 주석 작업의 연결을 강조한다. 다중 표지·공간 생물학 분석의 범용성 우위는 주장하지 않는다.</w:t>
            </w:r>
          </w:p>
        </w:tc>
      </w:tr>
      <w:tr>
        <w:trPr>
          <w:cantSplit/>
        </w:trPr>
        <w:tc>
          <w:tcPr>
            <w:tcW w:type="dxa" w:w="1814"/>
            <w:vAlign w:val="top"/>
          </w:tcPr>
          <w:p>
            <w:pPr>
              <w:spacing w:after="80" w:before="60" w:line="252" w:lineRule="auto"/>
            </w:pPr>
            <w:r>
              <w:rPr>
                <w:b w:val="0"/>
                <w:sz w:val="16"/>
              </w:rPr>
              <w:t>Proscia Concentriq LS 및 Compute 등 관련 기능</w:t>
            </w:r>
          </w:p>
        </w:tc>
        <w:tc>
          <w:tcPr>
            <w:tcW w:type="dxa" w:w="4082"/>
            <w:vAlign w:val="top"/>
          </w:tcPr>
          <w:p>
            <w:pPr>
              <w:spacing w:after="80" w:before="60" w:line="252" w:lineRule="auto"/>
            </w:pPr>
            <w:r>
              <w:rPr>
                <w:b w:val="0"/>
                <w:sz w:val="16"/>
              </w:rPr>
              <w:t xml:space="preserve">이미지·연관 데이터 관리, AI 모델 실행 및 플랫폼 내 분석 연결. LS는 연구용으로 명시되며 AP-Dx와 구분된다. </w:t>
            </w:r>
            <w:hyperlink r:id="rId16">
              <w:r>
                <w:rPr>
                  <w:color w:val="266A88"/>
                  <w:u w:val="single"/>
                </w:rPr>
                <w:t>P1</w:t>
              </w:r>
            </w:hyperlink>
            <w:r>
              <w:rPr>
                <w:b w:val="0"/>
                <w:sz w:val="16"/>
              </w:rPr>
              <w:t xml:space="preserve">, </w:t>
            </w:r>
            <w:hyperlink r:id="rId17">
              <w:r>
                <w:rPr>
                  <w:color w:val="266A88"/>
                  <w:u w:val="single"/>
                </w:rPr>
                <w:t>P2</w:t>
              </w:r>
            </w:hyperlink>
          </w:p>
        </w:tc>
        <w:tc>
          <w:tcPr>
            <w:tcW w:type="dxa" w:w="4082"/>
            <w:vAlign w:val="top"/>
          </w:tcPr>
          <w:p>
            <w:pPr>
              <w:spacing w:after="80" w:before="60" w:line="252" w:lineRule="auto"/>
            </w:pPr>
            <w:r>
              <w:rPr>
                <w:b w:val="0"/>
                <w:sz w:val="16"/>
              </w:rPr>
              <w:t>‘통합 플랫폼’이라는 표현만으로 차별화하기 어렵다. MeDIAuto의 사용자 수정 저장과 검수 상태 연결을 구체적으로 제시한다. 대규모 운영·표준 연동 수준은 별도 입증이 필요하다.</w:t>
            </w:r>
          </w:p>
        </w:tc>
      </w:tr>
      <w:tr>
        <w:trPr>
          <w:cantSplit/>
        </w:trPr>
        <w:tc>
          <w:tcPr>
            <w:tcW w:type="dxa" w:w="1814"/>
            <w:vAlign w:val="top"/>
          </w:tcPr>
          <w:p>
            <w:pPr>
              <w:spacing w:after="80" w:before="60" w:line="252" w:lineRule="auto"/>
            </w:pPr>
            <w:r>
              <w:rPr>
                <w:b w:val="0"/>
                <w:sz w:val="16"/>
              </w:rPr>
              <w:t>PathPresenter 기업용 플랫폼</w:t>
            </w:r>
          </w:p>
        </w:tc>
        <w:tc>
          <w:tcPr>
            <w:tcW w:type="dxa" w:w="4082"/>
            <w:vAlign w:val="top"/>
          </w:tcPr>
          <w:p>
            <w:pPr>
              <w:spacing w:after="80" w:before="60" w:line="252" w:lineRule="auto"/>
            </w:pPr>
            <w:r>
              <w:rPr>
                <w:b w:val="0"/>
                <w:sz w:val="16"/>
              </w:rPr>
              <w:t xml:space="preserve">이미지 관리, 연구·교육·협진 업무, 외부 스캐너·저장소·AI·LIS 연동과 클라우드·하이브리드 운영을 설명한다. </w:t>
            </w:r>
            <w:hyperlink r:id="rId18">
              <w:r>
                <w:rPr>
                  <w:color w:val="266A88"/>
                  <w:u w:val="single"/>
                </w:rPr>
                <w:t>R1</w:t>
              </w:r>
            </w:hyperlink>
          </w:p>
        </w:tc>
        <w:tc>
          <w:tcPr>
            <w:tcW w:type="dxa" w:w="4082"/>
            <w:vAlign w:val="top"/>
          </w:tcPr>
          <w:p>
            <w:pPr>
              <w:spacing w:after="80" w:before="60" w:line="252" w:lineRule="auto"/>
            </w:pPr>
            <w:r>
              <w:rPr>
                <w:b w:val="0"/>
                <w:sz w:val="16"/>
              </w:rPr>
              <w:t>웹 열람과 협업은 공통 영역이다. MeDIAuto는 자체 분석 파이프라인과 세포·패치 검수의 연결을 시연한다. 병원 업무 연동 및 구축 실적에서는 동등성을 가정하지 않는다.</w:t>
            </w:r>
          </w:p>
        </w:tc>
      </w:tr>
      <w:tr>
        <w:trPr>
          <w:cantSplit/>
        </w:trPr>
        <w:tc>
          <w:tcPr>
            <w:tcW w:type="dxa" w:w="1814"/>
            <w:vAlign w:val="top"/>
          </w:tcPr>
          <w:p>
            <w:pPr>
              <w:spacing w:after="80" w:before="60" w:line="252" w:lineRule="auto"/>
            </w:pPr>
            <w:r>
              <w:rPr>
                <w:b w:val="0"/>
                <w:sz w:val="16"/>
              </w:rPr>
              <w:t>QuPath</w:t>
            </w:r>
          </w:p>
        </w:tc>
        <w:tc>
          <w:tcPr>
            <w:tcW w:type="dxa" w:w="4082"/>
            <w:vAlign w:val="top"/>
          </w:tcPr>
          <w:p>
            <w:pPr>
              <w:spacing w:after="80" w:before="60" w:line="252" w:lineRule="auto"/>
            </w:pPr>
            <w:r>
              <w:rPr>
                <w:b w:val="0"/>
                <w:sz w:val="16"/>
              </w:rPr>
              <w:t xml:space="preserve">공개 소스 기반 설치형 영상 분석 도구. 주석, 분석, 스크립트 자동화와 확장이 가능하며 임상·진단·치료 용도로 의도되지 않았다고 명시한다. </w:t>
            </w:r>
            <w:hyperlink r:id="rId19">
              <w:r>
                <w:rPr>
                  <w:color w:val="266A88"/>
                  <w:u w:val="single"/>
                </w:rPr>
                <w:t>Q1</w:t>
              </w:r>
            </w:hyperlink>
            <w:r>
              <w:rPr>
                <w:b w:val="0"/>
                <w:sz w:val="16"/>
              </w:rPr>
              <w:t xml:space="preserve">, </w:t>
            </w:r>
            <w:hyperlink r:id="rId20">
              <w:r>
                <w:rPr>
                  <w:color w:val="266A88"/>
                  <w:u w:val="single"/>
                </w:rPr>
                <w:t>Q2</w:t>
              </w:r>
            </w:hyperlink>
          </w:p>
        </w:tc>
        <w:tc>
          <w:tcPr>
            <w:tcW w:type="dxa" w:w="4082"/>
            <w:vAlign w:val="top"/>
          </w:tcPr>
          <w:p>
            <w:pPr>
              <w:spacing w:after="80" w:before="60" w:line="252" w:lineRule="auto"/>
            </w:pPr>
            <w:r>
              <w:rPr>
                <w:b w:val="0"/>
                <w:sz w:val="16"/>
              </w:rPr>
              <w:t>분석 기능만 비교하기보다 서버 작업 관리, 계정별 접근, 패치 검수 상태를 포함한 웹 업무 시스템이라는 제공 범위를 설명한다. 무료 공개 소스 도구보다 비용이 낮다고 주장할 근거는 없다.</w:t>
            </w:r>
          </w:p>
        </w:tc>
      </w:tr>
    </w:tbl>
    <w:p>
      <w:pPr>
        <w:spacing w:after="0"/>
      </w:pPr>
    </w:p>
    <w:p>
      <w:r>
        <w:rPr>
          <w:b/>
        </w:rPr>
        <w:t>비교 결과의 해석:</w:t>
      </w:r>
      <w:r>
        <w:rPr>
          <w:b w:val="0"/>
        </w:rPr>
        <w:t xml:space="preserve"> MeDIAuto의 적절한 포지션은 ‘기관별 병리 AI 검토·라벨링 업무를 연결하는 플랫폼’이다. 경쟁사도 분석·협업·통합 기능을 제공하므로, 실제 작업 단계 수와 검수 시간, 동시 작업 응답성을 동일 조건에서 측정해야 차별점이 객관적 우위로 이어진다.</w:t>
      </w:r>
    </w:p>
    <w:p>
      <w:pPr>
        <w:pStyle w:val="Heading1"/>
        <w:pageBreakBefore/>
      </w:pPr>
      <w:r>
        <w:rPr>
          <w:b w:val="0"/>
        </w:rPr>
        <w:t>3. 특허 기술 후보 ①·② — 탐색 및 정량 결과 표시</w:t>
      </w:r>
    </w:p>
    <w:p>
      <w:pPr>
        <w:pStyle w:val="Heading2"/>
      </w:pPr>
      <w:r>
        <w:rPr>
          <w:b w:val="0"/>
        </w:rPr>
        <w:t>① WSI Viewer 및 Adaptive Tile Streaming</w:t>
      </w:r>
    </w:p>
    <w:p>
      <w:r>
        <w:rPr>
          <w:b/>
        </w:rPr>
        <w:t>해결하려는 문제:</w:t>
      </w:r>
      <w:r>
        <w:rPr>
          <w:b w:val="0"/>
        </w:rPr>
        <w:t xml:space="preserve"> 대용량 슬라이드 전체 타일 생성이나 AI 작업이 진행되는 동안 사용자가 보고 있는 영역의 표시가 늦어질 수 있다.</w:t>
      </w:r>
    </w:p>
    <w:p>
      <w:r>
        <w:rPr>
          <w:b/>
        </w:rPr>
        <w:t>초안의 제안:</w:t>
      </w:r>
      <w:r>
        <w:rPr>
          <w:b w:val="0"/>
        </w:rPr>
        <w:t xml:space="preserve"> 화면에 필요한 타일을 우선하고, 미생성 타일을 즉시 생성할지 대기열에 넣을지 부하에 따라 선택하며, 임시 영상을 표시하는 클라이언트 동작과 서버 생성을 연결한다.</w:t>
      </w:r>
    </w:p>
    <w:p>
      <w:r>
        <w:rPr>
          <w:b/>
        </w:rPr>
        <w:t>현재 확인한 구현:</w:t>
      </w:r>
      <w:r>
        <w:rPr>
          <w:b w:val="0"/>
        </w:rPr>
        <w:t xml:space="preserve"> 타일 뷰어의 상위·하위 타일 대체 표시, 화면 요청 처리, 서버 우선 생성 요청, 실행 수·대기열 기준 inline 생성 제한, 사용자 활동에 따른 백그라운드 처리 양보가 존재한다. 주요 근거는 C1~C3다.</w:t>
      </w:r>
    </w:p>
    <w:p>
      <w:r>
        <w:rPr>
          <w:b/>
        </w:rPr>
        <w:t>특허 초안과의 간격:</w:t>
      </w:r>
      <w:r>
        <w:rPr>
          <w:b w:val="0"/>
        </w:rPr>
        <w:t xml:space="preserve"> 초안에 제시된 가시 면적·거리·대기시간·공유 사용자 수의 가중 점수식이 그대로 구현되었다고 확인하지 못했다. 현재 뷰어 활동 신호는 프로세스 전역 시각이며 사용자별 공정성 보장 스케줄러와는 다르다. inline 생성 허용 판단도 현재 코드에서는 실행 수와 대기열 길이가 핵심이다.</w:t>
      </w:r>
    </w:p>
    <w:p>
      <w:r>
        <w:rPr>
          <w:b/>
        </w:rPr>
        <w:t>문서에 사용할 표현:</w:t>
      </w:r>
      <w:r>
        <w:rPr>
          <w:b w:val="0"/>
        </w:rPr>
        <w:t xml:space="preserve"> “화면 요청과 서버 생성 우선순위를 연결하여, 탐색 중 필요한 타일 처리를 우선하도록 설계했습니다.”</w:t>
      </w:r>
    </w:p>
    <w:p>
      <w:r>
        <w:rPr>
          <w:b/>
        </w:rPr>
        <w:t>다음에 입증할 효과:</w:t>
      </w:r>
      <w:r>
        <w:rPr>
          <w:b w:val="0"/>
        </w:rPr>
        <w:t xml:space="preserve"> 캐시가 없는 슬라이드에서 동시 사용자 수를 늘리며 첫 유효 화면 표시 시간과 화면 이동 후 목표 해상도 완성 시간을 측정한다. 타일링 단독·AI 병행 조건의 p50/p95와 백그라운드 작업 완료 지연을 함께 기록한다.</w:t>
      </w:r>
    </w:p>
    <w:p>
      <w:pPr>
        <w:pStyle w:val="Heading2"/>
      </w:pPr>
      <w:r>
        <w:rPr>
          <w:b w:val="0"/>
        </w:rPr>
        <w:t>② 대규모 병리 AI 정량 결과의 시각화</w:t>
      </w:r>
    </w:p>
    <w:p>
      <w:r>
        <w:rPr>
          <w:b/>
        </w:rPr>
        <w:t>해결하려는 문제:</w:t>
      </w:r>
      <w:r>
        <w:rPr>
          <w:b w:val="0"/>
        </w:rPr>
        <w:t xml:space="preserve"> 세포 결과를 모두 정밀 도형으로 그리면 확대·이동·필터 변경 중 화면 갱신 비용이 커진다.</w:t>
      </w:r>
    </w:p>
    <w:p>
      <w:r>
        <w:rPr>
          <w:b/>
        </w:rPr>
        <w:t>초안의 제안:</w:t>
      </w:r>
      <w:r>
        <w:rPr>
          <w:b w:val="0"/>
        </w:rPr>
        <w:t xml:space="preserve"> 원본 슬라이드 좌표로 정규화한 결과에 공간 인덱스를 구성하고, 화면·확대 수준·클래스·신뢰도 조건에 따라 필요한 표현만 그린다.</w:t>
      </w:r>
    </w:p>
    <w:p>
      <w:r>
        <w:rPr>
          <w:b/>
        </w:rPr>
        <w:t>현재 확인한 구현:</w:t>
      </w:r>
      <w:r>
        <w:rPr>
          <w:b w:val="0"/>
        </w:rPr>
        <w:t xml:space="preserve"> SpatialGrid 조회, 화면 범위 선별, 클래스·신뢰도 필터, 세밀한 세포 표시와 화면 해상도 기반 점 표시의 전환이 있다. </w:t>
      </w:r>
      <w:r>
        <w:rPr>
          <w:b w:val="0"/>
        </w:rPr>
        <w:t>_renderCells</w:t>
      </w:r>
      <w:r>
        <w:rPr>
          <w:b w:val="0"/>
        </w:rPr>
        <w:t>는 유효 MPP와 가시 세포 수를 사용한다. 히트맵 관련 표현도 별도 경로로 제공한다. 주요 근거는 C4다.</w:t>
      </w:r>
    </w:p>
    <w:p>
      <w:r>
        <w:rPr>
          <w:b/>
        </w:rPr>
        <w:t>특허 초안과의 간격:</w:t>
      </w:r>
      <w:r>
        <w:rPr>
          <w:b w:val="0"/>
        </w:rPr>
        <w:t xml:space="preserve"> 수백만 결과의 무지연 처리는 측정 결과가 아닌 목표다. 수정된 버킷만 갱신하는 최적화는 확인 범위에서 입증되지 않았고 전체 인덱스 재구성 경로가 존재한다. 공간 인덱스나 히트맵 자체의 독점성을 주장하지 않는다.</w:t>
      </w:r>
    </w:p>
    <w:p>
      <w:r>
        <w:rPr>
          <w:b/>
        </w:rPr>
        <w:t>문서에 사용할 표현:</w:t>
      </w:r>
      <w:r>
        <w:rPr>
          <w:b w:val="0"/>
        </w:rPr>
        <w:t xml:space="preserve"> “확대 수준과 화면 내 결과 수에 맞춰 표현을 조절하고, 원본 영상 위에서 정량 결과를 필터링하며 검토할 수 있습니다.”</w:t>
      </w:r>
    </w:p>
    <w:p>
      <w:r>
        <w:rPr>
          <w:b/>
        </w:rPr>
        <w:t>다음에 입증할 효과:</w:t>
      </w:r>
      <w:r>
        <w:rPr>
          <w:b w:val="0"/>
        </w:rPr>
        <w:t xml:space="preserve"> 같은 결과 집합에서 표시 정책 전환 전후의 프레임 시간, 필터 반영 시간, 메모리 사용량을 측정하고 세포 수·클래스·좌표의 보존 여부를 확인한다.</w:t>
      </w:r>
    </w:p>
    <w:p>
      <w:pPr>
        <w:pStyle w:val="Heading1"/>
        <w:pageBreakBefore/>
      </w:pPr>
      <w:r>
        <w:rPr>
          <w:b w:val="0"/>
        </w:rPr>
        <w:t>4. 특허 기술 후보 ③·④ — 가상염색 및 사람의 검수</w:t>
      </w:r>
    </w:p>
    <w:p>
      <w:pPr>
        <w:pStyle w:val="Heading2"/>
      </w:pPr>
      <w:r>
        <w:rPr>
          <w:b w:val="0"/>
        </w:rPr>
        <w:t>③ Virtual Stain 생성 및 WSI Overlay</w:t>
      </w:r>
    </w:p>
    <w:p>
      <w:r>
        <w:rPr>
          <w:b/>
        </w:rPr>
        <w:t>해결하려는 문제:</w:t>
      </w:r>
      <w:r>
        <w:rPr>
          <w:b w:val="0"/>
        </w:rPr>
        <w:t xml:space="preserve"> 패치 단위 생성 영상의 경계를 완화하고, 큰 생성 결과를 원본 위치와 비교 가능한 형태로 전달해야 한다.</w:t>
      </w:r>
    </w:p>
    <w:p>
      <w:r>
        <w:rPr>
          <w:b/>
        </w:rPr>
        <w:t>초안의 제안:</w:t>
      </w:r>
      <w:r>
        <w:rPr>
          <w:b w:val="0"/>
        </w:rPr>
        <w:t xml:space="preserve"> 패치 추론 → 겹침 가중 혼합 → 타일 피라미드 캐시 → 원본 좌표 정렬 → overlay/split view를 연결한다.</w:t>
      </w:r>
    </w:p>
    <w:p>
      <w:r>
        <w:rPr>
          <w:b/>
        </w:rPr>
        <w:t>현재 확인한 구현:</w:t>
      </w:r>
      <w:r>
        <w:rPr>
          <w:b w:val="0"/>
        </w:rPr>
        <w:t xml:space="preserve"> 타일 스트리머의 누적·정규화, 디스크 기반 피라미드 생성, MPP를 이용한 표시 연결, 투명도·분할 비교, 모델 파일 식별값을 사용한 캐시 검사가 있다. 주요 근거는 C5~C7이다.</w:t>
      </w:r>
    </w:p>
    <w:p>
      <w:r>
        <w:rPr>
          <w:b/>
        </w:rPr>
        <w:t>특허 초안과의 간격:</w:t>
      </w:r>
      <w:r>
        <w:rPr>
          <w:b w:val="0"/>
        </w:rPr>
        <w:t xml:space="preserve"> 현재 등록된 VS 종류는 membrane 한 개다. ROI는 표시용으로 유지하되 추론에는 </w:t>
      </w:r>
      <w:r>
        <w:rPr>
          <w:b w:val="0"/>
        </w:rPr>
        <w:t>roi_polygons=None</w:t>
      </w:r>
      <w:r>
        <w:rPr>
          <w:b w:val="0"/>
        </w:rPr>
        <w:t>을 전달하는 경로가 있으므로 ‘선택 영역만 추론하여 비용 절감’이라고 설명할 수 없다. 미처리 영역 표시와 임상적으로 검증된 불확실성 지도도 서로 다르다. 캐시는 전체 전처리·추론 환경까지 포괄하는 완전한 재현성 기록은 아니다.</w:t>
      </w:r>
    </w:p>
    <w:p>
      <w:r>
        <w:rPr>
          <w:b/>
        </w:rPr>
        <w:t>문서에 사용할 표현:</w:t>
      </w:r>
      <w:r>
        <w:rPr>
          <w:b w:val="0"/>
        </w:rPr>
        <w:t xml:space="preserve"> “가상염색 생성 결과를 타일 피라미드로 구성하고 원본 슬라이드와 정렬해 비교할 수 있습니다. 모델이 변경된 캐시는 재사용하지 않도록 검사합니다.”</w:t>
      </w:r>
    </w:p>
    <w:p>
      <w:r>
        <w:rPr>
          <w:b/>
        </w:rPr>
        <w:t>다음에 입증할 효과:</w:t>
      </w:r>
      <w:r>
        <w:rPr>
          <w:b w:val="0"/>
        </w:rPr>
        <w:t xml:space="preserve"> 경계 이음새, 원본 대비 좌표 오차, 피라미드 수준 전환 품질, 모델 변경 시 캐시 무효화, 같은 조건의 재사용 시간을 측정한다. 실제 IHC와의 일치도는 별도 데이터와 검증 설계가 필요하다.</w:t>
      </w:r>
    </w:p>
    <w:p>
      <w:pPr>
        <w:pStyle w:val="Heading2"/>
      </w:pPr>
      <w:r>
        <w:rPr>
          <w:b w:val="0"/>
        </w:rPr>
        <w:t>④ AI-assisted WSI Annotation Workflow</w:t>
      </w:r>
    </w:p>
    <w:p>
      <w:r>
        <w:rPr>
          <w:b/>
        </w:rPr>
        <w:t>해결하려는 문제:</w:t>
      </w:r>
      <w:r>
        <w:rPr>
          <w:b w:val="0"/>
        </w:rPr>
        <w:t xml:space="preserve"> 필요 영역 지정, 패치 라벨링, AI 보조 수정, 검수 상태가 분리되면 작업 누락이나 결과 추적의 어려움이 생긴다.</w:t>
      </w:r>
    </w:p>
    <w:p>
      <w:r>
        <w:rPr>
          <w:b/>
        </w:rPr>
        <w:t>초안의 제안:</w:t>
      </w:r>
      <w:r>
        <w:rPr>
          <w:b w:val="0"/>
        </w:rPr>
        <w:t xml:space="preserve"> WSI·패치·세포 좌표와 작업 상태를 연결하고 AI 결과에 대한 사람의 수정·검수를 이후 작업에 반영한다.</w:t>
      </w:r>
    </w:p>
    <w:p>
      <w:r>
        <w:rPr>
          <w:b/>
        </w:rPr>
        <w:t>현재 확인한 구현:</w:t>
      </w:r>
      <w:r>
        <w:rPr>
          <w:b w:val="0"/>
        </w:rPr>
        <w:t xml:space="preserve"> 필요 영역과 패치 작업, 주석·검수·종결 상태 필드, 역할에 따른 편집 제한, 세포 주석 저장·내보내기 경로가 있다. 정량 결과는 AI 원본과 사용자별 수정 데이터를 분리한다. 조직 주석 저장에는 버전 비교를 통한 충돌 검사가 있다. 주요 근거는 C8~C10이다.</w:t>
      </w:r>
    </w:p>
    <w:p>
      <w:r>
        <w:rPr>
          <w:b/>
        </w:rPr>
        <w:t>특허 초안과의 간격:</w:t>
      </w:r>
      <w:r>
        <w:rPr>
          <w:b w:val="0"/>
        </w:rPr>
        <w:t xml:space="preserve"> 세포별 수정 전후 이벤트의 완전한 이력, 차이 점수에 따른 자동 재검수 큐, 학습용 원본·수정 쌍의 표준 데이터셋, 자동 재학습·배포까지 이어지는 루프는 구현 완료로 확인하지 않았다. 조직 주석의 저장 충돌 검사를 모든 Cell 작업에 일반화할 수 없다.</w:t>
      </w:r>
    </w:p>
    <w:p>
      <w:r>
        <w:rPr>
          <w:b/>
        </w:rPr>
        <w:t>문서에 사용할 표현:</w:t>
      </w:r>
      <w:r>
        <w:rPr>
          <w:b w:val="0"/>
        </w:rPr>
        <w:t xml:space="preserve"> “AI 보조 주석과 사람의 편집을 패치 단위 작업·검수 상태에 연결하고, 정량 AI 결과와 사용자 수정 결과를 구분해 보관합니다.”</w:t>
      </w:r>
    </w:p>
    <w:p>
      <w:r>
        <w:rPr>
          <w:b/>
        </w:rPr>
        <w:t>다음에 입증할 효과:</w:t>
      </w:r>
      <w:r>
        <w:rPr>
          <w:b w:val="0"/>
        </w:rPr>
        <w:t xml:space="preserve"> 패치 좌표 왕복 정확성, 검수 반려 후 재작업, 저장·재열람·내보내기 일치, 역할 제한과 동시 편집 충돌 처리, 수작업 대비 소요시간을 확인한다.</w:t>
      </w:r>
    </w:p>
    <w:p>
      <w:pPr>
        <w:pStyle w:val="Heading1"/>
        <w:pageBreakBefore/>
      </w:pPr>
      <w:r>
        <w:rPr>
          <w:b w:val="0"/>
        </w:rPr>
        <w:t>5. 도입 가치와 현재 구현의 경계</w:t>
      </w:r>
    </w:p>
    <w:tbl>
      <w:tblPr>
        <w:tblStyle w:val="TableGrid"/>
        <w:tblW w:type="auto" w:w="0"/>
        <w:jc w:val="center"/>
        <w:tblLayout w:type="fixed"/>
        <w:tblLook w:firstColumn="1" w:firstRow="1" w:lastColumn="0" w:lastRow="0" w:noHBand="0" w:noVBand="1" w:val="04A0"/>
      </w:tblPr>
      <w:tblGrid>
        <w:gridCol w:w="1814"/>
        <w:gridCol w:w="4082"/>
        <w:gridCol w:w="4082"/>
      </w:tblGrid>
      <w:tr>
        <w:trPr>
          <w:cantSplit/>
          <w:tblHeader/>
        </w:trPr>
        <w:tc>
          <w:tcPr>
            <w:tcW w:type="dxa" w:w="1814"/>
            <w:vAlign w:val="top"/>
            <w:shd w:fill="E8E7F2"/>
          </w:tcPr>
          <w:p>
            <w:pPr>
              <w:spacing w:after="80" w:before="60" w:line="252" w:lineRule="auto"/>
            </w:pPr>
            <w:r>
              <w:rPr>
                <w:b/>
                <w:sz w:val="16"/>
              </w:rPr>
              <w:t>도입 검토 관점</w:t>
            </w:r>
          </w:p>
        </w:tc>
        <w:tc>
          <w:tcPr>
            <w:tcW w:type="dxa" w:w="4082"/>
            <w:vAlign w:val="top"/>
            <w:shd w:fill="E8E7F2"/>
          </w:tcPr>
          <w:p>
            <w:pPr>
              <w:spacing w:after="80" w:before="60" w:line="252" w:lineRule="auto"/>
            </w:pPr>
            <w:r>
              <w:rPr>
                <w:b/>
                <w:sz w:val="16"/>
              </w:rPr>
              <w:t>현재 설명할 수 있는 내용</w:t>
            </w:r>
          </w:p>
        </w:tc>
        <w:tc>
          <w:tcPr>
            <w:tcW w:type="dxa" w:w="4082"/>
            <w:vAlign w:val="top"/>
            <w:shd w:fill="E8E7F2"/>
          </w:tcPr>
          <w:p>
            <w:pPr>
              <w:spacing w:after="80" w:before="60" w:line="252" w:lineRule="auto"/>
            </w:pPr>
            <w:r>
              <w:rPr>
                <w:b/>
                <w:sz w:val="16"/>
              </w:rPr>
              <w:t>추가 확인 또는 보완</w:t>
            </w:r>
          </w:p>
        </w:tc>
      </w:tr>
      <w:tr>
        <w:trPr>
          <w:cantSplit/>
        </w:trPr>
        <w:tc>
          <w:tcPr>
            <w:tcW w:type="dxa" w:w="1814"/>
            <w:vAlign w:val="top"/>
          </w:tcPr>
          <w:p>
            <w:pPr>
              <w:spacing w:after="80" w:before="60" w:line="252" w:lineRule="auto"/>
            </w:pPr>
            <w:r>
              <w:rPr>
                <w:b w:val="0"/>
                <w:sz w:val="16"/>
              </w:rPr>
              <w:t>기관별 업무 적용</w:t>
            </w:r>
          </w:p>
        </w:tc>
        <w:tc>
          <w:tcPr>
            <w:tcW w:type="dxa" w:w="4082"/>
            <w:vAlign w:val="top"/>
          </w:tcPr>
          <w:p>
            <w:pPr>
              <w:spacing w:after="80" w:before="60" w:line="252" w:lineRule="auto"/>
            </w:pPr>
            <w:r>
              <w:rPr>
                <w:b w:val="0"/>
                <w:sz w:val="16"/>
              </w:rPr>
              <w:t>웹 화면과 자체 서버 파이프라인을 함께 수정할 수 있는 프로젝트 구조다. 영역·패치·검수 단계의 구체적인 업무 조정이 가능하다.</w:t>
            </w:r>
          </w:p>
        </w:tc>
        <w:tc>
          <w:tcPr>
            <w:tcW w:type="dxa" w:w="4082"/>
            <w:vAlign w:val="top"/>
          </w:tcPr>
          <w:p>
            <w:pPr>
              <w:spacing w:after="80" w:before="60" w:line="252" w:lineRule="auto"/>
            </w:pPr>
            <w:r>
              <w:rPr>
                <w:b w:val="0"/>
                <w:sz w:val="16"/>
              </w:rPr>
              <w:t>실제 설정만으로 가능한 범위와 개발이 필요한 범위를 구분하고 유지보수 책임·비용을 산정해야 한다.</w:t>
            </w:r>
          </w:p>
        </w:tc>
      </w:tr>
      <w:tr>
        <w:trPr>
          <w:cantSplit/>
        </w:trPr>
        <w:tc>
          <w:tcPr>
            <w:tcW w:type="dxa" w:w="1814"/>
            <w:vAlign w:val="top"/>
          </w:tcPr>
          <w:p>
            <w:pPr>
              <w:spacing w:after="80" w:before="60" w:line="252" w:lineRule="auto"/>
            </w:pPr>
            <w:r>
              <w:rPr>
                <w:b w:val="0"/>
                <w:sz w:val="16"/>
              </w:rPr>
              <w:t>데이터 관리</w:t>
            </w:r>
          </w:p>
        </w:tc>
        <w:tc>
          <w:tcPr>
            <w:tcW w:type="dxa" w:w="4082"/>
            <w:vAlign w:val="top"/>
          </w:tcPr>
          <w:p>
            <w:pPr>
              <w:spacing w:after="80" w:before="60" w:line="252" w:lineRule="auto"/>
            </w:pPr>
            <w:r>
              <w:rPr>
                <w:b w:val="0"/>
                <w:sz w:val="16"/>
              </w:rPr>
              <w:t>원본, 타일, AI 결과 및 주석을 기관 서버 중심으로 운영할 수 있는 구조다.</w:t>
            </w:r>
          </w:p>
        </w:tc>
        <w:tc>
          <w:tcPr>
            <w:tcW w:type="dxa" w:w="4082"/>
            <w:vAlign w:val="top"/>
          </w:tcPr>
          <w:p>
            <w:pPr>
              <w:spacing w:after="80" w:before="60" w:line="252" w:lineRule="auto"/>
            </w:pPr>
            <w:r>
              <w:rPr>
                <w:b w:val="0"/>
                <w:sz w:val="16"/>
              </w:rPr>
              <w:t>로컬 보관이 ‘외부 통신 없음’을 뜻하지 않는다. 공개 IP 위치 조회 등 외부 호출 경로를 배포 환경에서 점검해야 한다.</w:t>
            </w:r>
          </w:p>
        </w:tc>
      </w:tr>
      <w:tr>
        <w:trPr>
          <w:cantSplit/>
        </w:trPr>
        <w:tc>
          <w:tcPr>
            <w:tcW w:type="dxa" w:w="1814"/>
            <w:vAlign w:val="top"/>
          </w:tcPr>
          <w:p>
            <w:pPr>
              <w:spacing w:after="80" w:before="60" w:line="252" w:lineRule="auto"/>
            </w:pPr>
            <w:r>
              <w:rPr>
                <w:b w:val="0"/>
                <w:sz w:val="16"/>
              </w:rPr>
              <w:t>접근·수정 관리</w:t>
            </w:r>
          </w:p>
        </w:tc>
        <w:tc>
          <w:tcPr>
            <w:tcW w:type="dxa" w:w="4082"/>
            <w:vAlign w:val="top"/>
          </w:tcPr>
          <w:p>
            <w:pPr>
              <w:spacing w:after="80" w:before="60" w:line="252" w:lineRule="auto"/>
            </w:pPr>
            <w:r>
              <w:rPr>
                <w:b w:val="0"/>
                <w:sz w:val="16"/>
              </w:rPr>
              <w:t>계정·역할 관리, 감사 로그, 원본 AI 결과와 사용자 수정의 분리, 일부 주석의 저장 충돌 검사가 있다.</w:t>
            </w:r>
          </w:p>
        </w:tc>
        <w:tc>
          <w:tcPr>
            <w:tcW w:type="dxa" w:w="4082"/>
            <w:vAlign w:val="top"/>
          </w:tcPr>
          <w:p>
            <w:pPr>
              <w:spacing w:after="80" w:before="60" w:line="252" w:lineRule="auto"/>
            </w:pPr>
            <w:r>
              <w:rPr>
                <w:b w:val="0"/>
                <w:sz w:val="16"/>
              </w:rPr>
              <w:t>보안 인증·규정 준수의 증명은 아니다. 모든 편집 경로에서 동일 수준의 이력·충돌 처리가 제공되는지도 별도 확인한다.</w:t>
            </w:r>
          </w:p>
        </w:tc>
      </w:tr>
      <w:tr>
        <w:trPr>
          <w:cantSplit/>
        </w:trPr>
        <w:tc>
          <w:tcPr>
            <w:tcW w:type="dxa" w:w="1814"/>
            <w:vAlign w:val="top"/>
          </w:tcPr>
          <w:p>
            <w:pPr>
              <w:spacing w:after="80" w:before="60" w:line="252" w:lineRule="auto"/>
            </w:pPr>
            <w:r>
              <w:rPr>
                <w:b w:val="0"/>
                <w:sz w:val="16"/>
              </w:rPr>
              <w:t>물리 면적 주석</w:t>
            </w:r>
          </w:p>
        </w:tc>
        <w:tc>
          <w:tcPr>
            <w:tcW w:type="dxa" w:w="4082"/>
            <w:vAlign w:val="top"/>
          </w:tcPr>
          <w:p>
            <w:pPr>
              <w:spacing w:after="80" w:before="60" w:line="252" w:lineRule="auto"/>
            </w:pPr>
            <w:r>
              <w:rPr>
                <w:b w:val="0"/>
                <w:sz w:val="16"/>
              </w:rPr>
              <w:t>v3.1.0의 비 Cell 뷰어는 기본 2 mm², 1·2·4·8 mm² 도형과 화면·목록 면적 표시를 제공한다.</w:t>
            </w:r>
          </w:p>
        </w:tc>
        <w:tc>
          <w:tcPr>
            <w:tcW w:type="dxa" w:w="4082"/>
            <w:vAlign w:val="top"/>
          </w:tcPr>
          <w:p>
            <w:pPr>
              <w:spacing w:after="80" w:before="60" w:line="252" w:lineRule="auto"/>
            </w:pPr>
            <w:r>
              <w:rPr>
                <w:b w:val="0"/>
                <w:sz w:val="16"/>
              </w:rPr>
              <w:t>면적 환산은 슬라이드 MPP 품질에 의존한다. 자체적으로 강한 독점 기술이라기보다 검토 절차를 일관되게 하는 사용성 기능이다.</w:t>
            </w:r>
          </w:p>
        </w:tc>
      </w:tr>
      <w:tr>
        <w:trPr>
          <w:cantSplit/>
        </w:trPr>
        <w:tc>
          <w:tcPr>
            <w:tcW w:type="dxa" w:w="1814"/>
            <w:vAlign w:val="top"/>
          </w:tcPr>
          <w:p>
            <w:pPr>
              <w:spacing w:after="80" w:before="60" w:line="252" w:lineRule="auto"/>
            </w:pPr>
            <w:r>
              <w:rPr>
                <w:b w:val="0"/>
                <w:sz w:val="16"/>
              </w:rPr>
              <w:t>재사용과 추적</w:t>
            </w:r>
          </w:p>
        </w:tc>
        <w:tc>
          <w:tcPr>
            <w:tcW w:type="dxa" w:w="4082"/>
            <w:vAlign w:val="top"/>
          </w:tcPr>
          <w:p>
            <w:pPr>
              <w:spacing w:after="80" w:before="60" w:line="252" w:lineRule="auto"/>
            </w:pPr>
            <w:r>
              <w:rPr>
                <w:b w:val="0"/>
                <w:sz w:val="16"/>
              </w:rPr>
              <w:t>VS 모델 파일 식별값과 캐시 메타데이터로 모델 불일치를 감지한다.</w:t>
            </w:r>
          </w:p>
        </w:tc>
        <w:tc>
          <w:tcPr>
            <w:tcW w:type="dxa" w:w="4082"/>
            <w:vAlign w:val="top"/>
          </w:tcPr>
          <w:p>
            <w:pPr>
              <w:spacing w:after="80" w:before="60" w:line="252" w:lineRule="auto"/>
            </w:pPr>
            <w:r>
              <w:rPr>
                <w:b w:val="0"/>
                <w:sz w:val="16"/>
              </w:rPr>
              <w:t>구형 캐시는 재생성이 필요할 수 있다. 모델·전처리·설정·데이터 버전을 묶은 실행 명세는 추가 보완 대상이다.</w:t>
            </w:r>
          </w:p>
        </w:tc>
      </w:tr>
      <w:tr>
        <w:trPr>
          <w:cantSplit/>
        </w:trPr>
        <w:tc>
          <w:tcPr>
            <w:tcW w:type="dxa" w:w="1814"/>
            <w:vAlign w:val="top"/>
          </w:tcPr>
          <w:p>
            <w:pPr>
              <w:spacing w:after="80" w:before="60" w:line="252" w:lineRule="auto"/>
            </w:pPr>
            <w:r>
              <w:rPr>
                <w:b w:val="0"/>
                <w:sz w:val="16"/>
              </w:rPr>
              <w:t>운영 규모</w:t>
            </w:r>
          </w:p>
        </w:tc>
        <w:tc>
          <w:tcPr>
            <w:tcW w:type="dxa" w:w="4082"/>
            <w:vAlign w:val="top"/>
          </w:tcPr>
          <w:p>
            <w:pPr>
              <w:spacing w:after="80" w:before="60" w:line="252" w:lineRule="auto"/>
            </w:pPr>
            <w:r>
              <w:rPr>
                <w:b w:val="0"/>
                <w:sz w:val="16"/>
              </w:rPr>
              <w:t>작업 풀 분리와 사용자 활동 기반 양보 로직으로 단일 서버 자원을 조정한다.</w:t>
            </w:r>
          </w:p>
        </w:tc>
        <w:tc>
          <w:tcPr>
            <w:tcW w:type="dxa" w:w="4082"/>
            <w:vAlign w:val="top"/>
          </w:tcPr>
          <w:p>
            <w:pPr>
              <w:spacing w:after="80" w:before="60" w:line="252" w:lineRule="auto"/>
            </w:pPr>
            <w:r>
              <w:rPr>
                <w:b w:val="0"/>
                <w:sz w:val="16"/>
              </w:rPr>
              <w:t>프로세스 내부 상태에 의존하는 작업 관리가 있어 다중 서버·다중 프로세스 확장과 장애 복구를 자동 보장하지 않는다.</w:t>
            </w:r>
          </w:p>
        </w:tc>
      </w:tr>
    </w:tbl>
    <w:p>
      <w:pPr>
        <w:spacing w:after="0"/>
      </w:pPr>
    </w:p>
    <w:p>
      <w:r>
        <w:rPr>
          <w:b/>
        </w:rPr>
        <w:t>먼저 검증할 적합 고객:</w:t>
      </w:r>
      <w:r>
        <w:rPr>
          <w:b w:val="0"/>
        </w:rPr>
        <w:t xml:space="preserve"> 기관 내 병리 AI 연구팀, 정량 결과 검토와 라벨링을 함께 수행하는 팀, 자체 모델과 업무 절차를 조정해야 하는 공동연구 프로젝트. 이는 구현 특성에 근거한 고객 가설이며 실제 수요 검증 결과는 아니다.</w:t>
      </w:r>
    </w:p>
    <w:p>
      <w:r>
        <w:rPr>
          <w:b/>
        </w:rPr>
        <w:t>별도 요구 분석이 필요한 도입:</w:t>
      </w:r>
      <w:r>
        <w:rPr>
          <w:b w:val="0"/>
        </w:rPr>
        <w:t xml:space="preserve"> 진단용 전면 운영, 다기관 대규모 서비스, 범용 노코드 모델 학습이 핵심인 환경, 다중 표지 분석이 중심인 연구실. 이 경우 인증 범위, 임상 검증, 시스템 연동, 운영 성능 또는 모델 개발 기능이 구매 판단의 우선 조건이 될 수 있다.</w:t>
      </w:r>
    </w:p>
    <w:p>
      <w:r>
        <w:rPr>
          <w:b/>
        </w:rPr>
        <w:t>피해야 할 비교:</w:t>
      </w:r>
      <w:r>
        <w:rPr>
          <w:b w:val="0"/>
        </w:rPr>
        <w:t xml:space="preserve"> 타사보다 저렴함·빠름·정확함, 모든 슬라이드 형식 호환, 무제한 동시접속, 가상염색의 실제 검사 대체, 완전 자동 재학습. 현재 자료만으로는 이를 입증할 수 없다.</w:t>
      </w:r>
    </w:p>
    <w:p>
      <w:pPr>
        <w:pStyle w:val="Heading1"/>
        <w:pageBreakBefore/>
      </w:pPr>
      <w:r>
        <w:rPr>
          <w:b w:val="0"/>
        </w:rPr>
        <w:t>6. 차별성을 입증할 시연과 평가 계획</w:t>
      </w:r>
    </w:p>
    <w:p>
      <w:r>
        <w:rPr>
          <w:b w:val="0"/>
        </w:rPr>
        <w:t>제안 단계에서는 기능 목록보다 한 슬라이드의 작업 흐름을 보여주는 것이 효과적이다. 아래 순서는 제안한 시연 계획이며 실제 수행 결과가 아니다.</w:t>
      </w:r>
    </w:p>
    <w:tbl>
      <w:tblPr>
        <w:tblStyle w:val="TableGrid"/>
        <w:tblW w:type="auto" w:w="0"/>
        <w:jc w:val="center"/>
        <w:tblLayout w:type="fixed"/>
        <w:tblLook w:firstColumn="1" w:firstRow="1" w:lastColumn="0" w:lastRow="0" w:noHBand="0" w:noVBand="1" w:val="04A0"/>
      </w:tblPr>
      <w:tblGrid>
        <w:gridCol w:w="1814"/>
        <w:gridCol w:w="4082"/>
        <w:gridCol w:w="4082"/>
      </w:tblGrid>
      <w:tr>
        <w:trPr>
          <w:cantSplit/>
          <w:tblHeader/>
        </w:trPr>
        <w:tc>
          <w:tcPr>
            <w:tcW w:type="dxa" w:w="1814"/>
            <w:vAlign w:val="top"/>
            <w:shd w:fill="E8E7F2"/>
          </w:tcPr>
          <w:p>
            <w:pPr>
              <w:spacing w:after="80" w:before="60" w:line="252" w:lineRule="auto"/>
            </w:pPr>
            <w:r>
              <w:rPr>
                <w:b/>
                <w:sz w:val="16"/>
              </w:rPr>
              <w:t>단계</w:t>
            </w:r>
          </w:p>
        </w:tc>
        <w:tc>
          <w:tcPr>
            <w:tcW w:type="dxa" w:w="4082"/>
            <w:vAlign w:val="top"/>
            <w:shd w:fill="E8E7F2"/>
          </w:tcPr>
          <w:p>
            <w:pPr>
              <w:spacing w:after="80" w:before="60" w:line="252" w:lineRule="auto"/>
            </w:pPr>
            <w:r>
              <w:rPr>
                <w:b/>
                <w:sz w:val="16"/>
              </w:rPr>
              <w:t>시연할 사용자 행동</w:t>
            </w:r>
          </w:p>
        </w:tc>
        <w:tc>
          <w:tcPr>
            <w:tcW w:type="dxa" w:w="4082"/>
            <w:vAlign w:val="top"/>
            <w:shd w:fill="E8E7F2"/>
          </w:tcPr>
          <w:p>
            <w:pPr>
              <w:spacing w:after="80" w:before="60" w:line="252" w:lineRule="auto"/>
            </w:pPr>
            <w:r>
              <w:rPr>
                <w:b/>
                <w:sz w:val="16"/>
              </w:rPr>
              <w:t>확인할 차별화 근거</w:t>
            </w:r>
          </w:p>
        </w:tc>
      </w:tr>
      <w:tr>
        <w:trPr>
          <w:cantSplit/>
        </w:trPr>
        <w:tc>
          <w:tcPr>
            <w:tcW w:type="dxa" w:w="1814"/>
            <w:vAlign w:val="top"/>
          </w:tcPr>
          <w:p>
            <w:pPr>
              <w:spacing w:after="80" w:before="60" w:line="252" w:lineRule="auto"/>
            </w:pPr>
            <w:r>
              <w:rPr>
                <w:b w:val="0"/>
                <w:sz w:val="16"/>
              </w:rPr>
              <w:t>1. 슬라이드 탐색</w:t>
            </w:r>
          </w:p>
        </w:tc>
        <w:tc>
          <w:tcPr>
            <w:tcW w:type="dxa" w:w="4082"/>
            <w:vAlign w:val="top"/>
          </w:tcPr>
          <w:p>
            <w:pPr>
              <w:spacing w:after="80" w:before="60" w:line="252" w:lineRule="auto"/>
            </w:pPr>
            <w:r>
              <w:rPr>
                <w:b w:val="0"/>
                <w:sz w:val="16"/>
              </w:rPr>
              <w:t>아직 타일이 충분하지 않은 슬라이드에서 확대·이동한다.</w:t>
            </w:r>
          </w:p>
        </w:tc>
        <w:tc>
          <w:tcPr>
            <w:tcW w:type="dxa" w:w="4082"/>
            <w:vAlign w:val="top"/>
          </w:tcPr>
          <w:p>
            <w:pPr>
              <w:spacing w:after="80" w:before="60" w:line="252" w:lineRule="auto"/>
            </w:pPr>
            <w:r>
              <w:rPr>
                <w:b w:val="0"/>
                <w:sz w:val="16"/>
              </w:rPr>
              <w:t>임시 영상과 목표 해상도 전환, 화면 요청 우선 처리</w:t>
            </w:r>
          </w:p>
        </w:tc>
      </w:tr>
      <w:tr>
        <w:trPr>
          <w:cantSplit/>
        </w:trPr>
        <w:tc>
          <w:tcPr>
            <w:tcW w:type="dxa" w:w="1814"/>
            <w:vAlign w:val="top"/>
          </w:tcPr>
          <w:p>
            <w:pPr>
              <w:spacing w:after="80" w:before="60" w:line="252" w:lineRule="auto"/>
            </w:pPr>
            <w:r>
              <w:rPr>
                <w:b w:val="0"/>
                <w:sz w:val="16"/>
              </w:rPr>
              <w:t>2. 정량 AI 검토</w:t>
            </w:r>
          </w:p>
        </w:tc>
        <w:tc>
          <w:tcPr>
            <w:tcW w:type="dxa" w:w="4082"/>
            <w:vAlign w:val="top"/>
          </w:tcPr>
          <w:p>
            <w:pPr>
              <w:spacing w:after="80" w:before="60" w:line="252" w:lineRule="auto"/>
            </w:pPr>
            <w:r>
              <w:rPr>
                <w:b w:val="0"/>
                <w:sz w:val="16"/>
              </w:rPr>
              <w:t>같은 위치에서 세포 결과를 보고 클래스·신뢰도 조건을 변경한다.</w:t>
            </w:r>
          </w:p>
        </w:tc>
        <w:tc>
          <w:tcPr>
            <w:tcW w:type="dxa" w:w="4082"/>
            <w:vAlign w:val="top"/>
          </w:tcPr>
          <w:p>
            <w:pPr>
              <w:spacing w:after="80" w:before="60" w:line="252" w:lineRule="auto"/>
            </w:pPr>
            <w:r>
              <w:rPr>
                <w:b w:val="0"/>
                <w:sz w:val="16"/>
              </w:rPr>
              <w:t>좌표 정렬, 대량 결과의 표시 정책 전환, 검토 대상 필터</w:t>
            </w:r>
          </w:p>
        </w:tc>
      </w:tr>
      <w:tr>
        <w:trPr>
          <w:cantSplit/>
        </w:trPr>
        <w:tc>
          <w:tcPr>
            <w:tcW w:type="dxa" w:w="1814"/>
            <w:vAlign w:val="top"/>
          </w:tcPr>
          <w:p>
            <w:pPr>
              <w:spacing w:after="80" w:before="60" w:line="252" w:lineRule="auto"/>
            </w:pPr>
            <w:r>
              <w:rPr>
                <w:b w:val="0"/>
                <w:sz w:val="16"/>
              </w:rPr>
              <w:t>3. 가상염색 비교</w:t>
            </w:r>
          </w:p>
        </w:tc>
        <w:tc>
          <w:tcPr>
            <w:tcW w:type="dxa" w:w="4082"/>
            <w:vAlign w:val="top"/>
          </w:tcPr>
          <w:p>
            <w:pPr>
              <w:spacing w:after="80" w:before="60" w:line="252" w:lineRule="auto"/>
            </w:pPr>
            <w:r>
              <w:rPr>
                <w:b w:val="0"/>
                <w:sz w:val="16"/>
              </w:rPr>
              <w:t>VS 결과를 켜고 투명도 및 분할 위치를 바꾼다.</w:t>
            </w:r>
          </w:p>
        </w:tc>
        <w:tc>
          <w:tcPr>
            <w:tcW w:type="dxa" w:w="4082"/>
            <w:vAlign w:val="top"/>
          </w:tcPr>
          <w:p>
            <w:pPr>
              <w:spacing w:after="80" w:before="60" w:line="252" w:lineRule="auto"/>
            </w:pPr>
            <w:r>
              <w:rPr>
                <w:b w:val="0"/>
                <w:sz w:val="16"/>
              </w:rPr>
              <w:t>원본 위치와의 일치, 경계 품질, 비교 조작의 연속성</w:t>
            </w:r>
          </w:p>
        </w:tc>
      </w:tr>
      <w:tr>
        <w:trPr>
          <w:cantSplit/>
        </w:trPr>
        <w:tc>
          <w:tcPr>
            <w:tcW w:type="dxa" w:w="1814"/>
            <w:vAlign w:val="top"/>
          </w:tcPr>
          <w:p>
            <w:pPr>
              <w:spacing w:after="80" w:before="60" w:line="252" w:lineRule="auto"/>
            </w:pPr>
            <w:r>
              <w:rPr>
                <w:b w:val="0"/>
                <w:sz w:val="16"/>
              </w:rPr>
              <w:t>4. 조직 주석</w:t>
            </w:r>
          </w:p>
        </w:tc>
        <w:tc>
          <w:tcPr>
            <w:tcW w:type="dxa" w:w="4082"/>
            <w:vAlign w:val="top"/>
          </w:tcPr>
          <w:p>
            <w:pPr>
              <w:spacing w:after="80" w:before="60" w:line="252" w:lineRule="auto"/>
            </w:pPr>
            <w:r>
              <w:rPr>
                <w:b w:val="0"/>
                <w:sz w:val="16"/>
              </w:rPr>
              <w:t>비 Cell 뷰어에서 2 mm² 도형을 만들고 1·4·8 mm² 선택을 보여준다.</w:t>
            </w:r>
          </w:p>
        </w:tc>
        <w:tc>
          <w:tcPr>
            <w:tcW w:type="dxa" w:w="4082"/>
            <w:vAlign w:val="top"/>
          </w:tcPr>
          <w:p>
            <w:pPr>
              <w:spacing w:after="80" w:before="60" w:line="252" w:lineRule="auto"/>
            </w:pPr>
            <w:r>
              <w:rPr>
                <w:b w:val="0"/>
                <w:sz w:val="16"/>
              </w:rPr>
              <w:t>화면 및 목록의 물리 면적 표시, 재열람 시 유지</w:t>
            </w:r>
          </w:p>
        </w:tc>
      </w:tr>
      <w:tr>
        <w:trPr>
          <w:cantSplit/>
        </w:trPr>
        <w:tc>
          <w:tcPr>
            <w:tcW w:type="dxa" w:w="1814"/>
            <w:vAlign w:val="top"/>
          </w:tcPr>
          <w:p>
            <w:pPr>
              <w:spacing w:after="80" w:before="60" w:line="252" w:lineRule="auto"/>
            </w:pPr>
            <w:r>
              <w:rPr>
                <w:b w:val="0"/>
                <w:sz w:val="16"/>
              </w:rPr>
              <w:t>5. 패치 작업·검수</w:t>
            </w:r>
          </w:p>
        </w:tc>
        <w:tc>
          <w:tcPr>
            <w:tcW w:type="dxa" w:w="4082"/>
            <w:vAlign w:val="top"/>
          </w:tcPr>
          <w:p>
            <w:pPr>
              <w:spacing w:after="80" w:before="60" w:line="252" w:lineRule="auto"/>
            </w:pPr>
            <w:r>
              <w:rPr>
                <w:b w:val="0"/>
                <w:sz w:val="16"/>
              </w:rPr>
              <w:t>Cell 작업에서 필요 영역·패치를 선택하고 주석 후 검수·반려·재작업한다.</w:t>
            </w:r>
          </w:p>
        </w:tc>
        <w:tc>
          <w:tcPr>
            <w:tcW w:type="dxa" w:w="4082"/>
            <w:vAlign w:val="top"/>
          </w:tcPr>
          <w:p>
            <w:pPr>
              <w:spacing w:after="80" w:before="60" w:line="252" w:lineRule="auto"/>
            </w:pPr>
            <w:r>
              <w:rPr>
                <w:b w:val="0"/>
                <w:sz w:val="16"/>
              </w:rPr>
              <w:t>좌표와 상태의 연결, 허용된 역할·상태에서만 편집</w:t>
            </w:r>
          </w:p>
        </w:tc>
      </w:tr>
      <w:tr>
        <w:trPr>
          <w:cantSplit/>
        </w:trPr>
        <w:tc>
          <w:tcPr>
            <w:tcW w:type="dxa" w:w="1814"/>
            <w:vAlign w:val="top"/>
          </w:tcPr>
          <w:p>
            <w:pPr>
              <w:spacing w:after="80" w:before="60" w:line="252" w:lineRule="auto"/>
            </w:pPr>
            <w:r>
              <w:rPr>
                <w:b w:val="0"/>
                <w:sz w:val="16"/>
              </w:rPr>
              <w:t>6. 결과 확인</w:t>
            </w:r>
          </w:p>
        </w:tc>
        <w:tc>
          <w:tcPr>
            <w:tcW w:type="dxa" w:w="4082"/>
            <w:vAlign w:val="top"/>
          </w:tcPr>
          <w:p>
            <w:pPr>
              <w:spacing w:after="80" w:before="60" w:line="252" w:lineRule="auto"/>
            </w:pPr>
            <w:r>
              <w:rPr>
                <w:b w:val="0"/>
                <w:sz w:val="16"/>
              </w:rPr>
              <w:t>사용자 수정 결과와 주석을 저장·재열람하고 내보내기를 확인한다.</w:t>
            </w:r>
          </w:p>
        </w:tc>
        <w:tc>
          <w:tcPr>
            <w:tcW w:type="dxa" w:w="4082"/>
            <w:vAlign w:val="top"/>
          </w:tcPr>
          <w:p>
            <w:pPr>
              <w:spacing w:after="80" w:before="60" w:line="252" w:lineRule="auto"/>
            </w:pPr>
            <w:r>
              <w:rPr>
                <w:b w:val="0"/>
                <w:sz w:val="16"/>
              </w:rPr>
              <w:t>AI 원본 보존, 사용자 수정 구분, 저장 데이터 일치</w:t>
            </w:r>
          </w:p>
        </w:tc>
      </w:tr>
    </w:tbl>
    <w:p>
      <w:pPr>
        <w:spacing w:after="0"/>
      </w:pPr>
    </w:p>
    <w:p>
      <w:r>
        <w:rPr>
          <w:b w:val="0"/>
        </w:rPr>
        <w:t>시연 화면에 사용할 슬라이드·결과·사용자 정보는 공개 가능한 자료로 구성한다. 이 문서에는 환자 영상이나 비공개 모델 파일을 포함하지 않았다.</w:t>
      </w:r>
    </w:p>
    <w:p>
      <w:r>
        <w:rPr>
          <w:b/>
        </w:rPr>
        <w:t>성능 평가 조건:</w:t>
      </w:r>
      <w:r>
        <w:rPr>
          <w:b w:val="0"/>
        </w:rPr>
        <w:t xml:space="preserve"> 동일 서버·GPU·저장장치·네트워크·브라우저·WSI·모델을 사용한다. 캐시 없음/있음을 나누고 타일 생성과 AI 추론 병행 여부를 기록한다. 동시 사용자 수 1·4·8은 초기 시험 조건의 예시이지 지원 규모의 약속이 아니다. 각 조건을 반복하고 중앙값과 p95, 오류율을 보고한다.</w:t>
      </w:r>
    </w:p>
    <w:p>
      <w:r>
        <w:rPr>
          <w:b/>
        </w:rPr>
        <w:t>업무 효율 평가:</w:t>
      </w:r>
      <w:r>
        <w:rPr>
          <w:b w:val="0"/>
        </w:rPr>
        <w:t xml:space="preserve"> 같은 과제를 수행하는 수작업과 AI 보조 작업을 비교한다. 검수 완료 시간, 수정 셀 수, 재작업률, 검수자 간 일치도를 기록하며 슬라이드 난이도와 순서 효과를 통제한다. 임상 정확도 비교와 소프트웨어 작업시간 비교는 별도 평가로 관리한다.</w:t>
      </w:r>
    </w:p>
    <w:p>
      <w:r>
        <w:rPr>
          <w:b/>
        </w:rPr>
        <w:t>기존 프로젝트 측정의 사용 범위:</w:t>
      </w:r>
      <w:r>
        <w:rPr>
          <w:b w:val="0"/>
        </w:rPr>
        <w:t xml:space="preserve"> 저장소의 개선 보고서에는 합성 문서 1,500건 환경에서 조회 50건의 처리시간 241.77→2.32 ms, 프로젝트 집계 240.76→53.71 ms가 기재되어 있다. 이는 해당 내부 쿼리의 변경 전후 측정값이며 본 문서 작성 중 재측정하지 않았다. 뷰어 체감 속도·추론 속도·타사 대비 성능으로 인용하면 안 된다. 근거: </w:t>
      </w:r>
      <w:r>
        <w:rPr>
          <w:b w:val="0"/>
        </w:rPr>
        <w:t>reports/improvements_2026-09-14.md</w:t>
      </w:r>
      <w:r>
        <w:rPr>
          <w:b w:val="0"/>
        </w:rPr>
        <w:t>.</w:t>
      </w:r>
    </w:p>
    <w:p>
      <w:pPr>
        <w:pStyle w:val="Heading1"/>
        <w:pageBreakBefore/>
      </w:pPr>
      <w:r>
        <w:rPr>
          <w:b w:val="0"/>
        </w:rPr>
        <w:t>7. 구현 근거와 추적표</w:t>
      </w:r>
    </w:p>
    <w:p>
      <w:r>
        <w:rPr>
          <w:b w:val="0"/>
        </w:rPr>
        <w:t>아래 경로·행 번호는 Git 4c98bf6 기준이다. ‘구현 확인’은 관련 코드 경로가 있음을 의미하며 이번 문서 작업에서 실제 GPU 추론·병원 운영 환경을 재검증했다는 의미는 아니다.</w:t>
      </w:r>
    </w:p>
    <w:tbl>
      <w:tblPr>
        <w:tblStyle w:val="TableGrid"/>
        <w:tblW w:type="auto" w:w="0"/>
        <w:jc w:val="center"/>
        <w:tblLayout w:type="fixed"/>
        <w:tblLook w:firstColumn="1" w:firstRow="1" w:lastColumn="0" w:lastRow="0" w:noHBand="0" w:noVBand="1" w:val="04A0"/>
      </w:tblPr>
      <w:tblGrid>
        <w:gridCol w:w="1814"/>
        <w:gridCol w:w="4082"/>
        <w:gridCol w:w="4082"/>
      </w:tblGrid>
      <w:tr>
        <w:trPr>
          <w:cantSplit/>
          <w:tblHeader/>
        </w:trPr>
        <w:tc>
          <w:tcPr>
            <w:tcW w:type="dxa" w:w="1814"/>
            <w:vAlign w:val="top"/>
            <w:shd w:fill="E8E7F2"/>
          </w:tcPr>
          <w:p>
            <w:pPr>
              <w:spacing w:after="80" w:before="60" w:line="252" w:lineRule="auto"/>
            </w:pPr>
            <w:r>
              <w:rPr>
                <w:b/>
                <w:sz w:val="16"/>
              </w:rPr>
              <w:t>코드 근거</w:t>
            </w:r>
          </w:p>
        </w:tc>
        <w:tc>
          <w:tcPr>
            <w:tcW w:type="dxa" w:w="4082"/>
            <w:vAlign w:val="top"/>
            <w:shd w:fill="E8E7F2"/>
          </w:tcPr>
          <w:p>
            <w:pPr>
              <w:spacing w:after="80" w:before="60" w:line="252" w:lineRule="auto"/>
            </w:pPr>
            <w:r>
              <w:rPr>
                <w:b/>
                <w:sz w:val="16"/>
              </w:rPr>
              <w:t>위치</w:t>
            </w:r>
          </w:p>
        </w:tc>
        <w:tc>
          <w:tcPr>
            <w:tcW w:type="dxa" w:w="4082"/>
            <w:vAlign w:val="top"/>
            <w:shd w:fill="E8E7F2"/>
          </w:tcPr>
          <w:p>
            <w:pPr>
              <w:spacing w:after="80" w:before="60" w:line="252" w:lineRule="auto"/>
            </w:pPr>
            <w:r>
              <w:rPr>
                <w:b/>
                <w:sz w:val="16"/>
              </w:rPr>
              <w:t>확인한 내용</w:t>
            </w:r>
          </w:p>
        </w:tc>
      </w:tr>
      <w:tr>
        <w:trPr>
          <w:cantSplit/>
        </w:trPr>
        <w:tc>
          <w:tcPr>
            <w:tcW w:type="dxa" w:w="1814"/>
            <w:vAlign w:val="top"/>
          </w:tcPr>
          <w:p>
            <w:pPr>
              <w:spacing w:after="80" w:before="60" w:line="252" w:lineRule="auto"/>
            </w:pPr>
            <w:r>
              <w:rPr>
                <w:b w:val="0"/>
                <w:sz w:val="16"/>
              </w:rPr>
              <w:t>C1</w:t>
            </w:r>
          </w:p>
        </w:tc>
        <w:tc>
          <w:tcPr>
            <w:tcW w:type="dxa" w:w="4082"/>
            <w:vAlign w:val="top"/>
          </w:tcPr>
          <w:p>
            <w:pPr>
              <w:spacing w:after="80" w:before="60" w:line="252" w:lineRule="auto"/>
            </w:pPr>
            <w:r>
              <w:rPr>
                <w:b w:val="0"/>
                <w:sz w:val="16"/>
              </w:rPr>
              <w:t>frontend/js/tile-viewer.js:1383</w:t>
            </w:r>
          </w:p>
        </w:tc>
        <w:tc>
          <w:tcPr>
            <w:tcW w:type="dxa" w:w="4082"/>
            <w:vAlign w:val="top"/>
          </w:tcPr>
          <w:p>
            <w:pPr>
              <w:spacing w:after="80" w:before="60" w:line="252" w:lineRule="auto"/>
            </w:pPr>
            <w:r>
              <w:rPr>
                <w:b w:val="0"/>
                <w:sz w:val="16"/>
              </w:rPr>
              <w:t>타일 대체 표시 및 현재 화면 관련 타일 처리</w:t>
            </w:r>
          </w:p>
        </w:tc>
      </w:tr>
      <w:tr>
        <w:trPr>
          <w:cantSplit/>
        </w:trPr>
        <w:tc>
          <w:tcPr>
            <w:tcW w:type="dxa" w:w="1814"/>
            <w:vAlign w:val="top"/>
          </w:tcPr>
          <w:p>
            <w:pPr>
              <w:spacing w:after="80" w:before="60" w:line="252" w:lineRule="auto"/>
            </w:pPr>
            <w:r>
              <w:rPr>
                <w:b w:val="0"/>
                <w:sz w:val="16"/>
              </w:rPr>
              <w:t>C2</w:t>
            </w:r>
          </w:p>
        </w:tc>
        <w:tc>
          <w:tcPr>
            <w:tcW w:type="dxa" w:w="4082"/>
            <w:vAlign w:val="top"/>
          </w:tcPr>
          <w:p>
            <w:pPr>
              <w:spacing w:after="80" w:before="60" w:line="252" w:lineRule="auto"/>
            </w:pPr>
            <w:r>
              <w:rPr>
                <w:b w:val="0"/>
                <w:sz w:val="16"/>
              </w:rPr>
              <w:t>backend/app/routers/tiles.py:143</w:t>
            </w:r>
          </w:p>
        </w:tc>
        <w:tc>
          <w:tcPr>
            <w:tcW w:type="dxa" w:w="4082"/>
            <w:vAlign w:val="top"/>
          </w:tcPr>
          <w:p>
            <w:pPr>
              <w:spacing w:after="80" w:before="60" w:line="252" w:lineRule="auto"/>
            </w:pPr>
            <w:r>
              <w:rPr>
                <w:b w:val="0"/>
                <w:sz w:val="16"/>
              </w:rPr>
              <w:t>실행 중 작업 수·대기열 기반 inline 생성 허용 판단</w:t>
            </w:r>
          </w:p>
        </w:tc>
      </w:tr>
      <w:tr>
        <w:trPr>
          <w:cantSplit/>
        </w:trPr>
        <w:tc>
          <w:tcPr>
            <w:tcW w:type="dxa" w:w="1814"/>
            <w:vAlign w:val="top"/>
          </w:tcPr>
          <w:p>
            <w:pPr>
              <w:spacing w:after="80" w:before="60" w:line="252" w:lineRule="auto"/>
            </w:pPr>
            <w:r>
              <w:rPr>
                <w:b w:val="0"/>
                <w:sz w:val="16"/>
              </w:rPr>
              <w:t>C3</w:t>
            </w:r>
          </w:p>
        </w:tc>
        <w:tc>
          <w:tcPr>
            <w:tcW w:type="dxa" w:w="4082"/>
            <w:vAlign w:val="top"/>
          </w:tcPr>
          <w:p>
            <w:pPr>
              <w:spacing w:after="80" w:before="60" w:line="252" w:lineRule="auto"/>
            </w:pPr>
            <w:r>
              <w:rPr>
                <w:b w:val="0"/>
                <w:sz w:val="16"/>
              </w:rPr>
              <w:t>backend/app/tile_generator.py:767</w:t>
            </w:r>
            <w:r>
              <w:rPr>
                <w:b w:val="0"/>
                <w:sz w:val="16"/>
              </w:rPr>
              <w:t xml:space="preserve">; </w:t>
            </w:r>
            <w:r>
              <w:rPr>
                <w:b w:val="0"/>
                <w:sz w:val="16"/>
              </w:rPr>
              <w:t>backend/app/priority.py:18</w:t>
            </w:r>
            <w:r>
              <w:rPr>
                <w:b w:val="0"/>
                <w:sz w:val="16"/>
              </w:rPr>
              <w:t xml:space="preserve">; </w:t>
            </w:r>
            <w:r>
              <w:rPr>
                <w:b w:val="0"/>
                <w:sz w:val="16"/>
              </w:rPr>
              <w:t>backend/app/auto_ai.py:107</w:t>
            </w:r>
          </w:p>
        </w:tc>
        <w:tc>
          <w:tcPr>
            <w:tcW w:type="dxa" w:w="4082"/>
            <w:vAlign w:val="top"/>
          </w:tcPr>
          <w:p>
            <w:pPr>
              <w:spacing w:after="80" w:before="60" w:line="252" w:lineRule="auto"/>
            </w:pPr>
            <w:r>
              <w:rPr>
                <w:b w:val="0"/>
                <w:sz w:val="16"/>
              </w:rPr>
              <w:t>타일 우선 요청, 뷰어 활동 신호 및 idle 판단</w:t>
            </w:r>
          </w:p>
        </w:tc>
      </w:tr>
      <w:tr>
        <w:trPr>
          <w:cantSplit/>
        </w:trPr>
        <w:tc>
          <w:tcPr>
            <w:tcW w:type="dxa" w:w="1814"/>
            <w:vAlign w:val="top"/>
          </w:tcPr>
          <w:p>
            <w:pPr>
              <w:spacing w:after="80" w:before="60" w:line="252" w:lineRule="auto"/>
            </w:pPr>
            <w:r>
              <w:rPr>
                <w:b w:val="0"/>
                <w:sz w:val="16"/>
              </w:rPr>
              <w:t>C4</w:t>
            </w:r>
          </w:p>
        </w:tc>
        <w:tc>
          <w:tcPr>
            <w:tcW w:type="dxa" w:w="4082"/>
            <w:vAlign w:val="top"/>
          </w:tcPr>
          <w:p>
            <w:pPr>
              <w:spacing w:after="80" w:before="60" w:line="252" w:lineRule="auto"/>
            </w:pPr>
            <w:r>
              <w:rPr>
                <w:b w:val="0"/>
                <w:sz w:val="16"/>
              </w:rPr>
              <w:t>frontend/js/tile-viewer.js:47</w:t>
            </w:r>
            <w:r>
              <w:rPr>
                <w:b w:val="0"/>
                <w:sz w:val="16"/>
              </w:rPr>
              <w:t xml:space="preserve">; </w:t>
            </w:r>
            <w:r>
              <w:rPr>
                <w:b w:val="0"/>
                <w:sz w:val="16"/>
              </w:rPr>
              <w:t>frontend/js/tile-viewer.js:3533</w:t>
            </w:r>
          </w:p>
        </w:tc>
        <w:tc>
          <w:tcPr>
            <w:tcW w:type="dxa" w:w="4082"/>
            <w:vAlign w:val="top"/>
          </w:tcPr>
          <w:p>
            <w:pPr>
              <w:spacing w:after="80" w:before="60" w:line="252" w:lineRule="auto"/>
            </w:pPr>
            <w:r>
              <w:rPr>
                <w:b w:val="0"/>
                <w:sz w:val="16"/>
              </w:rPr>
              <w:t>공간 격자, MPP·가시 개수에 따른 세포 표시 전환</w:t>
            </w:r>
          </w:p>
        </w:tc>
      </w:tr>
      <w:tr>
        <w:trPr>
          <w:cantSplit/>
        </w:trPr>
        <w:tc>
          <w:tcPr>
            <w:tcW w:type="dxa" w:w="1814"/>
            <w:vAlign w:val="top"/>
          </w:tcPr>
          <w:p>
            <w:pPr>
              <w:spacing w:after="80" w:before="60" w:line="252" w:lineRule="auto"/>
            </w:pPr>
            <w:r>
              <w:rPr>
                <w:b w:val="0"/>
                <w:sz w:val="16"/>
              </w:rPr>
              <w:t>C5</w:t>
            </w:r>
          </w:p>
        </w:tc>
        <w:tc>
          <w:tcPr>
            <w:tcW w:type="dxa" w:w="4082"/>
            <w:vAlign w:val="top"/>
          </w:tcPr>
          <w:p>
            <w:pPr>
              <w:spacing w:after="80" w:before="60" w:line="252" w:lineRule="auto"/>
            </w:pPr>
            <w:r>
              <w:rPr>
                <w:b w:val="0"/>
                <w:sz w:val="16"/>
              </w:rPr>
              <w:t>backend/app/ai_pipelines/virtual_stain.py:61</w:t>
            </w:r>
            <w:r>
              <w:rPr>
                <w:b w:val="0"/>
                <w:sz w:val="16"/>
              </w:rPr>
              <w:t xml:space="preserve">; </w:t>
            </w:r>
            <w:r>
              <w:rPr>
                <w:b w:val="0"/>
                <w:sz w:val="16"/>
              </w:rPr>
              <w:t>:193</w:t>
            </w:r>
            <w:r>
              <w:rPr>
                <w:b w:val="0"/>
                <w:sz w:val="16"/>
              </w:rPr>
              <w:t xml:space="preserve">; </w:t>
            </w:r>
            <w:r>
              <w:rPr>
                <w:b w:val="0"/>
                <w:sz w:val="16"/>
              </w:rPr>
              <w:t>:377</w:t>
            </w:r>
          </w:p>
        </w:tc>
        <w:tc>
          <w:tcPr>
            <w:tcW w:type="dxa" w:w="4082"/>
            <w:vAlign w:val="top"/>
          </w:tcPr>
          <w:p>
            <w:pPr>
              <w:spacing w:after="80" w:before="60" w:line="252" w:lineRule="auto"/>
            </w:pPr>
            <w:r>
              <w:rPr>
                <w:b w:val="0"/>
                <w:sz w:val="16"/>
              </w:rPr>
              <w:t>타일 스트리밍, 피라미드 생성, 표시 ROI와 추론 ROI 구분</w:t>
            </w:r>
          </w:p>
        </w:tc>
      </w:tr>
      <w:tr>
        <w:trPr>
          <w:cantSplit/>
        </w:trPr>
        <w:tc>
          <w:tcPr>
            <w:tcW w:type="dxa" w:w="1814"/>
            <w:vAlign w:val="top"/>
          </w:tcPr>
          <w:p>
            <w:pPr>
              <w:spacing w:after="80" w:before="60" w:line="252" w:lineRule="auto"/>
            </w:pPr>
            <w:r>
              <w:rPr>
                <w:b w:val="0"/>
                <w:sz w:val="16"/>
              </w:rPr>
              <w:t>C6</w:t>
            </w:r>
          </w:p>
        </w:tc>
        <w:tc>
          <w:tcPr>
            <w:tcW w:type="dxa" w:w="4082"/>
            <w:vAlign w:val="top"/>
          </w:tcPr>
          <w:p>
            <w:pPr>
              <w:spacing w:after="80" w:before="60" w:line="252" w:lineRule="auto"/>
            </w:pPr>
            <w:r>
              <w:rPr>
                <w:b w:val="0"/>
                <w:sz w:val="16"/>
              </w:rPr>
              <w:t>backend/app/ai_pipelines/virtual_stain.py:398</w:t>
            </w:r>
            <w:r>
              <w:rPr>
                <w:b w:val="0"/>
                <w:sz w:val="16"/>
              </w:rPr>
              <w:t xml:space="preserve">; </w:t>
            </w:r>
            <w:r>
              <w:rPr>
                <w:b w:val="0"/>
                <w:sz w:val="16"/>
              </w:rPr>
              <w:t>backend/app/ai_pipelines/model_identity.py:17</w:t>
            </w:r>
          </w:p>
        </w:tc>
        <w:tc>
          <w:tcPr>
            <w:tcW w:type="dxa" w:w="4082"/>
            <w:vAlign w:val="top"/>
          </w:tcPr>
          <w:p>
            <w:pPr>
              <w:spacing w:after="80" w:before="60" w:line="252" w:lineRule="auto"/>
            </w:pPr>
            <w:r>
              <w:rPr>
                <w:b w:val="0"/>
                <w:sz w:val="16"/>
              </w:rPr>
              <w:t>VS 캐시 모델 식별값 검사 및 SHA-256 기반 식별</w:t>
            </w:r>
          </w:p>
        </w:tc>
      </w:tr>
      <w:tr>
        <w:trPr>
          <w:cantSplit/>
        </w:trPr>
        <w:tc>
          <w:tcPr>
            <w:tcW w:type="dxa" w:w="1814"/>
            <w:vAlign w:val="top"/>
          </w:tcPr>
          <w:p>
            <w:pPr>
              <w:spacing w:after="80" w:before="60" w:line="252" w:lineRule="auto"/>
            </w:pPr>
            <w:r>
              <w:rPr>
                <w:b w:val="0"/>
                <w:sz w:val="16"/>
              </w:rPr>
              <w:t>C7</w:t>
            </w:r>
          </w:p>
        </w:tc>
        <w:tc>
          <w:tcPr>
            <w:tcW w:type="dxa" w:w="4082"/>
            <w:vAlign w:val="top"/>
          </w:tcPr>
          <w:p>
            <w:pPr>
              <w:spacing w:after="80" w:before="60" w:line="252" w:lineRule="auto"/>
            </w:pPr>
            <w:r>
              <w:rPr>
                <w:b w:val="0"/>
                <w:sz w:val="16"/>
              </w:rPr>
              <w:t>frontend/js/tile-viewer.js:1854</w:t>
            </w:r>
            <w:r>
              <w:rPr>
                <w:b w:val="0"/>
                <w:sz w:val="16"/>
              </w:rPr>
              <w:t xml:space="preserve">; </w:t>
            </w:r>
            <w:r>
              <w:rPr>
                <w:b w:val="0"/>
                <w:sz w:val="16"/>
              </w:rPr>
              <w:t>:2997</w:t>
            </w:r>
          </w:p>
        </w:tc>
        <w:tc>
          <w:tcPr>
            <w:tcW w:type="dxa" w:w="4082"/>
            <w:vAlign w:val="top"/>
          </w:tcPr>
          <w:p>
            <w:pPr>
              <w:spacing w:after="80" w:before="60" w:line="252" w:lineRule="auto"/>
            </w:pPr>
            <w:r>
              <w:rPr>
                <w:b w:val="0"/>
                <w:sz w:val="16"/>
              </w:rPr>
              <w:t>분할 비교 표시 및 VS 메타데이터 설정</w:t>
            </w:r>
          </w:p>
        </w:tc>
      </w:tr>
      <w:tr>
        <w:trPr>
          <w:cantSplit/>
        </w:trPr>
        <w:tc>
          <w:tcPr>
            <w:tcW w:type="dxa" w:w="1814"/>
            <w:vAlign w:val="top"/>
          </w:tcPr>
          <w:p>
            <w:pPr>
              <w:spacing w:after="80" w:before="60" w:line="252" w:lineRule="auto"/>
            </w:pPr>
            <w:r>
              <w:rPr>
                <w:b w:val="0"/>
                <w:sz w:val="16"/>
              </w:rPr>
              <w:t>C8</w:t>
            </w:r>
          </w:p>
        </w:tc>
        <w:tc>
          <w:tcPr>
            <w:tcW w:type="dxa" w:w="4082"/>
            <w:vAlign w:val="top"/>
          </w:tcPr>
          <w:p>
            <w:pPr>
              <w:spacing w:after="80" w:before="60" w:line="252" w:lineRule="auto"/>
            </w:pPr>
            <w:r>
              <w:rPr>
                <w:b w:val="0"/>
                <w:sz w:val="16"/>
              </w:rPr>
              <w:t>backend/app/routers/cell_annotation.py:304</w:t>
            </w:r>
            <w:r>
              <w:rPr>
                <w:b w:val="0"/>
                <w:sz w:val="16"/>
              </w:rPr>
              <w:t xml:space="preserve">; </w:t>
            </w:r>
            <w:r>
              <w:rPr>
                <w:b w:val="0"/>
                <w:sz w:val="16"/>
              </w:rPr>
              <w:t>:1814</w:t>
            </w:r>
            <w:r>
              <w:rPr>
                <w:b w:val="0"/>
                <w:sz w:val="16"/>
              </w:rPr>
              <w:t xml:space="preserve">; </w:t>
            </w:r>
            <w:r>
              <w:rPr>
                <w:b w:val="0"/>
                <w:sz w:val="16"/>
              </w:rPr>
              <w:t>:1889</w:t>
            </w:r>
          </w:p>
        </w:tc>
        <w:tc>
          <w:tcPr>
            <w:tcW w:type="dxa" w:w="4082"/>
            <w:vAlign w:val="top"/>
          </w:tcPr>
          <w:p>
            <w:pPr>
              <w:spacing w:after="80" w:before="60" w:line="252" w:lineRule="auto"/>
            </w:pPr>
            <w:r>
              <w:rPr>
                <w:b w:val="0"/>
                <w:sz w:val="16"/>
              </w:rPr>
              <w:t>주석·검수 상태, 세포 주석 저장, 편집 가능 상태 제한</w:t>
            </w:r>
          </w:p>
        </w:tc>
      </w:tr>
      <w:tr>
        <w:trPr>
          <w:cantSplit/>
        </w:trPr>
        <w:tc>
          <w:tcPr>
            <w:tcW w:type="dxa" w:w="1814"/>
            <w:vAlign w:val="top"/>
          </w:tcPr>
          <w:p>
            <w:pPr>
              <w:spacing w:after="80" w:before="60" w:line="252" w:lineRule="auto"/>
            </w:pPr>
            <w:r>
              <w:rPr>
                <w:b w:val="0"/>
                <w:sz w:val="16"/>
              </w:rPr>
              <w:t>C9</w:t>
            </w:r>
          </w:p>
        </w:tc>
        <w:tc>
          <w:tcPr>
            <w:tcW w:type="dxa" w:w="4082"/>
            <w:vAlign w:val="top"/>
          </w:tcPr>
          <w:p>
            <w:pPr>
              <w:spacing w:after="80" w:before="60" w:line="252" w:lineRule="auto"/>
            </w:pPr>
            <w:r>
              <w:rPr>
                <w:b w:val="0"/>
                <w:sz w:val="16"/>
              </w:rPr>
              <w:t>backend/app/routers/ai_user_edits.py:46</w:t>
            </w:r>
          </w:p>
        </w:tc>
        <w:tc>
          <w:tcPr>
            <w:tcW w:type="dxa" w:w="4082"/>
            <w:vAlign w:val="top"/>
          </w:tcPr>
          <w:p>
            <w:pPr>
              <w:spacing w:after="80" w:before="60" w:line="252" w:lineRule="auto"/>
            </w:pPr>
            <w:r>
              <w:rPr>
                <w:b w:val="0"/>
                <w:sz w:val="16"/>
              </w:rPr>
              <w:t>사용자·모드·슬라이드·variant별 수정 저장 경로</w:t>
            </w:r>
          </w:p>
        </w:tc>
      </w:tr>
      <w:tr>
        <w:trPr>
          <w:cantSplit/>
        </w:trPr>
        <w:tc>
          <w:tcPr>
            <w:tcW w:type="dxa" w:w="1814"/>
            <w:vAlign w:val="top"/>
          </w:tcPr>
          <w:p>
            <w:pPr>
              <w:spacing w:after="80" w:before="60" w:line="252" w:lineRule="auto"/>
            </w:pPr>
            <w:r>
              <w:rPr>
                <w:b w:val="0"/>
                <w:sz w:val="16"/>
              </w:rPr>
              <w:t>C10</w:t>
            </w:r>
          </w:p>
        </w:tc>
        <w:tc>
          <w:tcPr>
            <w:tcW w:type="dxa" w:w="4082"/>
            <w:vAlign w:val="top"/>
          </w:tcPr>
          <w:p>
            <w:pPr>
              <w:spacing w:after="80" w:before="60" w:line="252" w:lineRule="auto"/>
            </w:pPr>
            <w:r>
              <w:rPr>
                <w:b w:val="0"/>
                <w:sz w:val="16"/>
              </w:rPr>
              <w:t>backend/app/annotation_files.py:25</w:t>
            </w:r>
            <w:r>
              <w:rPr>
                <w:b w:val="0"/>
                <w:sz w:val="16"/>
              </w:rPr>
              <w:t xml:space="preserve">; </w:t>
            </w:r>
            <w:r>
              <w:rPr>
                <w:b w:val="0"/>
                <w:sz w:val="16"/>
              </w:rPr>
              <w:t>backend/app/routers/annotation_storage.py:151</w:t>
            </w:r>
          </w:p>
        </w:tc>
        <w:tc>
          <w:tcPr>
            <w:tcW w:type="dxa" w:w="4082"/>
            <w:vAlign w:val="top"/>
          </w:tcPr>
          <w:p>
            <w:pPr>
              <w:spacing w:after="80" w:before="60" w:line="252" w:lineRule="auto"/>
            </w:pPr>
            <w:r>
              <w:rPr>
                <w:b w:val="0"/>
                <w:sz w:val="16"/>
              </w:rPr>
              <w:t>저장 버전 비교 및 If-Match 요구</w:t>
            </w:r>
          </w:p>
        </w:tc>
      </w:tr>
      <w:tr>
        <w:trPr>
          <w:cantSplit/>
        </w:trPr>
        <w:tc>
          <w:tcPr>
            <w:tcW w:type="dxa" w:w="1814"/>
            <w:vAlign w:val="top"/>
          </w:tcPr>
          <w:p>
            <w:pPr>
              <w:spacing w:after="80" w:before="60" w:line="252" w:lineRule="auto"/>
            </w:pPr>
            <w:r>
              <w:rPr>
                <w:b w:val="0"/>
                <w:sz w:val="16"/>
              </w:rPr>
              <w:t>C11</w:t>
            </w:r>
          </w:p>
        </w:tc>
        <w:tc>
          <w:tcPr>
            <w:tcW w:type="dxa" w:w="4082"/>
            <w:vAlign w:val="top"/>
          </w:tcPr>
          <w:p>
            <w:pPr>
              <w:spacing w:after="80" w:before="60" w:line="252" w:lineRule="auto"/>
            </w:pPr>
            <w:r>
              <w:rPr>
                <w:b w:val="0"/>
                <w:sz w:val="16"/>
              </w:rPr>
              <w:t>frontend/js/annotation-area.js:9</w:t>
            </w:r>
            <w:r>
              <w:rPr>
                <w:b w:val="0"/>
                <w:sz w:val="16"/>
              </w:rPr>
              <w:t xml:space="preserve">; </w:t>
            </w:r>
            <w:r>
              <w:rPr>
                <w:b w:val="0"/>
                <w:sz w:val="16"/>
              </w:rPr>
              <w:t>:38</w:t>
            </w:r>
            <w:r>
              <w:rPr>
                <w:b w:val="0"/>
                <w:sz w:val="16"/>
              </w:rPr>
              <w:t xml:space="preserve">; </w:t>
            </w:r>
            <w:r>
              <w:rPr>
                <w:b w:val="0"/>
                <w:sz w:val="16"/>
              </w:rPr>
              <w:t>version.json</w:t>
            </w:r>
          </w:p>
        </w:tc>
        <w:tc>
          <w:tcPr>
            <w:tcW w:type="dxa" w:w="4082"/>
            <w:vAlign w:val="top"/>
          </w:tcPr>
          <w:p>
            <w:pPr>
              <w:spacing w:after="80" w:before="60" w:line="252" w:lineRule="auto"/>
            </w:pPr>
            <w:r>
              <w:rPr>
                <w:b w:val="0"/>
                <w:sz w:val="16"/>
              </w:rPr>
              <w:t>고정 물리 면적 좌표, 면적 환산, v3.1.0 기준</w:t>
            </w:r>
          </w:p>
        </w:tc>
      </w:tr>
    </w:tbl>
    <w:p>
      <w:pPr>
        <w:spacing w:after="0"/>
      </w:pPr>
    </w:p>
    <w:p>
      <w:r>
        <w:rPr>
          <w:b/>
        </w:rPr>
        <w:t>특허 초안의 원문 경로</w:t>
      </w:r>
    </w:p>
    <w:p>
      <w:pPr>
        <w:pStyle w:val="ListBullet"/>
      </w:pPr>
      <w:r>
        <w:rPr>
          <w:b w:val="0"/>
        </w:rPr>
        <w:t xml:space="preserve">요약: </w:t>
      </w:r>
      <w:r>
        <w:rPr>
          <w:b w:val="0"/>
        </w:rPr>
        <w:t>patent/patent_candidates.md</w:t>
      </w:r>
      <w:r>
        <w:rPr>
          <w:b w:val="0"/>
        </w:rPr>
        <w:t xml:space="preserve">, </w:t>
      </w:r>
      <w:r>
        <w:rPr>
          <w:b w:val="0"/>
        </w:rPr>
        <w:t>patent/docx_src/00_patent_candidates_summary.html</w:t>
      </w:r>
    </w:p>
    <w:p>
      <w:pPr>
        <w:pStyle w:val="ListBullet"/>
      </w:pPr>
      <w:r>
        <w:rPr>
          <w:b w:val="0"/>
        </w:rPr>
        <w:t xml:space="preserve">후보 ①: </w:t>
      </w:r>
      <w:r>
        <w:rPr>
          <w:b w:val="0"/>
        </w:rPr>
        <w:t>patent/docx_src/01_wsi_viewer_adaptive_tile_streaming.html</w:t>
      </w:r>
    </w:p>
    <w:p>
      <w:pPr>
        <w:pStyle w:val="ListBullet"/>
      </w:pPr>
      <w:r>
        <w:rPr>
          <w:b w:val="0"/>
        </w:rPr>
        <w:t xml:space="preserve">후보 ②: </w:t>
      </w:r>
      <w:r>
        <w:rPr>
          <w:b w:val="0"/>
        </w:rPr>
        <w:t>patent/docx_src/02_quantitative_ai_result_visualization.html</w:t>
      </w:r>
    </w:p>
    <w:p>
      <w:pPr>
        <w:pStyle w:val="ListBullet"/>
      </w:pPr>
      <w:r>
        <w:rPr>
          <w:b w:val="0"/>
        </w:rPr>
        <w:t xml:space="preserve">후보 ③: </w:t>
      </w:r>
      <w:r>
        <w:rPr>
          <w:b w:val="0"/>
        </w:rPr>
        <w:t>patent/docx_src/03_virtual_stain_overlay_method.html</w:t>
      </w:r>
    </w:p>
    <w:p>
      <w:pPr>
        <w:pStyle w:val="ListBullet"/>
      </w:pPr>
      <w:r>
        <w:rPr>
          <w:b w:val="0"/>
        </w:rPr>
        <w:t xml:space="preserve">후보 ④: </w:t>
      </w:r>
      <w:r>
        <w:rPr>
          <w:b w:val="0"/>
        </w:rPr>
        <w:t>patent/docx_src/04_ai_assisted_wsi_annotation_workflow.html</w:t>
      </w:r>
    </w:p>
    <w:p>
      <w:pPr>
        <w:pStyle w:val="ListBullet"/>
      </w:pPr>
      <w:r>
        <w:rPr>
          <w:b w:val="0"/>
        </w:rPr>
        <w:t xml:space="preserve">Word 원문: </w:t>
      </w:r>
      <w:r>
        <w:rPr>
          <w:b w:val="0"/>
        </w:rPr>
        <w:t>patent/docx/</w:t>
      </w:r>
      <w:r>
        <w:rPr>
          <w:b w:val="0"/>
        </w:rPr>
        <w:t xml:space="preserve">; PDF 원문: </w:t>
      </w:r>
      <w:r>
        <w:rPr>
          <w:b w:val="0"/>
        </w:rPr>
        <w:t>docs/Mediauto AI 플랫폼 주요 기술 특허관련자료/</w:t>
      </w:r>
    </w:p>
    <w:p>
      <w:r>
        <w:rPr>
          <w:b w:val="0"/>
        </w:rPr>
        <w:t>초안 일부의 MeDICus Studio SaaS 명칭은 본 문서에서 현재 프로젝트의 MeDIAuto Studio로 통일했다. 초안에 쓰인 기대효과·예시 알고리즘을 모두 현재 구현 사실로 옮기지 않았다. 공식 출원서·등록공보가 확보되면 기술 후보 번호를 실제 청구항과 다시 연결해야 한다.</w:t>
      </w:r>
    </w:p>
    <w:p>
      <w:pPr>
        <w:pStyle w:val="Heading1"/>
        <w:pageBreakBefore/>
      </w:pPr>
      <w:r>
        <w:rPr>
          <w:b w:val="0"/>
        </w:rPr>
        <w:t>8. 외부 근거와 대외 설명 가이드</w:t>
      </w:r>
    </w:p>
    <w:p>
      <w:r>
        <w:rPr>
          <w:b w:val="0"/>
        </w:rPr>
        <w:t>아래 공식 자료를 2026-09-14에 확인했다. 경쟁사 기능은 기본 제품·별도 모듈·배포 구성에 따라 달라질 수 있다. 표의 비교 해석과 MeDIAuto의 제안 방향은 이 자료와 자체 코드에 근거한 작성자의 분석이다.</w:t>
      </w:r>
    </w:p>
    <w:p>
      <w:pPr>
        <w:pStyle w:val="ListBullet"/>
      </w:pPr>
      <w:hyperlink r:id="rId11">
        <w:r>
          <w:rPr>
            <w:color w:val="266A88"/>
            <w:u w:val="single"/>
          </w:rPr>
          <w:t>H1 · Indica Labs — HALO AI</w:t>
        </w:r>
      </w:hyperlink>
      <w:r>
        <w:rPr>
          <w:b w:val="0"/>
        </w:rPr>
        <w:t>: 학습·검증, 확률 표시, ONNX, 공동 데이터 작업.</w:t>
      </w:r>
    </w:p>
    <w:p>
      <w:pPr>
        <w:pStyle w:val="ListBullet"/>
      </w:pPr>
      <w:hyperlink r:id="rId12">
        <w:r>
          <w:rPr>
            <w:color w:val="266A88"/>
            <w:u w:val="single"/>
          </w:rPr>
          <w:t>H2 · Indica Labs — HALO Link</w:t>
        </w:r>
      </w:hyperlink>
      <w:r>
        <w:rPr>
          <w:b w:val="0"/>
        </w:rPr>
        <w:t>: 이미지 관리·공유·분석과 클라우드 운영 옵션.</w:t>
      </w:r>
    </w:p>
    <w:p>
      <w:pPr>
        <w:pStyle w:val="ListBullet"/>
      </w:pPr>
      <w:hyperlink r:id="rId13">
        <w:r>
          <w:rPr>
            <w:color w:val="266A88"/>
            <w:u w:val="single"/>
          </w:rPr>
          <w:t>A1 · Aiforia Create</w:t>
        </w:r>
      </w:hyperlink>
      <w:r>
        <w:rPr>
          <w:b w:val="0"/>
        </w:rPr>
        <w:t>: 클라우드 모델 개발·검증, Annotation Assistant, 연구용 범위.</w:t>
      </w:r>
    </w:p>
    <w:p>
      <w:pPr>
        <w:pStyle w:val="ListBullet"/>
      </w:pPr>
      <w:hyperlink r:id="rId14">
        <w:r>
          <w:rPr>
            <w:color w:val="266A88"/>
            <w:u w:val="single"/>
          </w:rPr>
          <w:t>V1 · Visiopharm — Advanced Phenotyping</w:t>
        </w:r>
      </w:hyperlink>
      <w:r>
        <w:rPr>
          <w:b w:val="0"/>
        </w:rPr>
        <w:t>: 규칙 기반 분석과 예제 기반 딥러닝·표현형 분석.</w:t>
      </w:r>
    </w:p>
    <w:p>
      <w:pPr>
        <w:pStyle w:val="ListBullet"/>
      </w:pPr>
      <w:hyperlink r:id="rId15">
        <w:r>
          <w:rPr>
            <w:color w:val="266A88"/>
            <w:u w:val="single"/>
          </w:rPr>
          <w:t>V2 · Visiopharm — Alimentiv 사례</w:t>
        </w:r>
      </w:hyperlink>
      <w:r>
        <w:rPr>
          <w:b w:val="0"/>
        </w:rPr>
        <w:t>: Author·AI Author 활용 사례. 제품 공급자의 사례 설명이며 독립 비교시험이 아니다.</w:t>
      </w:r>
    </w:p>
    <w:p>
      <w:pPr>
        <w:pStyle w:val="ListBullet"/>
      </w:pPr>
      <w:hyperlink r:id="rId16">
        <w:r>
          <w:rPr>
            <w:color w:val="266A88"/>
            <w:u w:val="single"/>
          </w:rPr>
          <w:t>P1 · Proscia — Concentriq 플랫폼</w:t>
        </w:r>
      </w:hyperlink>
      <w:r>
        <w:rPr>
          <w:b w:val="0"/>
        </w:rPr>
        <w:t>: 제품군과 연구용·진단용 구분.</w:t>
      </w:r>
    </w:p>
    <w:p>
      <w:pPr>
        <w:pStyle w:val="ListBullet"/>
      </w:pPr>
      <w:hyperlink r:id="rId17">
        <w:r>
          <w:rPr>
            <w:color w:val="266A88"/>
            <w:u w:val="single"/>
          </w:rPr>
          <w:t>P2 · Proscia — Concentriq LS 브로슈어</w:t>
        </w:r>
      </w:hyperlink>
      <w:r>
        <w:rPr>
          <w:b w:val="0"/>
        </w:rPr>
        <w:t>: 연관 데이터 관리, 플랫폼 내 Compute 기능.</w:t>
      </w:r>
    </w:p>
    <w:p>
      <w:pPr>
        <w:pStyle w:val="ListBullet"/>
      </w:pPr>
      <w:hyperlink r:id="rId18">
        <w:r>
          <w:rPr>
            <w:color w:val="266A88"/>
            <w:u w:val="single"/>
          </w:rPr>
          <w:t>R1 · PathPresenter — 플랫폼 소개</w:t>
        </w:r>
      </w:hyperlink>
      <w:r>
        <w:rPr>
          <w:b w:val="0"/>
        </w:rPr>
        <w:t>: 기업용 업무·외부 시스템 연결·배포 구조. 특정 임상 뷰어의 허가 범위를 플랫폼 전체로 확대하지 않았다.</w:t>
      </w:r>
    </w:p>
    <w:p>
      <w:pPr>
        <w:pStyle w:val="ListBullet"/>
      </w:pPr>
      <w:hyperlink r:id="rId19">
        <w:r>
          <w:rPr>
            <w:color w:val="266A88"/>
            <w:u w:val="single"/>
          </w:rPr>
          <w:t>Q1 · QuPath 공식 사이트</w:t>
        </w:r>
      </w:hyperlink>
      <w:r>
        <w:rPr>
          <w:b w:val="0"/>
        </w:rPr>
        <w:t>: 공개 소스·설치형 배포·주석 및 용도 안내.</w:t>
      </w:r>
    </w:p>
    <w:p>
      <w:pPr>
        <w:pStyle w:val="ListBullet"/>
      </w:pPr>
      <w:hyperlink r:id="rId20">
        <w:r>
          <w:rPr>
            <w:color w:val="266A88"/>
            <w:u w:val="single"/>
          </w:rPr>
          <w:t>Q2 · QuPath 공식 스크립팅 안내</w:t>
        </w:r>
      </w:hyperlink>
      <w:r>
        <w:rPr>
          <w:b w:val="0"/>
        </w:rPr>
        <w:t>: 분석 절차의 스크립트화와 반복 처리.</w:t>
      </w:r>
    </w:p>
    <w:tbl>
      <w:tblPr>
        <w:tblStyle w:val="TableGrid"/>
        <w:tblW w:type="auto" w:w="0"/>
        <w:jc w:val="center"/>
        <w:tblLayout w:type="fixed"/>
        <w:tblLook w:firstColumn="1" w:firstRow="1" w:lastColumn="0" w:lastRow="0" w:noHBand="0" w:noVBand="1" w:val="04A0"/>
      </w:tblPr>
      <w:tblGrid>
        <w:gridCol w:w="2154"/>
        <w:gridCol w:w="7824"/>
      </w:tblGrid>
      <w:tr>
        <w:trPr>
          <w:cantSplit/>
          <w:tblHeader/>
        </w:trPr>
        <w:tc>
          <w:tcPr>
            <w:tcW w:type="dxa" w:w="2154"/>
            <w:vAlign w:val="top"/>
            <w:shd w:fill="E8E7F2"/>
          </w:tcPr>
          <w:p>
            <w:pPr>
              <w:spacing w:after="80" w:before="60" w:line="252" w:lineRule="auto"/>
            </w:pPr>
            <w:r>
              <w:rPr>
                <w:b/>
                <w:sz w:val="16"/>
              </w:rPr>
              <w:t>질문</w:t>
            </w:r>
          </w:p>
        </w:tc>
        <w:tc>
          <w:tcPr>
            <w:tcW w:type="dxa" w:w="7824"/>
            <w:vAlign w:val="top"/>
            <w:shd w:fill="E8E7F2"/>
          </w:tcPr>
          <w:p>
            <w:pPr>
              <w:spacing w:after="80" w:before="60" w:line="252" w:lineRule="auto"/>
            </w:pPr>
            <w:r>
              <w:rPr>
                <w:b/>
                <w:sz w:val="16"/>
              </w:rPr>
              <w:t>권장 답변</w:t>
            </w:r>
          </w:p>
        </w:tc>
      </w:tr>
      <w:tr>
        <w:trPr>
          <w:cantSplit/>
        </w:trPr>
        <w:tc>
          <w:tcPr>
            <w:tcW w:type="dxa" w:w="2154"/>
            <w:vAlign w:val="top"/>
          </w:tcPr>
          <w:p>
            <w:pPr>
              <w:spacing w:after="80" w:before="60" w:line="252" w:lineRule="auto"/>
            </w:pPr>
            <w:r>
              <w:rPr>
                <w:b w:val="0"/>
                <w:sz w:val="16"/>
              </w:rPr>
              <w:t>다른 플랫폼과 무엇이 다른가?</w:t>
            </w:r>
          </w:p>
        </w:tc>
        <w:tc>
          <w:tcPr>
            <w:tcW w:type="dxa" w:w="7824"/>
            <w:vAlign w:val="top"/>
          </w:tcPr>
          <w:p>
            <w:pPr>
              <w:spacing w:after="80" w:before="60" w:line="252" w:lineRule="auto"/>
            </w:pPr>
            <w:r>
              <w:rPr>
                <w:b w:val="0"/>
                <w:sz w:val="16"/>
              </w:rPr>
              <w:t>“정량 AI·가상염색 결과를 원본에서 검토하고, 조직·세포 주석과 패치 검수로 이어가는 구체적인 업무 흐름에 초점을 두었습니다. 화면 탐색을 우선하는 서버 처리 구조도 함께 구현했습니다.”</w:t>
            </w:r>
          </w:p>
        </w:tc>
      </w:tr>
      <w:tr>
        <w:trPr>
          <w:cantSplit/>
        </w:trPr>
        <w:tc>
          <w:tcPr>
            <w:tcW w:type="dxa" w:w="2154"/>
            <w:vAlign w:val="top"/>
          </w:tcPr>
          <w:p>
            <w:pPr>
              <w:spacing w:after="80" w:before="60" w:line="252" w:lineRule="auto"/>
            </w:pPr>
            <w:r>
              <w:rPr>
                <w:b w:val="0"/>
                <w:sz w:val="16"/>
              </w:rPr>
              <w:t>특허가 있는 기술인가?</w:t>
            </w:r>
          </w:p>
        </w:tc>
        <w:tc>
          <w:tcPr>
            <w:tcW w:type="dxa" w:w="7824"/>
            <w:vAlign w:val="top"/>
          </w:tcPr>
          <w:p>
            <w:pPr>
              <w:spacing w:after="80" w:before="60" w:line="252" w:lineRule="auto"/>
            </w:pPr>
            <w:r>
              <w:rPr>
                <w:b w:val="0"/>
                <w:sz w:val="16"/>
              </w:rPr>
              <w:t>“현재 검토 자료는 네 가지 출원 후보 기술 초안입니다. 출원·등록 상태와 권리 범위는 공식 서류 확인 후 안내할 수 있습니다.”</w:t>
            </w:r>
          </w:p>
        </w:tc>
      </w:tr>
      <w:tr>
        <w:trPr>
          <w:cantSplit/>
        </w:trPr>
        <w:tc>
          <w:tcPr>
            <w:tcW w:type="dxa" w:w="2154"/>
            <w:vAlign w:val="top"/>
          </w:tcPr>
          <w:p>
            <w:pPr>
              <w:spacing w:after="80" w:before="60" w:line="252" w:lineRule="auto"/>
            </w:pPr>
            <w:r>
              <w:rPr>
                <w:b w:val="0"/>
                <w:sz w:val="16"/>
              </w:rPr>
              <w:t>AI가 수정 내용을 자동으로 학습하는가?</w:t>
            </w:r>
          </w:p>
        </w:tc>
        <w:tc>
          <w:tcPr>
            <w:tcW w:type="dxa" w:w="7824"/>
            <w:vAlign w:val="top"/>
          </w:tcPr>
          <w:p>
            <w:pPr>
              <w:spacing w:after="80" w:before="60" w:line="252" w:lineRule="auto"/>
            </w:pPr>
            <w:r>
              <w:rPr>
                <w:b w:val="0"/>
                <w:sz w:val="16"/>
              </w:rPr>
              <w:t>“사람의 수정과 검수 결과를 저장하는 기능이 있습니다. 자동 재학습·검증·배포까지 연결된 기능으로 설명하지는 않습니다.”</w:t>
            </w:r>
          </w:p>
        </w:tc>
      </w:tr>
      <w:tr>
        <w:trPr>
          <w:cantSplit/>
        </w:trPr>
        <w:tc>
          <w:tcPr>
            <w:tcW w:type="dxa" w:w="2154"/>
            <w:vAlign w:val="top"/>
          </w:tcPr>
          <w:p>
            <w:pPr>
              <w:spacing w:after="80" w:before="60" w:line="252" w:lineRule="auto"/>
            </w:pPr>
            <w:r>
              <w:rPr>
                <w:b w:val="0"/>
                <w:sz w:val="16"/>
              </w:rPr>
              <w:t>더 빠르고 정확한가?</w:t>
            </w:r>
          </w:p>
        </w:tc>
        <w:tc>
          <w:tcPr>
            <w:tcW w:type="dxa" w:w="7824"/>
            <w:vAlign w:val="top"/>
          </w:tcPr>
          <w:p>
            <w:pPr>
              <w:spacing w:after="80" w:before="60" w:line="252" w:lineRule="auto"/>
            </w:pPr>
            <w:r>
              <w:rPr>
                <w:b w:val="0"/>
                <w:sz w:val="16"/>
              </w:rPr>
              <w:t>“응답성을 고려한 처리 구조를 구현했습니다. 경쟁 제품 대비 속도·정확도 우위는 동일 조건의 비교 결과가 확보된 뒤 제시하겠습니다.”</w:t>
            </w:r>
          </w:p>
        </w:tc>
      </w:tr>
    </w:tbl>
    <w:p>
      <w:pPr>
        <w:spacing w:after="0"/>
      </w:pPr>
    </w:p>
    <w:p>
      <w:r>
        <w:rPr>
          <w:b w:val="0"/>
        </w:rPr>
        <w:t>문서 변경 이력: v1.0 — 특허 후보 4건과 v3.1.0 소스를 연결하고, 경쟁 제품 6개 그룹의 공식 자료 기반 비교 및 검증 계획을 작성했다. 문서 작성만으로 애플리케이션 버전이나 특허 상태를 변경하지 않는다.</w:t>
      </w:r>
    </w:p>
    <w:sectPr w:rsidR="00FC693F" w:rsidRPr="0006063C" w:rsidSect="00034616">
      <w:headerReference w:type="default" r:id="rId9"/>
      <w:footerReference w:type="default" r:id="rId10"/>
      <w:pgSz w:w="11906" w:h="16838"/>
      <w:pgMar w:top="907" w:right="964" w:bottom="907"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2026-09-14 · 문서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MeDIAuto Studio  |  플랫폼 차별성 분석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Noto Sans CJK KR" w:hAnsi="Noto Sans CJK KR" w:eastAsia="Noto Sans CJK KR"/>
      <w:b/>
      <w:bCs/>
      <w:color w:val="393665"/>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Noto Sans CJK KR" w:hAnsi="Noto Sans CJK KR" w:eastAsia="Noto Sans CJK KR"/>
      <w:b/>
      <w:bCs/>
      <w:color w:val="3936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Noto Sans CJK KR" w:hAnsi="Noto Sans CJK KR" w:eastAsia="Noto Sans CJK KR"/>
      <w:color w:val="39366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Noto Sans CJK KR" w:hAnsi="Noto Sans CJK KR" w:eastAsia="Noto Sans CJK K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dicalab.com/halo-ai/" TargetMode="External"/><Relationship Id="rId12" Type="http://schemas.openxmlformats.org/officeDocument/2006/relationships/hyperlink" Target="https://indicalab.com/halo-link/" TargetMode="External"/><Relationship Id="rId13" Type="http://schemas.openxmlformats.org/officeDocument/2006/relationships/hyperlink" Target="https://www.aiforia.com/aiforia-create" TargetMode="External"/><Relationship Id="rId14" Type="http://schemas.openxmlformats.org/officeDocument/2006/relationships/hyperlink" Target="https://visiopharm.com/resources/advanced-phenotyping-of-the-tumor-immune-microenvironment/" TargetMode="External"/><Relationship Id="rId15" Type="http://schemas.openxmlformats.org/officeDocument/2006/relationships/hyperlink" Target="https://visiopharm.com/blog/alimentivs-digital-pathology-innovation-with-visiopharm-an-interview-with-dr-pavine-lefevre/" TargetMode="External"/><Relationship Id="rId16" Type="http://schemas.openxmlformats.org/officeDocument/2006/relationships/hyperlink" Target="https://proscia.com/platform/concentriq-digital-pathology-platform" TargetMode="External"/><Relationship Id="rId17" Type="http://schemas.openxmlformats.org/officeDocument/2006/relationships/hyperlink" Target="https://info.proscia.com/hubfs/Life-sciences/Proscia_ConcentriqLS_Brochure.pdf" TargetMode="External"/><Relationship Id="rId18" Type="http://schemas.openxmlformats.org/officeDocument/2006/relationships/hyperlink" Target="https://www.pathpresenter.com/about-pathpresenter/" TargetMode="External"/><Relationship Id="rId19" Type="http://schemas.openxmlformats.org/officeDocument/2006/relationships/hyperlink" Target="https://qupath.github.io/" TargetMode="External"/><Relationship Id="rId20" Type="http://schemas.openxmlformats.org/officeDocument/2006/relationships/hyperlink" Target="https://qupath.github.io/workshop-intro/chapters/extras/how_do_i_write_scrip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MeDIAuto Studio 플랫폼 차별성 분석</dc:title>
  <dc:subject>특허 기술 후보와 구현 근거 및 경쟁 플랫폼 비교</dc:subject>
  <dc:creator>MeDIAuto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