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员工行为规范手册</w:t>
      </w:r>
    </w:p>
    <w:p>
      <w:pPr>
        <w:pStyle w:val="Heading1"/>
      </w:pPr>
      <w:r>
        <w:t>第一章 总则</w:t>
      </w:r>
    </w:p>
    <w:p>
      <w:r>
        <w:t>第一条 为规范员工行为，维护公司良好的工作秩序和企业形象，营造和谐的工作环境，特制定本手册。</w:t>
      </w:r>
    </w:p>
    <w:p>
      <w:r>
        <w:t>第二条 本手册适用于公司全体员工，包括正式员工、试用期员工和实习生。</w:t>
      </w:r>
    </w:p>
    <w:p>
      <w:r>
        <w:t>第三条 全体员工须认真学习并严格遵守本手册的各项规定。</w:t>
      </w:r>
    </w:p>
    <w:p>
      <w:pPr>
        <w:pStyle w:val="Heading1"/>
      </w:pPr>
      <w:r>
        <w:t>第二章 职业道德</w:t>
      </w:r>
    </w:p>
    <w:p>
      <w:r>
        <w:t>第四条 基本要求：</w:t>
      </w:r>
    </w:p>
    <w:p>
      <w:r>
        <w:t>（一）爱岗敬业，忠于职守，勤勉工作；</w:t>
      </w:r>
    </w:p>
    <w:p>
      <w:r>
        <w:t>（二）诚实守信，正直公正，廉洁自律；</w:t>
      </w:r>
    </w:p>
    <w:p>
      <w:r>
        <w:t>（三）团结协作，相互尊重，和谐共处；</w:t>
      </w:r>
    </w:p>
    <w:p>
      <w:r>
        <w:t>（四）积极进取，勇于创新，追求卓越。</w:t>
      </w:r>
    </w:p>
    <w:p/>
    <w:p>
      <w:r>
        <w:t>第五条 保密义务：</w:t>
      </w:r>
    </w:p>
    <w:p>
      <w:r>
        <w:t>（一）员工须对公司的商业秘密、技术秘密和客户信息严格保密；</w:t>
      </w:r>
    </w:p>
    <w:p>
      <w:r>
        <w:t>（二）未经授权，不得对外披露公司内部文件、数据和决策信息；</w:t>
      </w:r>
    </w:p>
    <w:p>
      <w:r>
        <w:t>（三）离职后仍须遵守保密协议中约定的保密义务。</w:t>
      </w:r>
    </w:p>
    <w:p/>
    <w:p>
      <w:r>
        <w:t>第六条 利益冲突：</w:t>
      </w:r>
    </w:p>
    <w:p>
      <w:r>
        <w:t>（一）员工不得利用职务之便谋取个人私利；</w:t>
      </w:r>
    </w:p>
    <w:p>
      <w:r>
        <w:t>（二）不得在与公司有业务往来的单位兼职或持有股份；</w:t>
      </w:r>
    </w:p>
    <w:p>
      <w:r>
        <w:t>（三）如存在潜在利益冲突，须及时向直属领导和人力资源部报告。</w:t>
      </w:r>
    </w:p>
    <w:p>
      <w:pPr>
        <w:pStyle w:val="Heading1"/>
      </w:pPr>
      <w:r>
        <w:t>第三章 工作纪律</w:t>
      </w:r>
    </w:p>
    <w:p>
      <w:r>
        <w:t>第七条 考勤纪律：</w:t>
      </w:r>
    </w:p>
    <w:p>
      <w:r>
        <w:t>（一）按时上下班，不迟到、不早退、不旷工；</w:t>
      </w:r>
    </w:p>
    <w:p>
      <w:r>
        <w:t>（二）请假须提前申请并获得批准；</w:t>
      </w:r>
    </w:p>
    <w:p>
      <w:r>
        <w:t>（三）外出办公须在OA系统中登记。</w:t>
      </w:r>
    </w:p>
    <w:p/>
    <w:p>
      <w:r>
        <w:t>第八条 办公纪律：</w:t>
      </w:r>
    </w:p>
    <w:p>
      <w:r>
        <w:t>（一）工作时间内专注工作，不做与工作无关的事务；</w:t>
      </w:r>
    </w:p>
    <w:p>
      <w:r>
        <w:t>（二）保持工作区域整洁有序；</w:t>
      </w:r>
    </w:p>
    <w:p>
      <w:r>
        <w:t>（三）公共区域轻声交流，不影响他人工作；</w:t>
      </w:r>
    </w:p>
    <w:p>
      <w:r>
        <w:t>（四）会议期间将手机调至静音模式。</w:t>
      </w:r>
    </w:p>
    <w:p/>
    <w:p>
      <w:r>
        <w:t>第九条 信息安全：</w:t>
      </w:r>
    </w:p>
    <w:p>
      <w:r>
        <w:t>（一）妥善保管个人账号和密码，不得与他人共用；</w:t>
      </w:r>
    </w:p>
    <w:p>
      <w:r>
        <w:t>（二）公司电脑不得安装未授权的软件；</w:t>
      </w:r>
    </w:p>
    <w:p>
      <w:r>
        <w:t>（三）重要文件须定期备份；</w:t>
      </w:r>
    </w:p>
    <w:p>
      <w:r>
        <w:t>（四）离开工位时须锁定电脑屏幕。</w:t>
      </w:r>
    </w:p>
    <w:p>
      <w:pPr>
        <w:pStyle w:val="Heading1"/>
      </w:pPr>
      <w:r>
        <w:t>第四章 着装与礼仪</w:t>
      </w:r>
    </w:p>
    <w:p>
      <w:r>
        <w:t>第十条 着装要求：</w:t>
      </w:r>
    </w:p>
    <w:p>
      <w:r>
        <w:t>（一）日常办公着装整洁得体，符合职业形象；</w:t>
      </w:r>
    </w:p>
    <w:p>
      <w:r>
        <w:t>（二）接待客户或参加正式会议时，须着正装；</w:t>
      </w:r>
    </w:p>
    <w:p>
      <w:r>
        <w:t>（三）不得穿拖鞋、背心等过于随意的服装进入办公区域。</w:t>
      </w:r>
    </w:p>
    <w:p/>
    <w:p>
      <w:r>
        <w:t>第十一条 商务礼仪：</w:t>
      </w:r>
    </w:p>
    <w:p>
      <w:r>
        <w:t>（一）接待来访客户须热情友好，主动问好并引导；</w:t>
      </w:r>
    </w:p>
    <w:p>
      <w:r>
        <w:t>（二）商务交往中注意言行举止，维护公司形象；</w:t>
      </w:r>
    </w:p>
    <w:p>
      <w:r>
        <w:t>（三）商务用餐遵循基本用餐礼仪。</w:t>
      </w:r>
    </w:p>
    <w:p>
      <w:pPr>
        <w:pStyle w:val="Heading1"/>
      </w:pPr>
      <w:r>
        <w:t>第五章 奖惩制度</w:t>
      </w:r>
    </w:p>
    <w:p>
      <w:r>
        <w:t>第十二条 奖励类型：</w:t>
      </w:r>
    </w:p>
    <w:p>
      <w:r>
        <w:t>（一）通报表扬：对工作表现突出的员工给予全公司通报表扬；</w:t>
      </w:r>
    </w:p>
    <w:p>
      <w:r>
        <w:t>（二）奖金奖励：对做出重大贡献的员工给予一次性奖金奖励；</w:t>
      </w:r>
    </w:p>
    <w:p>
      <w:r>
        <w:t>（三）晋升奖励：对持续表现优异的员工优先考虑晋升。</w:t>
      </w:r>
    </w:p>
    <w:p/>
    <w:p>
      <w:r>
        <w:t>第十三条 处罚类型：</w:t>
      </w:r>
    </w:p>
    <w:p>
      <w:r>
        <w:t>（一）口头警告：适用于轻微违规行为；</w:t>
      </w:r>
    </w:p>
    <w:p>
      <w:r>
        <w:t>（二）书面警告：适用于较严重或重复违规行为；</w:t>
      </w:r>
    </w:p>
    <w:p>
      <w:r>
        <w:t>（三）降职降薪：适用于严重违规行为；</w:t>
      </w:r>
    </w:p>
    <w:p>
      <w:r>
        <w:t>（四）解除合同：适用于违反法律法规或造成重大损失的行为。</w:t>
      </w:r>
    </w:p>
    <w:p>
      <w:pPr>
        <w:pStyle w:val="Heading1"/>
      </w:pPr>
      <w:r>
        <w:t>第六章 附则</w:t>
      </w:r>
    </w:p>
    <w:p>
      <w:r>
        <w:t>第十四条 本手册由人力资源部负责解释和修订。</w:t>
      </w:r>
    </w:p>
    <w:p>
      <w:r>
        <w:t>第十五条 本手册自发布之日起执行，原有相关规定与本手册不一致的，以本手册为准。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