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D35ADA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  <w:bookmarkStart w:id="2" w:name="_GoBack"/>
            <w:bookmarkEnd w:id="2"/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35ADA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35ADA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D35ADA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35ADA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D35ADA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D35ADA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35ADA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35ADA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35ADA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D35ADA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D35ADA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D35ADA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D35ADA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2905F0">
      <w:pPr>
        <w:ind w:firstLine="360"/>
        <w:jc w:val="center"/>
      </w:pPr>
      <w:r w:rsidRPr="002905F0">
        <w:rPr>
          <w:noProof/>
        </w:rPr>
        <w:lastRenderedPageBreak/>
        <w:drawing>
          <wp:inline distT="0" distB="0" distL="0" distR="0">
            <wp:extent cx="5274310" cy="5597121"/>
            <wp:effectExtent l="0" t="0" r="2540" b="3810"/>
            <wp:docPr id="2" name="图片 2" descr="E:\软工二大作业\BigHomework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BigHomework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lastRenderedPageBreak/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905F0">
      <w:pPr>
        <w:jc w:val="center"/>
      </w:pPr>
      <w:r w:rsidRPr="002905F0">
        <w:rPr>
          <w:noProof/>
        </w:rPr>
        <w:lastRenderedPageBreak/>
        <w:drawing>
          <wp:inline distT="0" distB="0" distL="0" distR="0">
            <wp:extent cx="5729171" cy="7322820"/>
            <wp:effectExtent l="0" t="0" r="5080" b="0"/>
            <wp:docPr id="6" name="图片 6" descr="E:\软工二大作业\BigHomework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BigHomework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73" cy="732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2905F0">
      <w:r w:rsidRPr="002905F0">
        <w:rPr>
          <w:noProof/>
        </w:rPr>
        <w:lastRenderedPageBreak/>
        <w:drawing>
          <wp:inline distT="0" distB="0" distL="0" distR="0">
            <wp:extent cx="5274310" cy="4557692"/>
            <wp:effectExtent l="0" t="0" r="2540" b="0"/>
            <wp:docPr id="13" name="图片 13" descr="E:\软工二大作业\BigHomework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BigHomework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>
              <w:rPr>
                <w:rFonts w:hint="eastAsia"/>
              </w:rPr>
              <w:t>进销存管理系统客户端用户界面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5E10D8" w:rsidRDefault="00421F1C" w:rsidP="00421F1C">
            <w:pPr>
              <w:jc w:val="center"/>
            </w:pPr>
            <w:r>
              <w:t>Memberbl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421F1C">
            <w:pPr>
              <w:jc w:val="center"/>
            </w:pPr>
            <w:r>
              <w:t>MemberDataService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421F1C">
      <w:r>
        <w:rPr>
          <w:rFonts w:hint="eastAsia"/>
          <w:noProof/>
        </w:rPr>
        <w:drawing>
          <wp:inline distT="0" distB="0" distL="114300" distR="114300">
            <wp:extent cx="5269230" cy="1967865"/>
            <wp:effectExtent l="0" t="0" r="3810" b="13335"/>
            <wp:docPr id="4" name="图片 4" descr="业务逻辑层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业务逻辑层设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员工</w:t>
            </w:r>
            <w:r>
              <w:t>机构管理相关的服务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系统更改用户登登录状态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556C61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2446E8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D41532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D41532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D41532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1532" w:rsidRDefault="00D41532" w:rsidP="00D4153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  <w:vAlign w:val="center"/>
          </w:tcPr>
          <w:p w:rsidR="00D41532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显示账户列表</w:t>
            </w: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0" w:name="OLE_LINK21"/>
      <w:bookmarkStart w:id="51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bookmarkEnd w:id="50"/>
    <w:bookmarkEnd w:id="51"/>
    <w:p w:rsidR="005E10D8" w:rsidRDefault="005E10D8"/>
    <w:p w:rsidR="005E10D8" w:rsidRDefault="002905F0">
      <w:pPr>
        <w:pStyle w:val="4"/>
        <w:numPr>
          <w:ilvl w:val="0"/>
          <w:numId w:val="2"/>
        </w:numPr>
      </w:pPr>
      <w:r>
        <w:t>Credit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52" w:name="_Toc432580015"/>
      <w:bookmarkStart w:id="53" w:name="_Toc463824227"/>
      <w:r>
        <w:t>数据层的分解</w:t>
      </w:r>
      <w:bookmarkEnd w:id="52"/>
      <w:bookmarkEnd w:id="5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lastRenderedPageBreak/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4" w:name="_Toc432580016"/>
      <w:bookmarkStart w:id="55" w:name="_Toc463824228"/>
      <w:r>
        <w:t>数据层模块的职责</w:t>
      </w:r>
      <w:bookmarkEnd w:id="54"/>
      <w:bookmarkEnd w:id="5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2905F0">
            <w:pPr>
              <w:tabs>
                <w:tab w:val="left" w:pos="2259"/>
              </w:tabs>
            </w:pPr>
            <w:r>
              <w:t>Credit</w:t>
            </w:r>
            <w:r w:rsidR="00421F1C">
              <w:t>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56" w:name="_Toc432580017"/>
      <w:bookmarkStart w:id="57" w:name="_Toc463824229"/>
      <w:r>
        <w:t>数据层模块的接口规范</w:t>
      </w:r>
      <w:bookmarkEnd w:id="56"/>
      <w:bookmarkEnd w:id="57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rPr>
                <w:bCs w:val="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416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2905F0">
      <w:pPr>
        <w:pStyle w:val="4"/>
        <w:numPr>
          <w:ilvl w:val="0"/>
          <w:numId w:val="3"/>
        </w:numPr>
      </w:pPr>
      <w:r>
        <w:t>Credit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58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59" w:name="_Toc463824230"/>
      <w:r>
        <w:rPr>
          <w:rFonts w:hint="eastAsia"/>
        </w:rPr>
        <w:t>信息视角</w:t>
      </w:r>
      <w:bookmarkEnd w:id="58"/>
      <w:bookmarkEnd w:id="59"/>
    </w:p>
    <w:p w:rsidR="005E10D8" w:rsidRDefault="00421F1C">
      <w:pPr>
        <w:pStyle w:val="2"/>
        <w:numPr>
          <w:ilvl w:val="1"/>
          <w:numId w:val="1"/>
        </w:numPr>
      </w:pPr>
      <w:bookmarkStart w:id="60" w:name="_Toc432580019"/>
      <w:bookmarkStart w:id="61" w:name="_Toc463824231"/>
      <w:r>
        <w:t>数据持久化对象</w:t>
      </w:r>
      <w:bookmarkEnd w:id="60"/>
      <w:bookmarkEnd w:id="61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62" w:name="_Toc432580020"/>
      <w:bookmarkStart w:id="63" w:name="_Toc463824232"/>
      <w:r>
        <w:rPr>
          <w:rFonts w:hint="eastAsia"/>
        </w:rPr>
        <w:t>文件格式</w:t>
      </w:r>
      <w:bookmarkEnd w:id="62"/>
      <w:bookmarkEnd w:id="63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ADA" w:rsidRDefault="00D35ADA">
      <w:r>
        <w:separator/>
      </w:r>
    </w:p>
  </w:endnote>
  <w:endnote w:type="continuationSeparator" w:id="0">
    <w:p w:rsidR="00D35ADA" w:rsidRDefault="00D3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altName w:val="Adobe 仿宋 Std R"/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2621B0" w:rsidRDefault="002621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82C" w:rsidRPr="0081182C">
          <w:rPr>
            <w:noProof/>
            <w:lang w:val="zh-CN"/>
          </w:rPr>
          <w:t>2</w:t>
        </w:r>
        <w:r>
          <w:fldChar w:fldCharType="end"/>
        </w:r>
      </w:p>
    </w:sdtContent>
  </w:sdt>
  <w:p w:rsidR="002621B0" w:rsidRDefault="002621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ADA" w:rsidRDefault="00D35ADA">
      <w:r>
        <w:separator/>
      </w:r>
    </w:p>
  </w:footnote>
  <w:footnote w:type="continuationSeparator" w:id="0">
    <w:p w:rsidR="00D35ADA" w:rsidRDefault="00D35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0F29ED"/>
    <w:rsid w:val="00125B7E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446E8"/>
    <w:rsid w:val="002621B0"/>
    <w:rsid w:val="002632EC"/>
    <w:rsid w:val="002644E5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C5BFC"/>
    <w:rsid w:val="003D5C70"/>
    <w:rsid w:val="003E0C6B"/>
    <w:rsid w:val="0040082E"/>
    <w:rsid w:val="00405209"/>
    <w:rsid w:val="0040655E"/>
    <w:rsid w:val="0040786C"/>
    <w:rsid w:val="00417736"/>
    <w:rsid w:val="00421F1C"/>
    <w:rsid w:val="00422BC3"/>
    <w:rsid w:val="0044785B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6C61"/>
    <w:rsid w:val="00557418"/>
    <w:rsid w:val="00564201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E10D8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627D6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F7A39"/>
    <w:rsid w:val="00C00058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27FB7"/>
    <w:rsid w:val="00D35ADA"/>
    <w:rsid w:val="00D4111B"/>
    <w:rsid w:val="00D41532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E6913"/>
    <w:rsid w:val="00DF6902"/>
    <w:rsid w:val="00E1197F"/>
    <w:rsid w:val="00E145A2"/>
    <w:rsid w:val="00E20D16"/>
    <w:rsid w:val="00E2762A"/>
    <w:rsid w:val="00E312B1"/>
    <w:rsid w:val="00E405A3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593F08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B21106-EDC9-4C17-82C6-0C6E495AC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1680</Words>
  <Characters>9578</Characters>
  <Application>Microsoft Office Word</Application>
  <DocSecurity>0</DocSecurity>
  <Lines>79</Lines>
  <Paragraphs>22</Paragraphs>
  <ScaleCrop>false</ScaleCrop>
  <Company>Microsoft</Company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郭浩滨</cp:lastModifiedBy>
  <cp:revision>185</cp:revision>
  <dcterms:created xsi:type="dcterms:W3CDTF">2015-10-22T08:07:00Z</dcterms:created>
  <dcterms:modified xsi:type="dcterms:W3CDTF">2016-10-12T13:35:00Z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