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C7EDCC"/>
  <w:body>
    <w:p w14:paraId="5B43A7C3">
      <w:pPr>
        <w:spacing w:line="360" w:lineRule="auto"/>
        <w:jc w:val="both"/>
        <w:rPr>
          <w:sz w:val="32"/>
          <w:szCs w:val="32"/>
          <w:u w:val="single"/>
        </w:rPr>
      </w:pPr>
    </w:p>
    <w:p w14:paraId="4D87CE2A">
      <w:pPr>
        <w:spacing w:line="360" w:lineRule="auto"/>
        <w:jc w:val="both"/>
        <w:rPr>
          <w:rFonts w:ascii="黑体" w:eastAsia="黑体"/>
          <w:b/>
          <w:sz w:val="72"/>
          <w:szCs w:val="72"/>
        </w:rPr>
      </w:pPr>
      <w:r>
        <w:rPr>
          <w:rFonts w:ascii="Times New Roman" w:hAnsi="Times New Roman" w:cs="Times New Roman" w:eastAsia="宋体"/>
        </w:rPr>
        <w:fldChar w:fldCharType="begin"/>
      </w:r>
      <w:r>
        <w:rPr>
          <w:rFonts w:ascii="Times New Roman" w:hAnsi="Times New Roman" w:cs="Times New Roman" w:eastAsia="宋体"/>
        </w:rPr>
        <w:instrText xml:space="preserve">INCLUDEPICTURE \d "C:\\Users\\Ye\\AppData\\Local\\Temp\\企业微信截图_17743159822650.png" \* MERGEFORMATINET </w:instrText>
      </w:r>
      <w:r>
        <w:rPr>
          <w:rFonts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"C:\\Users\\Ye\\AppData\\Local\\Temp\\企业微信截图_17743159822650.png"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"C:\\Users\\Ye\\AppData\\Local\\Temp\\企业微信截图_17743159822650.png"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"C:\\Users\\Ye\\AppData\\Local\\Temp\\企业微信截图_17743159822650.png"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"C:\\Users\\Ye\\AppData\\Local\\Temp\\企业微信截图_17743159822650.png"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"C:\\Users\\Ye\\AppData\\Local\\Temp\\企业微信截图_17743159822650.png"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"C:\\Users\\Ye\\AppData\\Local\\Temp\\企业微信截图_17743159822650.png"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"E:\\..\\..\\..\\Ye\\AppData\\Local\\Temp\\企业微信截图_17743159822650.png" \* MERGEFORMATINET </w:instrText>
      </w:r>
      <w:r>
        <w:rPr>
          <w:rFonts w:hint="eastAsia" w:ascii="Times New Roman" w:hAnsi="Times New Roman" w:cs="Times New Roman" w:eastAsia="宋体"/>
        </w:rPr>
        <w:fldChar w:fldCharType="separate"/>
      </w:r>
      <w:r>
        <w:rPr>
          <w:rFonts w:ascii="Times New Roman" w:hAnsi="Times New Roman" w:cs="Times New Roman" w:eastAsia="宋体"/>
        </w:rPr>
        <w:fldChar w:fldCharType="begin"/>
      </w:r>
      <w:r>
        <w:rPr>
          <w:rFonts w:ascii="Times New Roman" w:hAnsi="Times New Roman" w:cs="Times New Roman" w:eastAsia="宋体"/>
        </w:rPr>
        <w:instrText xml:space="preserve"> INCLUDEPICTURE  "C:\\Users\\admin\\Documents\\Ye\\AppData\\Local\\Temp\\企业微信截图_17743159822650.png" \* MERGEFORMATINET </w:instrText>
      </w:r>
      <w:r>
        <w:rPr>
          <w:rFonts w:ascii="Times New Roman" w:hAnsi="Times New Roman" w:cs="Times New Roman" w:eastAsia="宋体"/>
        </w:rPr>
        <w:fldChar w:fldCharType="separate"/>
      </w:r>
      <w:r>
        <w:rPr>
          <w:rFonts w:ascii="Times New Roman" w:hAnsi="Times New Roman" w:cs="Times New Roman" w:eastAsia="宋体"/>
        </w:rPr>
        <w:fldChar w:fldCharType="begin"/>
      </w:r>
      <w:r>
        <w:rPr>
          <w:rFonts w:ascii="Times New Roman" w:hAnsi="Times New Roman" w:cs="Times New Roman" w:eastAsia="宋体"/>
        </w:rPr>
        <w:instrText xml:space="preserve"> INCLUDEPICTURE  "C:\\Users\\admin\\Documents\\Ye\\AppData\\Local\\Temp\\企业微信截图_17743159822650.png" \* MERGEFORMATINET </w:instrText>
      </w:r>
      <w:r>
        <w:rPr>
          <w:rFonts w:ascii="Times New Roman" w:hAnsi="Times New Roman" w:cs="Times New Roman" w:eastAsia="宋体"/>
        </w:rPr>
        <w:fldChar w:fldCharType="separate"/>
      </w:r>
      <w:r>
        <w:rPr>
          <w:rFonts w:ascii="Times New Roman" w:hAnsi="Times New Roman" w:cs="Times New Roman" w:eastAsia="宋体"/>
        </w:rPr>
        <w:fldChar w:fldCharType="begin"/>
      </w:r>
      <w:r>
        <w:rPr>
          <w:rFonts w:ascii="Times New Roman" w:hAnsi="Times New Roman" w:cs="Times New Roman" w:eastAsia="宋体"/>
        </w:rPr>
        <w:instrText xml:space="preserve"> INCLUDEPICTURE  "C:\\Users\\admin\\Documents\\Ye\\AppData\\Local\\Temp\\企业微信截图_17743159822650.png" \* MERGEFORMATINET </w:instrText>
      </w:r>
      <w:r>
        <w:rPr>
          <w:rFonts w:ascii="Times New Roman" w:hAnsi="Times New Roman" w:cs="Times New Roman" w:eastAsia="宋体"/>
        </w:rPr>
        <w:fldChar w:fldCharType="separate"/>
      </w:r>
      <w:r>
        <w:rPr>
          <w:rFonts w:hint="eastAsia" w:ascii="Times New Roman" w:hAnsi="Times New Roman" w:cs="Times New Roman" w:eastAsia="宋体"/>
        </w:rPr>
        <w:fldChar w:fldCharType="begin"/>
      </w:r>
      <w:r>
        <w:rPr>
          <w:rFonts w:hint="eastAsia" w:ascii="Times New Roman" w:hAnsi="Times New Roman" w:cs="Times New Roman" w:eastAsia="宋体"/>
        </w:rPr>
        <w:instrText xml:space="preserve"> INCLUDEPICTURE  "E:\\Documents\\Ye\\AppData\\Local\\Temp\\企业微信截图_17743159822650.png" \* MERGEFORMATINET </w:instrText>
      </w:r>
      <w:r>
        <w:rPr>
          <w:rFonts w:hint="eastAsia" w:ascii="Times New Roman" w:hAnsi="Times New Roman" w:cs="Times New Roman" w:eastAsia="宋体"/>
        </w:rPr>
        <w:fldChar w:fldCharType="separate"/>
      </w:r>
      <w:r>
        <w:rPr>
          <w:rFonts w:ascii="Times New Roman" w:hAnsi="Times New Roman" w:cs="Times New Roman" w:eastAsia="宋体"/>
        </w:rPr>
        <w:pict>
          <v:shape id="_x0000_i1025" o:spt="75" alt="IMG_256" type="#_x0000_t75" style="height:101.85pt;width:259.2pt;" filled="f" o:preferrelative="t" stroked="f" coordsize="21600,21600">
            <v:path/>
            <v:fill on="f" focussize="0,0"/>
            <v:stroke on="f" joinstyle="miter"/>
            <v:imagedata r:id="rId10" r:href="rId11" o:title=""/>
            <o:lock v:ext="edit" aspectratio="t"/>
            <w10:wrap type="none"/>
            <w10:anchorlock/>
          </v:shape>
        </w:pict>
      </w:r>
      <w:r>
        <w:rPr>
          <w:rFonts w:hint="eastAsia" w:ascii="Times New Roman" w:hAnsi="Times New Roman" w:cs="Times New Roman" w:eastAsia="宋体"/>
        </w:rPr>
        <w:fldChar w:fldCharType="end"/>
      </w:r>
      <w:r>
        <w:rPr>
          <w:rFonts w:ascii="Times New Roman" w:hAnsi="Times New Roman" w:cs="Times New Roman" w:eastAsia="宋体"/>
        </w:rPr>
        <w:fldChar w:fldCharType="end"/>
      </w:r>
      <w:r>
        <w:rPr>
          <w:rFonts w:ascii="Times New Roman" w:hAnsi="Times New Roman" w:cs="Times New Roman" w:eastAsia="宋体"/>
        </w:rPr>
        <w:fldChar w:fldCharType="end"/>
      </w:r>
      <w:r>
        <w:rPr>
          <w:rFonts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hint="eastAsia" w:ascii="Times New Roman" w:hAnsi="Times New Roman" w:cs="Times New Roman" w:eastAsia="宋体"/>
        </w:rPr>
        <w:fldChar w:fldCharType="end"/>
      </w:r>
      <w:r>
        <w:rPr>
          <w:rFonts w:ascii="Times New Roman" w:hAnsi="Times New Roman" w:cs="Times New Roman" w:eastAsia="宋体"/>
        </w:rPr>
        <w:fldChar w:fldCharType="end"/>
      </w:r>
    </w:p>
    <w:p w14:paraId="6DFCF16E">
      <w:pPr>
        <w:spacing w:line="360" w:lineRule="auto"/>
        <w:jc w:val="both"/>
        <w:outlineLvl w:val="0"/>
        <w:rPr>
          <w:rFonts w:ascii="黑体" w:eastAsia="黑体"/>
          <w:b/>
          <w:sz w:val="72"/>
          <w:szCs w:val="72"/>
        </w:rPr>
      </w:pPr>
    </w:p>
    <w:p w14:paraId="1BC6F070">
      <w:pPr>
        <w:spacing w:line="360" w:lineRule="auto"/>
        <w:jc w:val="both"/>
        <w:rPr>
          <w:rFonts w:ascii="黑体" w:eastAsia="黑体"/>
          <w:b/>
          <w:sz w:val="72"/>
          <w:szCs w:val="72"/>
        </w:rPr>
      </w:pPr>
      <w:r>
        <w:rPr>
          <w:rFonts w:hint="eastAsia" w:ascii="Times New Roman" w:eastAsia="宋体" w:hAnsi="Times New Roman" w:cs="Times New Roman"/>
          <w:b/>
          <w:sz w:val="72"/>
          <w:szCs w:val="72"/>
        </w:rPr>
        <w:t xml:space="preserve"> 毕 业 论 文（设计）</w:t>
      </w:r>
    </w:p>
    <w:p w14:paraId="3A02CCAF">
      <w:pPr>
        <w:spacing w:line="360" w:lineRule="auto"/>
        <w:jc w:val="both"/>
        <w:rPr>
          <w:rFonts w:ascii="黑体" w:eastAsia="黑体"/>
          <w:sz w:val="44"/>
          <w:szCs w:val="44"/>
        </w:rPr>
      </w:pPr>
      <w:r>
        <w:rPr>
          <w:rFonts w:hint="eastAsia" w:ascii="Times New Roman" w:eastAsia="宋体" w:hAnsi="Times New Roman" w:cs="Times New Roman"/>
          <w:sz w:val="44"/>
          <w:szCs w:val="44"/>
        </w:rPr>
        <w:t>（2026届）</w:t>
      </w:r>
    </w:p>
    <w:p w14:paraId="187320CE">
      <w:pPr>
        <w:spacing w:line="360" w:lineRule="auto"/>
        <w:jc w:val="both"/>
        <w:rPr>
          <w:b/>
          <w:sz w:val="32"/>
          <w:szCs w:val="32"/>
        </w:rPr>
      </w:pPr>
    </w:p>
    <w:p w14:paraId="13BE4067">
      <w:pPr>
        <w:spacing w:line="360" w:lineRule="auto"/>
        <w:jc w:val="both"/>
        <w:rPr>
          <w:b/>
          <w:sz w:val="30"/>
          <w:szCs w:val="30"/>
        </w:rPr>
      </w:pPr>
    </w:p>
    <w:p w14:paraId="04B9606D">
      <w:pPr>
        <w:spacing w:line="360" w:lineRule="auto"/>
        <w:jc w:val="both"/>
        <w:rPr>
          <w:b/>
          <w:sz w:val="30"/>
          <w:szCs w:val="30"/>
        </w:rPr>
      </w:pPr>
    </w:p>
    <w:p w14:paraId="02E52C20">
      <w:pPr>
        <w:spacing w:line="360" w:lineRule="auto"/>
        <w:jc w:val="both"/>
        <w:rPr>
          <w:rFonts w:hint="eastAsia" w:ascii="黑体" w:hAnsi="宋体" w:eastAsia="黑体"/>
          <w:bCs/>
          <w:sz w:val="48"/>
          <w:szCs w:val="48"/>
        </w:rPr>
      </w:pPr>
      <w:r>
        <w:rPr>
          <w:rFonts w:hint="eastAsia" w:ascii="Times New Roman" w:hAnsi="Times New Roman" w:eastAsia="宋体" w:cs="Times New Roman"/>
          <w:bCs/>
          <w:sz w:val="48"/>
          <w:szCs w:val="48"/>
        </w:rPr>
        <w:t>纳米纤维素基导电浆料的制备</w:t>
      </w:r>
    </w:p>
    <w:p w14:paraId="2CDA7735">
      <w:pPr>
        <w:spacing w:line="360" w:lineRule="auto"/>
        <w:jc w:val="both"/>
        <w:rPr>
          <w:rFonts w:hint="eastAsia" w:ascii="黑体" w:hAnsi="宋体" w:eastAsia="黑体"/>
          <w:bCs/>
          <w:sz w:val="48"/>
          <w:szCs w:val="48"/>
        </w:rPr>
      </w:pPr>
      <w:r>
        <w:rPr>
          <w:rFonts w:hint="eastAsia" w:ascii="Times New Roman" w:hAnsi="Times New Roman" w:eastAsia="宋体" w:cs="Times New Roman"/>
          <w:bCs/>
          <w:sz w:val="48"/>
          <w:szCs w:val="48"/>
        </w:rPr>
        <w:t>与应用研究</w:t>
      </w:r>
    </w:p>
    <w:p w14:paraId="56B4E121">
      <w:pPr>
        <w:spacing w:line="360" w:lineRule="auto"/>
        <w:jc w:val="both"/>
        <w:rPr>
          <w:rFonts w:hint="eastAsia" w:ascii="黑体" w:hAnsi="宋体" w:eastAsia="黑体"/>
          <w:sz w:val="48"/>
          <w:szCs w:val="48"/>
        </w:rPr>
      </w:pPr>
    </w:p>
    <w:p w14:paraId="742D9D48">
      <w:pPr>
        <w:spacing w:line="360" w:lineRule="auto"/>
        <w:jc w:val="both"/>
        <w:rPr>
          <w:b/>
          <w:sz w:val="32"/>
          <w:szCs w:val="32"/>
        </w:rPr>
      </w:pPr>
    </w:p>
    <w:p w14:paraId="14F7BB62">
      <w:pPr>
        <w:spacing w:line="360" w:lineRule="auto"/>
        <w:jc w:val="both"/>
        <w:rPr>
          <w:b/>
          <w:sz w:val="32"/>
          <w:szCs w:val="32"/>
        </w:rPr>
      </w:pPr>
    </w:p>
    <w:tbl>
      <w:tblPr>
        <w:tblStyle w:val="23"/>
        <w:tblW w:w="0" w:type="auto"/>
        <w:tblInd w:w="9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3402"/>
      </w:tblGrid>
      <w:tr w14:paraId="2C9BB8CB">
        <w:tc>
          <w:tcPr>
            <w:tcW w:w="2410" w:type="dxa"/>
          </w:tcPr>
          <w:p w14:paraId="42542B2E">
            <w:pPr>
              <w:ind w:firstLine="519" w:firstLineChars="162"/>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学生姓名</w:t>
            </w:r>
          </w:p>
        </w:tc>
        <w:tc>
          <w:tcPr>
            <w:tcW w:w="3402" w:type="dxa"/>
            <w:tcBorders>
              <w:top w:val="nil"/>
              <w:left w:val="nil"/>
              <w:bottom w:val="single" w:color="auto" w:sz="4" w:space="0"/>
              <w:right w:val="nil"/>
            </w:tcBorders>
          </w:tcPr>
          <w:p w14:paraId="32095F59">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郑玉彤</w:t>
            </w:r>
          </w:p>
        </w:tc>
      </w:tr>
      <w:tr w14:paraId="0DD19AAC">
        <w:tc>
          <w:tcPr>
            <w:tcW w:w="2410" w:type="dxa"/>
          </w:tcPr>
          <w:p w14:paraId="6D0D06F4">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学    号</w:t>
            </w:r>
          </w:p>
        </w:tc>
        <w:tc>
          <w:tcPr>
            <w:tcW w:w="3402" w:type="dxa"/>
            <w:tcBorders>
              <w:top w:val="single" w:color="auto" w:sz="4" w:space="0"/>
              <w:left w:val="nil"/>
              <w:bottom w:val="single" w:color="auto" w:sz="4" w:space="0"/>
              <w:right w:val="nil"/>
            </w:tcBorders>
          </w:tcPr>
          <w:p w14:paraId="27D0BC39">
            <w:pPr>
              <w:jc w:val="left"/>
              <w:rPr>
                <w:b/>
                <w:bCs/>
                <w:color w:val="000000" w:themeColor="text1"/>
                <w:kern w:val="0"/>
                <w:sz w:val="32"/>
                <w:szCs w:val="32"/>
                <w14:textFill>
                  <w14:solidFill>
                    <w14:schemeClr w14:val="tx1"/>
                  </w14:solidFill>
                </w14:textFill>
              </w:rPr>
            </w:pPr>
            <w:r>
              <w:rPr>
                <w:rFonts w:ascii="Times New Roman" w:hAnsi="Times New Roman" w:eastAsia="宋体" w:cs="Times New Roman"/>
                <w:b/>
                <w:bCs/>
                <w:color w:val="000000" w:themeColor="text1"/>
                <w:kern w:val="0"/>
                <w:sz w:val="18"/>
                <w:szCs w:val="32"/>
                <w14:textFill>
                  <w14:solidFill>
                    <w14:schemeClr w14:val="tx1"/>
                  </w14:solidFill>
                </w14:textFill>
              </w:rPr>
              <w:t>2</w:t>
            </w:r>
            <w:r>
              <w:rPr>
                <w:rFonts w:hint="eastAsia" w:ascii="Times New Roman" w:hAnsi="Times New Roman" w:eastAsia="宋体" w:cs="Times New Roman"/>
                <w:b/>
                <w:bCs/>
                <w:color w:val="000000" w:themeColor="text1"/>
                <w:kern w:val="0"/>
                <w:sz w:val="18"/>
                <w:szCs w:val="32"/>
                <w14:textFill>
                  <w14:solidFill>
                    <w14:schemeClr w14:val="tx1"/>
                  </w14:solidFill>
                </w14:textFill>
              </w:rPr>
              <w:t>2139227</w:t>
            </w:r>
          </w:p>
        </w:tc>
      </w:tr>
      <w:tr w14:paraId="3D8B9321">
        <w:tc>
          <w:tcPr>
            <w:tcW w:w="2410" w:type="dxa"/>
          </w:tcPr>
          <w:p w14:paraId="3D27624B">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院    系</w:t>
            </w:r>
          </w:p>
        </w:tc>
        <w:tc>
          <w:tcPr>
            <w:tcW w:w="3402" w:type="dxa"/>
            <w:tcBorders>
              <w:top w:val="single" w:color="auto" w:sz="4" w:space="0"/>
              <w:left w:val="nil"/>
              <w:bottom w:val="single" w:color="auto" w:sz="4" w:space="0"/>
              <w:right w:val="nil"/>
            </w:tcBorders>
          </w:tcPr>
          <w:p w14:paraId="2AF2BEB9">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纺织科学与工程学院</w:t>
            </w:r>
          </w:p>
        </w:tc>
      </w:tr>
      <w:tr w14:paraId="49CFD8D1">
        <w:tc>
          <w:tcPr>
            <w:tcW w:w="2410" w:type="dxa"/>
          </w:tcPr>
          <w:p w14:paraId="2E981D40">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专    业</w:t>
            </w:r>
          </w:p>
        </w:tc>
        <w:tc>
          <w:tcPr>
            <w:tcW w:w="3402" w:type="dxa"/>
            <w:tcBorders>
              <w:top w:val="single" w:color="auto" w:sz="4" w:space="0"/>
              <w:left w:val="nil"/>
              <w:bottom w:val="single" w:color="auto" w:sz="4" w:space="0"/>
              <w:right w:val="nil"/>
            </w:tcBorders>
          </w:tcPr>
          <w:p w14:paraId="1CA6E5F0">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轻化工程</w:t>
            </w:r>
          </w:p>
        </w:tc>
      </w:tr>
      <w:tr w14:paraId="32A36E37">
        <w:tc>
          <w:tcPr>
            <w:tcW w:w="2410" w:type="dxa"/>
          </w:tcPr>
          <w:p w14:paraId="45BD9F58">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指导教师</w:t>
            </w:r>
          </w:p>
        </w:tc>
        <w:tc>
          <w:tcPr>
            <w:tcW w:w="3402" w:type="dxa"/>
            <w:tcBorders>
              <w:top w:val="single" w:color="auto" w:sz="4" w:space="0"/>
              <w:left w:val="nil"/>
              <w:bottom w:val="single" w:color="auto" w:sz="4" w:space="0"/>
              <w:right w:val="nil"/>
            </w:tcBorders>
          </w:tcPr>
          <w:p w14:paraId="1696CF82">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王玉</w:t>
            </w:r>
          </w:p>
        </w:tc>
      </w:tr>
      <w:tr w14:paraId="15D715FB">
        <w:tc>
          <w:tcPr>
            <w:tcW w:w="2410" w:type="dxa"/>
          </w:tcPr>
          <w:p w14:paraId="42C81277">
            <w:pPr>
              <w:jc w:val="left"/>
              <w:rPr>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完成日期</w:t>
            </w:r>
          </w:p>
        </w:tc>
        <w:tc>
          <w:tcPr>
            <w:tcW w:w="3402" w:type="dxa"/>
            <w:tcBorders>
              <w:top w:val="single" w:color="auto" w:sz="4" w:space="0"/>
              <w:left w:val="nil"/>
              <w:bottom w:val="single" w:color="auto" w:sz="4" w:space="0"/>
              <w:right w:val="nil"/>
            </w:tcBorders>
          </w:tcPr>
          <w:p w14:paraId="10793AF2">
            <w:pPr>
              <w:jc w:val="left"/>
              <w:rPr>
                <w:rFonts w:hint="eastAsia" w:ascii="宋体" w:hAnsi="宋体"/>
                <w:b/>
                <w:bCs/>
                <w:color w:val="000000" w:themeColor="text1"/>
                <w:kern w:val="0"/>
                <w:sz w:val="32"/>
                <w:szCs w:val="32"/>
                <w14:textFill>
                  <w14:solidFill>
                    <w14:schemeClr w14:val="tx1"/>
                  </w14:solidFill>
                </w14:textFill>
              </w:rPr>
            </w:pPr>
            <w:r>
              <w:rPr>
                <w:rFonts w:hint="eastAsia" w:ascii="Times New Roman" w:hAnsi="Times New Roman" w:eastAsia="宋体" w:cs="Times New Roman"/>
                <w:b/>
                <w:bCs/>
                <w:color w:val="000000" w:themeColor="text1"/>
                <w:kern w:val="0"/>
                <w:sz w:val="18"/>
                <w:szCs w:val="32"/>
                <w14:textFill>
                  <w14:solidFill>
                    <w14:schemeClr w14:val="tx1"/>
                  </w14:solidFill>
                </w14:textFill>
              </w:rPr>
              <w:t>2026.5.12</w:t>
            </w:r>
          </w:p>
        </w:tc>
      </w:tr>
    </w:tbl>
    <w:p w14:paraId="2B3C2F74">
      <w:pPr>
        <w:widowControl/>
        <w:jc w:val="both"/>
        <w:rPr>
          <w:rFonts w:ascii="黑体" w:eastAsia="黑体"/>
          <w:b/>
          <w:kern w:val="0"/>
          <w:sz w:val="32"/>
          <w:szCs w:val="32"/>
        </w:rPr>
        <w:sectPr>
          <w:pgSz w:w="11906" w:h="16838"/>
          <w:pgMar w:top="1247" w:right="1797" w:bottom="1247" w:left="1797" w:header="851" w:footer="992" w:gutter="0"/>
          <w:pgNumType w:fmt="numberInDash"/>
          <w:cols w:space="720" w:num="1"/>
          <w:docGrid w:type="lines" w:linePitch="312" w:charSpace="0"/>
        </w:sectPr>
      </w:pPr>
    </w:p>
    <w:p w14:paraId="1014D113">
      <w:pPr>
        <w:spacing w:line="620" w:lineRule="exact"/>
        <w:jc w:val="both"/>
        <w:rPr>
          <w:rFonts w:hint="eastAsia" w:ascii="方正小标宋简体" w:hAnsi="方正小标宋简体" w:eastAsia="方正小标宋简体" w:cs="方正小标宋简体"/>
          <w:bCs/>
          <w:sz w:val="36"/>
          <w:szCs w:val="36"/>
        </w:rPr>
      </w:pPr>
      <w:r>
        <w:rPr>
          <w:rFonts w:hint="eastAsia" w:ascii="Times New Roman" w:hAnsi="Times New Roman" w:eastAsia="宋体" w:cs="Times New Roman"/>
          <w:bCs/>
          <w:sz w:val="36"/>
          <w:szCs w:val="36"/>
        </w:rPr>
        <w:t>绍 兴 大 学</w:t>
      </w:r>
    </w:p>
    <w:p w14:paraId="09A57E54">
      <w:pPr>
        <w:spacing w:line="620" w:lineRule="exact"/>
        <w:jc w:val="both"/>
        <w:rPr>
          <w:rFonts w:hint="eastAsia" w:ascii="方正小标宋简体" w:hAnsi="方正小标宋简体" w:eastAsia="方正小标宋简体" w:cs="方正小标宋简体"/>
          <w:bCs/>
          <w:sz w:val="36"/>
          <w:szCs w:val="36"/>
        </w:rPr>
      </w:pPr>
      <w:r>
        <w:rPr>
          <w:rFonts w:hint="eastAsia" w:ascii="Times New Roman" w:hAnsi="Times New Roman" w:eastAsia="宋体" w:cs="Times New Roman"/>
          <w:bCs/>
          <w:sz w:val="36"/>
          <w:szCs w:val="36"/>
        </w:rPr>
        <w:t>毕业论文（设计）诚信承诺书</w:t>
      </w:r>
    </w:p>
    <w:p w14:paraId="2CEC0760">
      <w:pPr>
        <w:jc w:val="both"/>
        <w:rPr>
          <w:rFonts w:ascii="黑体" w:eastAsia="黑体"/>
          <w:b/>
          <w:bCs/>
          <w:sz w:val="36"/>
          <w:szCs w:val="36"/>
        </w:rPr>
      </w:pPr>
    </w:p>
    <w:p w14:paraId="75E3C3D1">
      <w:pPr>
        <w:adjustRightInd w:val="0"/>
        <w:snapToGrid w:val="0"/>
        <w:spacing w:line="560" w:lineRule="exact"/>
        <w:ind w:firstLine="560" w:firstLineChars="200"/>
        <w:jc w:val="both"/>
        <w:rPr>
          <w:rFonts w:hint="eastAsia" w:ascii="仿宋_GB2312" w:hAnsi="仿宋_GB2312" w:eastAsia="仿宋_GB2312" w:cs="仿宋_GB2312"/>
          <w:bCs/>
          <w:sz w:val="28"/>
          <w:szCs w:val="28"/>
        </w:rPr>
      </w:pPr>
      <w:r>
        <w:rPr>
          <w:rFonts w:hint="eastAsia" w:ascii="Times New Roman" w:hAnsi="Times New Roman" w:eastAsia="宋体" w:cs="Times New Roman"/>
          <w:bCs/>
          <w:sz w:val="28"/>
          <w:szCs w:val="28"/>
        </w:rPr>
        <w:t>1.本人郑重地承诺所呈交的毕业论文（设计），是在指导教师的指导下严格按照学校和学院有关规定完成的。</w:t>
      </w:r>
    </w:p>
    <w:p w14:paraId="3DDC0FE1">
      <w:pPr>
        <w:adjustRightInd w:val="0"/>
        <w:snapToGrid w:val="0"/>
        <w:spacing w:line="560" w:lineRule="exact"/>
        <w:ind w:firstLine="560" w:firstLineChars="200"/>
        <w:jc w:val="both"/>
        <w:rPr>
          <w:rFonts w:hint="eastAsia" w:ascii="仿宋_GB2312" w:hAnsi="仿宋_GB2312" w:eastAsia="仿宋_GB2312" w:cs="仿宋_GB2312"/>
          <w:bCs/>
          <w:sz w:val="28"/>
          <w:szCs w:val="28"/>
        </w:rPr>
      </w:pPr>
      <w:r>
        <w:rPr>
          <w:rFonts w:hint="eastAsia" w:ascii="Times New Roman" w:hAnsi="Times New Roman" w:eastAsia="宋体" w:cs="Times New Roman"/>
          <w:bCs/>
          <w:sz w:val="28"/>
          <w:szCs w:val="28"/>
        </w:rPr>
        <w:t>2.本人在毕业论文（设计）中引用他人的观点和参考资料均加以注释和说明，对使用人工智能（AI）工具生成的内容明确标注。</w:t>
      </w:r>
    </w:p>
    <w:p w14:paraId="3E59F465">
      <w:pPr>
        <w:adjustRightInd w:val="0"/>
        <w:snapToGrid w:val="0"/>
        <w:spacing w:line="560" w:lineRule="exact"/>
        <w:ind w:firstLine="560" w:firstLineChars="200"/>
        <w:jc w:val="both"/>
        <w:rPr>
          <w:rFonts w:hint="eastAsia" w:ascii="仿宋_GB2312" w:hAnsi="仿宋_GB2312" w:eastAsia="仿宋_GB2312" w:cs="仿宋_GB2312"/>
          <w:bCs/>
          <w:sz w:val="28"/>
          <w:szCs w:val="28"/>
        </w:rPr>
      </w:pPr>
      <w:r>
        <w:rPr>
          <w:rFonts w:hint="eastAsia" w:ascii="Times New Roman" w:hAnsi="Times New Roman" w:eastAsia="宋体" w:cs="Times New Roman"/>
          <w:bCs/>
          <w:sz w:val="28"/>
          <w:szCs w:val="28"/>
        </w:rPr>
        <w:t>3.本人承诺在毕业论文（设计）选题和研究内容过程中没有抄袭他人研究成果和伪造相关数据等行为。</w:t>
      </w:r>
    </w:p>
    <w:p w14:paraId="1C018F60">
      <w:pPr>
        <w:adjustRightInd w:val="0"/>
        <w:snapToGrid w:val="0"/>
        <w:spacing w:line="560" w:lineRule="exact"/>
        <w:ind w:firstLine="560" w:firstLineChars="200"/>
        <w:jc w:val="both"/>
        <w:rPr>
          <w:rFonts w:hint="eastAsia" w:ascii="仿宋_GB2312" w:hAnsi="仿宋_GB2312" w:eastAsia="仿宋_GB2312" w:cs="仿宋_GB2312"/>
          <w:bCs/>
          <w:sz w:val="28"/>
          <w:szCs w:val="28"/>
        </w:rPr>
      </w:pPr>
      <w:r>
        <w:rPr>
          <w:rFonts w:hint="eastAsia" w:ascii="Times New Roman" w:hAnsi="Times New Roman" w:eastAsia="宋体" w:cs="Times New Roman"/>
          <w:bCs/>
          <w:sz w:val="28"/>
          <w:szCs w:val="28"/>
        </w:rPr>
        <w:t>4.在毕业论文（设计）中对侵犯任何方面知识产权的行为，由本人承担相应的法律责任。</w:t>
      </w:r>
    </w:p>
    <w:p w14:paraId="02E610B3">
      <w:pPr>
        <w:adjustRightInd w:val="0"/>
        <w:snapToGrid w:val="0"/>
        <w:spacing w:line="560" w:lineRule="exact"/>
        <w:ind w:firstLine="560" w:firstLineChars="200"/>
        <w:jc w:val="both"/>
        <w:rPr>
          <w:rFonts w:hint="eastAsia" w:ascii="仿宋_GB2312" w:hAnsi="仿宋_GB2312" w:eastAsia="仿宋_GB2312" w:cs="仿宋_GB2312"/>
          <w:bCs/>
          <w:sz w:val="28"/>
          <w:szCs w:val="28"/>
        </w:rPr>
      </w:pPr>
      <w:r>
        <w:rPr>
          <w:rFonts w:hint="eastAsia" w:ascii="Times New Roman" w:hAnsi="Times New Roman" w:eastAsia="宋体" w:cs="Times New Roman"/>
          <w:bCs/>
          <w:sz w:val="28"/>
          <w:szCs w:val="28"/>
        </w:rPr>
        <w:t>5.本人承诺严格遵守学校毕业论文管理文件人工智能（AI）工具相关使用规定，不利用人工智能（AI）工具用于论文的抄袭。</w:t>
      </w:r>
    </w:p>
    <w:p w14:paraId="4F1B46B1">
      <w:pPr>
        <w:adjustRightInd w:val="0"/>
        <w:snapToGrid w:val="0"/>
        <w:spacing w:line="560" w:lineRule="exact"/>
        <w:ind w:firstLine="560" w:firstLineChars="200"/>
        <w:jc w:val="both"/>
        <w:rPr>
          <w:rFonts w:hint="eastAsia" w:ascii="仿宋_GB2312" w:hAnsi="仿宋_GB2312" w:eastAsia="仿宋_GB2312" w:cs="仿宋_GB2312"/>
          <w:bCs/>
          <w:sz w:val="28"/>
          <w:szCs w:val="28"/>
        </w:rPr>
      </w:pPr>
      <w:r>
        <w:rPr>
          <w:rFonts w:hint="eastAsia" w:ascii="Times New Roman" w:hAnsi="Times New Roman" w:eastAsia="宋体" w:cs="Times New Roman"/>
          <w:bCs/>
          <w:sz w:val="28"/>
          <w:szCs w:val="28"/>
        </w:rPr>
        <w:t>6.本人已被告知并清楚：学校对毕业论文（设计）中的抄袭、剽窃、弄虚作假等违反学术规范的</w:t>
      </w:r>
      <w:r>
        <w:rPr>
          <w:rFonts w:ascii="Times New Roman" w:hAnsi="Times New Roman" w:eastAsia="宋体" w:cs="Times New Roman"/>
        </w:rPr>
        <w:fldChar w:fldCharType="begin"/>
      </w:r>
      <w:r>
        <w:rPr>
          <w:rFonts w:ascii="Times New Roman" w:hAnsi="Times New Roman" w:eastAsia="宋体" w:cs="Times New Roman"/>
        </w:rPr>
        <w:instrText xml:space="preserve"> HYPERLINK "https://www.llysc.cn/content/zaoju-3758.html" \o "行为" </w:instrText>
      </w:r>
      <w:r>
        <w:rPr>
          <w:rFonts w:ascii="Times New Roman" w:hAnsi="Times New Roman" w:eastAsia="宋体" w:cs="Times New Roman"/>
        </w:rPr>
        <w:fldChar w:fldCharType="separate"/>
      </w:r>
      <w:r>
        <w:rPr>
          <w:rFonts w:hint="eastAsia" w:ascii="Times New Roman" w:hAnsi="Times New Roman" w:eastAsia="宋体" w:cs="Times New Roman"/>
          <w:bCs/>
          <w:sz w:val="28"/>
          <w:szCs w:val="28"/>
        </w:rPr>
        <w:t>行为</w:t>
      </w:r>
      <w:r>
        <w:rPr>
          <w:rFonts w:hint="eastAsia" w:ascii="Times New Roman" w:hAnsi="Times New Roman" w:eastAsia="宋体" w:cs="Times New Roman"/>
          <w:bCs/>
          <w:sz w:val="28"/>
          <w:szCs w:val="28"/>
        </w:rPr>
        <w:fldChar w:fldCharType="end"/>
      </w:r>
      <w:r>
        <w:rPr>
          <w:rFonts w:hint="eastAsia" w:ascii="Times New Roman" w:hAnsi="Times New Roman" w:eastAsia="宋体" w:cs="Times New Roman"/>
          <w:bCs/>
          <w:sz w:val="28"/>
          <w:szCs w:val="28"/>
        </w:rPr>
        <w:t>将严肃处理，并可能导致毕业论文（设计）成绩不合格，无法正常毕业、取消学士学位资格或注销并追回已发放的毕业证书、学士学位证书等严重后果。</w:t>
      </w:r>
    </w:p>
    <w:p w14:paraId="6473DFD3">
      <w:pPr>
        <w:adjustRightInd w:val="0"/>
        <w:snapToGrid w:val="0"/>
        <w:spacing w:line="560" w:lineRule="exact"/>
        <w:ind w:firstLine="560" w:firstLineChars="200"/>
        <w:jc w:val="both"/>
        <w:rPr>
          <w:rFonts w:hint="eastAsia" w:ascii="仿宋_GB2312" w:hAnsi="仿宋_GB2312" w:eastAsia="仿宋_GB2312" w:cs="仿宋_GB2312"/>
          <w:bCs/>
          <w:sz w:val="28"/>
          <w:szCs w:val="28"/>
        </w:rPr>
      </w:pPr>
      <w:r>
        <w:rPr>
          <w:rFonts w:hint="eastAsia" w:ascii="Times New Roman" w:hAnsi="Times New Roman" w:eastAsia="宋体" w:cs="Times New Roman"/>
          <w:bCs/>
          <w:sz w:val="28"/>
          <w:szCs w:val="28"/>
        </w:rPr>
        <w:t>7.学校有权保留本毕业论文（设计），允许被查阅和借阅，可以将本毕业论文（设计）的内容编入有关数据库进行检索或向上级有关部门送交本毕业论文（设计）。</w:t>
      </w:r>
    </w:p>
    <w:p w14:paraId="4C5E853B">
      <w:pPr>
        <w:adjustRightInd w:val="0"/>
        <w:snapToGrid w:val="0"/>
        <w:spacing w:line="560" w:lineRule="exact"/>
        <w:ind w:firstLine="560" w:firstLineChars="200"/>
        <w:jc w:val="both"/>
        <w:rPr>
          <w:rFonts w:hint="eastAsia" w:ascii="仿宋_GB2312" w:hAnsi="仿宋_GB2312" w:eastAsia="仿宋_GB2312" w:cs="仿宋_GB2312"/>
          <w:bCs/>
          <w:sz w:val="28"/>
          <w:szCs w:val="28"/>
        </w:rPr>
      </w:pPr>
    </w:p>
    <w:p w14:paraId="612A11A2">
      <w:pPr>
        <w:spacing w:line="700" w:lineRule="exact"/>
        <w:ind w:right="640"/>
        <w:jc w:val="both"/>
        <w:rPr>
          <w:rFonts w:hint="eastAsia" w:ascii="仿宋_GB2312" w:hAnsi="仿宋_GB2312" w:eastAsia="仿宋_GB2312" w:cs="仿宋_GB2312"/>
          <w:b/>
          <w:bCs/>
          <w:sz w:val="30"/>
          <w:szCs w:val="30"/>
        </w:rPr>
      </w:pPr>
      <w:r>
        <w:rPr>
          <w:rFonts w:hint="eastAsia" w:ascii="Times New Roman" w:hAnsi="Times New Roman" w:eastAsia="宋体" w:cs="Times New Roman"/>
          <w:bCs/>
          <w:sz w:val="28"/>
          <w:szCs w:val="28"/>
        </w:rPr>
        <w:t xml:space="preserve">毕业论文（设计）作者签名：   </w:t>
      </w:r>
      <w:r>
        <w:rPr>
          <w:rFonts w:hint="eastAsia" w:ascii="Times New Roman" w:hAnsi="Times New Roman" w:eastAsia="宋体" w:cs="Times New Roman"/>
          <w:b/>
          <w:bCs/>
          <w:sz w:val="30"/>
          <w:szCs w:val="30"/>
        </w:rPr>
        <w:t xml:space="preserve">      </w:t>
      </w:r>
    </w:p>
    <w:p w14:paraId="25F34E97">
      <w:pPr>
        <w:spacing w:line="720" w:lineRule="auto"/>
        <w:jc w:val="both"/>
        <w:rPr>
          <w:rFonts w:hint="eastAsia" w:ascii="仿宋_GB2312" w:hAnsi="仿宋_GB2312" w:eastAsia="仿宋_GB2312" w:cs="仿宋_GB2312"/>
          <w:b/>
          <w:bCs/>
          <w:sz w:val="30"/>
          <w:szCs w:val="30"/>
        </w:rPr>
      </w:pPr>
      <w:r>
        <w:rPr>
          <w:rFonts w:hint="eastAsia" w:ascii="Times New Roman" w:hAnsi="Times New Roman" w:eastAsia="宋体" w:cs="Times New Roman"/>
          <w:b/>
          <w:bCs/>
          <w:sz w:val="30"/>
          <w:szCs w:val="30"/>
        </w:rPr>
        <w:t xml:space="preserve">                      </w:t>
      </w:r>
      <w:r>
        <w:rPr>
          <w:rFonts w:hint="eastAsia" w:ascii="Times New Roman" w:hAnsi="Times New Roman" w:eastAsia="宋体" w:cs="Times New Roman"/>
          <w:bCs/>
          <w:sz w:val="28"/>
          <w:szCs w:val="28"/>
        </w:rPr>
        <w:t xml:space="preserve">     年    月    日</w:t>
      </w:r>
    </w:p>
    <w:p w14:paraId="021ACF6D">
      <w:pPr>
        <w:spacing w:line="360" w:lineRule="auto"/>
        <w:jc w:val="both"/>
        <w:rPr>
          <w:rFonts w:ascii="黑体" w:eastAsia="黑体"/>
          <w:b/>
          <w:sz w:val="72"/>
          <w:szCs w:val="72"/>
        </w:rPr>
        <w:sectPr>
          <w:footerReference r:id="rId8" w:type="first"/>
          <w:footerReference r:id="rId7" w:type="default"/>
          <w:pgSz w:w="11906" w:h="16838"/>
          <w:pgMar w:top="1247" w:right="1797" w:bottom="1247" w:left="1797" w:header="851" w:footer="992" w:gutter="0"/>
          <w:pgNumType w:fmt="numberInDash"/>
          <w:cols w:space="720" w:num="1"/>
          <w:docGrid w:type="lines" w:linePitch="312" w:charSpace="0"/>
        </w:sectPr>
      </w:pPr>
    </w:p>
    <w:p w14:paraId="2CF3639D">
      <w:pPr>
        <w:spacing w:line="360" w:lineRule="auto"/>
        <w:jc w:val="both"/>
        <w:rPr>
          <w:rFonts w:hint="eastAsia" w:ascii="黑体" w:hAnsi="宋体" w:eastAsia="黑体"/>
          <w:bCs/>
          <w:sz w:val="48"/>
          <w:szCs w:val="48"/>
        </w:rPr>
      </w:pPr>
      <w:r>
        <w:rPr>
          <w:rFonts w:hint="eastAsia" w:ascii="Times New Roman" w:hAnsi="Times New Roman" w:eastAsia="宋体" w:cs="Times New Roman"/>
          <w:bCs/>
          <w:sz w:val="48"/>
          <w:szCs w:val="48"/>
        </w:rPr>
        <w:t>纳米纤维素基导电浆料的制备</w:t>
      </w:r>
    </w:p>
    <w:p w14:paraId="36240794">
      <w:pPr>
        <w:spacing w:line="360" w:lineRule="auto"/>
        <w:jc w:val="both"/>
        <w:rPr>
          <w:rFonts w:hint="eastAsia" w:ascii="黑体" w:hAnsi="宋体" w:eastAsia="黑体"/>
          <w:bCs/>
          <w:sz w:val="48"/>
          <w:szCs w:val="48"/>
        </w:rPr>
      </w:pPr>
      <w:r>
        <w:rPr>
          <w:rFonts w:hint="eastAsia" w:ascii="Times New Roman" w:hAnsi="Times New Roman" w:eastAsia="宋体" w:cs="Times New Roman"/>
          <w:bCs/>
          <w:sz w:val="48"/>
          <w:szCs w:val="48"/>
        </w:rPr>
        <w:t>与应用研究</w:t>
      </w:r>
    </w:p>
    <w:p w14:paraId="1A8AF8BA">
      <w:pPr>
        <w:spacing w:line="360" w:lineRule="auto"/>
        <w:jc w:val="both"/>
        <w:rPr>
          <w:rFonts w:hint="eastAsia" w:ascii="黑体" w:hAnsi="宋体" w:eastAsia="黑体"/>
          <w:bCs/>
        </w:rPr>
      </w:pPr>
    </w:p>
    <w:p w14:paraId="777F3545">
      <w:pPr>
        <w:spacing w:line="360" w:lineRule="auto"/>
        <w:jc w:val="both"/>
        <w:rPr>
          <w:rFonts w:hint="eastAsia" w:ascii="黑体" w:hAnsi="宋体" w:eastAsia="黑体"/>
          <w:bCs/>
        </w:rPr>
      </w:pPr>
    </w:p>
    <w:p w14:paraId="7D50C201">
      <w:pPr>
        <w:pStyle w:val="53"/>
        <w:outlineLvl w:val="0"/>
      </w:pPr>
      <w:bookmarkStart w:id="0" w:name="_Toc229493681"/>
      <w:r>
        <w:rPr>
          <w:rFonts w:hint="eastAsia" w:ascii="Times New Roman" w:hAnsi="Times New Roman" w:eastAsia="宋体" w:cs="Times New Roman"/>
        </w:rPr>
        <w:t>摘    要</w:t>
      </w:r>
      <w:bookmarkEnd w:id="0"/>
    </w:p>
    <w:p w14:paraId="65E114B8">
      <w:pPr>
        <w:jc w:val="both"/>
        <w:rPr>
          <w:rFonts w:hint="eastAsia" w:ascii="黑体" w:hAnsi="黑体" w:eastAsia="黑体"/>
          <w:sz w:val="30"/>
          <w:szCs w:val="30"/>
        </w:rPr>
      </w:pPr>
    </w:p>
    <w:p w14:paraId="26B04E37">
      <w:pPr>
        <w:spacing w:line="360" w:lineRule="auto"/>
        <w:ind w:firstLine="420"/>
        <w:jc w:val="both"/>
      </w:pPr>
      <w:r>
        <w:rPr>
          <w:rFonts w:hint="eastAsia" w:ascii="Times New Roman" w:hAnsi="Times New Roman" w:eastAsia="宋体" w:cs="Times New Roman"/>
        </w:rPr>
        <w:t>随着柔性电子器件及高频通信技术的发展，轻质、柔性且环境友好的电磁屏蔽材料受到广泛关注。为此，本研究以纤维素纳米纤维（CNF）和纤维素纳米晶（CNC）为基体，以碳纳米管（CNTs）为导电填料，制备了纳米纤维素基复合导电薄膜，并研究了溶剂体系及CNTs填充量对薄膜结构与性能的影响。具体研究如下：</w:t>
      </w:r>
      <w:r>
        <w:rPr>
          <w:rFonts w:hint="eastAsia" w:ascii="Times New Roman" w:hAnsi="Times New Roman" w:eastAsia="宋体" w:cs="Times New Roman"/>
          <w:color w:val="FF0000"/>
        </w:rPr>
      </w:r>
      <w:r>
        <w:rPr>
          <w:rFonts w:hint="eastAsia" w:ascii="Times New Roman" w:hAnsi="Times New Roman" w:eastAsia="宋体" w:cs="Times New Roman"/>
        </w:rPr>
      </w:r>
      <w:r>
        <w:rPr>
          <w:rFonts w:hint="eastAsia" w:ascii="Times New Roman" w:hAnsi="Times New Roman" w:eastAsia="宋体" w:cs="Times New Roman"/>
          <w:color w:val="FF0000"/>
        </w:rPr>
      </w:r>
    </w:p>
    <w:p w14:paraId="7848B89E">
      <w:pPr>
        <w:spacing w:line="360" w:lineRule="auto"/>
        <w:ind w:firstLine="480" w:firstLineChars="200"/>
        <w:jc w:val="both"/>
      </w:pPr>
      <w:r>
        <w:rPr>
          <w:rFonts w:hint="eastAsia" w:ascii="Times New Roman" w:hAnsi="Times New Roman" w:eastAsia="宋体" w:cs="Times New Roman"/>
        </w:rPr>
        <w:t>（1）以醇醚类溶作为复配溶剂对纳米纤维素薄膜的微孔结构具有显著影响，其中TPM体系具有较好的成孔能力。当TPM添加量为5倍时，体系表面张力约为46.89 mN/m，可形成均匀稳定的多孔结构。随着CNTs填充量增加，CNTs在CNF网络中的分散与搭接更加充分，复合薄膜逐渐形成连续导电网络，表面方阻明显降低，最佳样品方阻约为0.15 kΩ/□。同时，高CNTs含量样品在反复折叠100次 后仍保持较稳定的导电性能，表现出良好的柔性稳定性。</w:t>
      </w:r>
      <w:r>
        <w:rPr>
          <w:rFonts w:ascii="Times New Roman" w:hAnsi="Times New Roman" w:eastAsia="宋体" w:cs="Times New Roman"/>
        </w:rPr>
      </w:r>
      <w:r>
        <w:rPr>
          <w:rFonts w:hint="eastAsia" w:ascii="Times New Roman" w:hAnsi="Times New Roman" w:eastAsia="宋体" w:cs="Times New Roman"/>
        </w:rPr>
      </w:r>
    </w:p>
    <w:p w14:paraId="18DF8441">
      <w:pPr>
        <w:pStyle w:val="40"/>
        <w:numPr>
          <w:ilvl w:val="0"/>
          <w:numId w:val="2"/>
        </w:numPr>
        <w:spacing w:line="360" w:lineRule="auto"/>
        <w:jc w:val="both"/>
        <w:rPr>
          <w:rFonts w:ascii="Times New Roman" w:hAnsi="Times New Roman" w:eastAsia="宋体" w:cs="Times New Roman"/>
          <w:szCs w:val="24"/>
        </w:rPr>
      </w:pPr>
      <w:r>
        <w:rPr>
          <w:rFonts w:hint="eastAsia" w:ascii="Times New Roman" w:hAnsi="Times New Roman" w:eastAsia="宋体" w:cs="Times New Roman"/>
          <w:szCs w:val="24"/>
        </w:rPr>
        <w:t>复合导电薄膜在X波段和Ku波段均表现出良好的电磁屏蔽性能。最佳样品在X波段平均屏蔽效能达到22.9 dB，在Ku波段达到28.0 dB，且均以吸收损耗为主导机制。随着薄膜厚度增加，其电磁屏蔽性能进一步提升，三层薄膜最高屏蔽效能可达到41.5 dB。</w:t>
      </w:r>
    </w:p>
    <w:p w14:paraId="1EA1E24E">
      <w:pPr>
        <w:spacing w:line="360" w:lineRule="auto"/>
        <w:ind w:firstLine="420"/>
        <w:jc w:val="both"/>
      </w:pPr>
      <w:r>
        <w:rPr>
          <w:rFonts w:hint="eastAsia" w:ascii="Times New Roman" w:hAnsi="Times New Roman" w:eastAsia="宋体" w:cs="Times New Roman"/>
        </w:rPr>
        <w:t>综上，本研究成功制备了兼具柔性、导电性及优异电磁屏蔽性能的纳米纤维素基复合导电薄膜，为绿色柔性电磁屏蔽材料的开发与应用提供了实验基础和理论参考。</w:t>
      </w:r>
    </w:p>
    <w:p w14:paraId="6608145B">
      <w:pPr>
        <w:spacing w:line="360" w:lineRule="auto"/>
        <w:ind w:firstLine="420"/>
        <w:jc w:val="both"/>
      </w:pPr>
    </w:p>
    <w:p w14:paraId="7E3B230E">
      <w:pPr>
        <w:spacing w:line="360" w:lineRule="auto"/>
        <w:jc w:val="both"/>
        <w:rPr>
          <w:rFonts w:hint="eastAsia" w:ascii="宋体" w:hAnsi="宋体"/>
        </w:rPr>
      </w:pPr>
      <w:r>
        <w:rPr>
          <w:rFonts w:hint="eastAsia" w:ascii="Times New Roman" w:hAnsi="Times New Roman" w:eastAsia="宋体" w:cs="Times New Roman"/>
        </w:rPr>
        <w:t xml:space="preserve">关键词  </w:t>
      </w:r>
      <w:r>
        <w:rPr>
          <w:rFonts w:hint="eastAsia" w:ascii="Times New Roman" w:hAnsi="Times New Roman" w:eastAsia="宋体" w:cs="Times New Roman"/>
        </w:rPr>
        <w:t>纳米纤维素；碳纳米管；导电薄膜；电磁屏蔽；柔性材料</w:t>
      </w:r>
    </w:p>
    <w:p w14:paraId="5D7B4F29">
      <w:pPr>
        <w:spacing w:line="360" w:lineRule="auto"/>
        <w:jc w:val="both"/>
        <w:rPr>
          <w:rFonts w:hint="eastAsia" w:ascii="黑体" w:hAnsi="黑体" w:eastAsia="黑体"/>
        </w:rPr>
      </w:pPr>
    </w:p>
    <w:p w14:paraId="4B8380B9">
      <w:pPr>
        <w:jc w:val="both"/>
        <w:rPr>
          <w:rFonts w:hint="eastAsia" w:ascii="黑体" w:hAnsi="黑体" w:eastAsia="黑体"/>
        </w:rPr>
      </w:pPr>
    </w:p>
    <w:p w14:paraId="07135E9D">
      <w:pPr>
        <w:jc w:val="both"/>
        <w:rPr>
          <w:rFonts w:hint="eastAsia" w:ascii="黑体" w:hAnsi="黑体" w:eastAsia="黑体"/>
        </w:rPr>
      </w:pPr>
    </w:p>
    <w:p w14:paraId="53949DDE">
      <w:pPr>
        <w:jc w:val="both"/>
        <w:rPr>
          <w:rFonts w:eastAsia="黑体"/>
          <w:b/>
          <w:bCs/>
          <w:sz w:val="44"/>
          <w:szCs w:val="44"/>
        </w:rPr>
      </w:pPr>
      <w:r>
        <w:rPr>
          <w:rFonts w:eastAsia="宋体" w:ascii="Times New Roman" w:hAnsi="Times New Roman" w:cs="Times New Roman"/>
          <w:b/>
          <w:bCs/>
          <w:sz w:val="44"/>
          <w:szCs w:val="44"/>
        </w:rPr>
        <w:t>Preparation and Application of Nanocellulose-Based Conductive Pastes</w:t>
      </w:r>
    </w:p>
    <w:p w14:paraId="7C6A2BD9">
      <w:pPr>
        <w:jc w:val="both"/>
        <w:rPr>
          <w:rFonts w:eastAsia="黑体"/>
          <w:b/>
          <w:bCs/>
        </w:rPr>
      </w:pPr>
    </w:p>
    <w:p w14:paraId="0F246485">
      <w:pPr>
        <w:jc w:val="both"/>
        <w:rPr>
          <w:rFonts w:eastAsia="黑体"/>
          <w:b/>
          <w:bCs/>
        </w:rPr>
      </w:pPr>
    </w:p>
    <w:p w14:paraId="2C77713A">
      <w:pPr>
        <w:pStyle w:val="53"/>
        <w:outlineLvl w:val="0"/>
      </w:pPr>
      <w:bookmarkStart w:id="1" w:name="_Toc229493682"/>
      <w:r>
        <w:rPr>
          <w:rFonts w:hint="eastAsia" w:ascii="Times New Roman" w:hAnsi="Times New Roman" w:eastAsia="宋体" w:cs="Times New Roman"/>
        </w:rPr>
        <w:t>ABSTRACT</w:t>
      </w:r>
      <w:bookmarkEnd w:id="1"/>
    </w:p>
    <w:p w14:paraId="79925E46">
      <w:pPr>
        <w:jc w:val="both"/>
        <w:rPr>
          <w:rFonts w:eastAsia="黑体"/>
          <w:b/>
          <w:bCs/>
          <w:sz w:val="30"/>
          <w:szCs w:val="30"/>
        </w:rPr>
      </w:pPr>
    </w:p>
    <w:p w14:paraId="43615507">
      <w:pPr>
        <w:spacing w:line="360" w:lineRule="auto"/>
        <w:ind w:firstLine="420"/>
        <w:jc w:val="both"/>
      </w:pPr>
      <w:r>
        <w:rPr>
          <w:rFonts w:ascii="Times New Roman" w:hAnsi="Times New Roman" w:eastAsia="宋体" w:cs="Times New Roman"/>
        </w:rPr>
        <w:t>With the rapid development of flexible electronic devices and high-frequency communication technologies, lightweight, flexible, and environmentally friendly electromagnetic interference (EMI) shielding materials have attracted extensive attention. In this study, cellulose nanofibers (CNF) and cellulose nanocrystals (CNC) were used as the matrix, while carbon nanotubes (CNTs) were employed as conductive fillers to fabricate nanocellulose-based conductive composite films. The effects of glycol ether systems and CNTs content on the structure and properties of the composite films were systematically investigated. The main research contents are as follows:</w:t>
      </w:r>
    </w:p>
    <w:p w14:paraId="2CF77218">
      <w:pPr>
        <w:spacing w:line="360" w:lineRule="auto"/>
        <w:ind w:firstLine="420"/>
        <w:jc w:val="both"/>
      </w:pPr>
      <w:r>
        <w:rPr>
          <w:rFonts w:ascii="Times New Roman" w:hAnsi="Times New Roman" w:eastAsia="宋体" w:cs="Times New Roman"/>
        </w:rPr>
        <w:t>(1) Different glycol ethers exhibited significant effects on the porous structure of nanocellulose films, among which the TPM system showed the best pore-forming ability. When the TPM content reached 5 times, the surface tension of the system was approximately 46.89 mN/m, resulting in a uniform and stable porous structure. With increasing CNTs content, the dispersion and interconnection of CNTs within the CNF network became more sufficient, leading to the gradual formation of continuous conductive pathways and a significant reduction in sheet resistance. The optimal sample exhibited a sheet resistance of approximately 0.15 kΩ/□.In addition, the films with higher CNTs content maintained relatively stable conductivity after 100 folding cycles, demonstrating excellent flexibility and structural stability.</w:t>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p>
    <w:p w14:paraId="6B749763">
      <w:pPr>
        <w:spacing w:line="360" w:lineRule="auto"/>
        <w:ind w:firstLine="420"/>
        <w:jc w:val="both"/>
      </w:pPr>
      <w:r>
        <w:rPr>
          <w:rFonts w:ascii="Times New Roman" w:hAnsi="Times New Roman" w:eastAsia="宋体" w:cs="Times New Roman"/>
        </w:rPr>
        <w:t>(2) The composite conductive films exhibited good electromagnetic shielding performance in both the X-band and Ku-band frequency ranges. The optimal sample achieved an average shielding effectiveness of 22.9 dB in the X-band and 28.0 dB in the Ku-band, with absorption loss serving as the dominant shielding mechanism. Furthermore, the electromagnetic shielding performance was further enhanced with increasing film thickness, and the maximum shielding effectiveness of the three-layer film reached 41.5 dB.</w:t>
      </w:r>
    </w:p>
    <w:p w14:paraId="72E0A819">
      <w:pPr>
        <w:spacing w:line="360" w:lineRule="auto"/>
        <w:ind w:firstLine="420"/>
        <w:jc w:val="both"/>
      </w:pPr>
      <w:r>
        <w:rPr>
          <w:rFonts w:ascii="Times New Roman" w:hAnsi="Times New Roman" w:eastAsia="宋体" w:cs="Times New Roman"/>
        </w:rPr>
        <w:t>In summary, nanocellulose-based conductive composite films with excellent flexibility, electrical conductivity, and electromagnetic shielding performance were successfully prepared in this study, providing an experimental basis and theoretical reference for the development and application of green flexible EMI shielding materials.</w:t>
      </w:r>
    </w:p>
    <w:p w14:paraId="2F9DC018">
      <w:pPr>
        <w:spacing w:line="360" w:lineRule="auto"/>
        <w:jc w:val="both"/>
      </w:pPr>
    </w:p>
    <w:p w14:paraId="112EF666">
      <w:pPr>
        <w:spacing w:line="360" w:lineRule="auto"/>
        <w:jc w:val="both"/>
      </w:pPr>
      <w:r>
        <w:rPr>
          <w:rFonts w:ascii="Times New Roman" w:hAnsi="Times New Roman" w:eastAsia="宋体" w:cs="Times New Roman"/>
          <w:b/>
          <w:bCs/>
          <w:color w:val="000000" w:themeColor="text1"/>
          <w14:textFill>
            <w14:solidFill>
              <w14:schemeClr w14:val="tx1"/>
            </w14:solidFill>
          </w14:textFill>
        </w:rPr>
        <w:t>Keywords</w:t>
      </w:r>
      <w:r>
        <w:rPr>
          <w:rFonts w:hint="eastAsia" w:ascii="Times New Roman" w:hAnsi="Times New Roman" w:eastAsia="宋体" w:cs="Times New Roman"/>
          <w:b/>
          <w:bCs/>
          <w:color w:val="000000" w:themeColor="text1"/>
          <w14:textFill>
            <w14:solidFill>
              <w14:schemeClr w14:val="tx1"/>
            </w14:solidFill>
          </w14:textFill>
        </w:rPr>
        <w:t xml:space="preserve"> </w:t>
      </w:r>
      <w:r>
        <w:rPr>
          <w:rFonts w:ascii="Times New Roman" w:hAnsi="Times New Roman" w:eastAsia="宋体" w:cs="Times New Roman"/>
          <w:b/>
          <w:bCs/>
          <w:color w:val="000000" w:themeColor="text1"/>
          <w14:textFill>
            <w14:solidFill>
              <w14:schemeClr w14:val="tx1"/>
            </w14:solidFill>
          </w14:textFill>
        </w:rPr>
        <w:t xml:space="preserve"> </w:t>
      </w:r>
      <w:r>
        <w:rPr>
          <w:rFonts w:ascii="Times New Roman" w:hAnsi="Times New Roman" w:eastAsia="宋体" w:cs="Times New Roman"/>
        </w:rPr>
        <w:t>nanocellulose; carbon nanotubes; conductive film; electromagnetic interference shielding; flexible materials</w:t>
      </w:r>
    </w:p>
    <w:p w14:paraId="63235CFE">
      <w:pPr>
        <w:spacing w:line="360" w:lineRule="auto"/>
        <w:jc w:val="both"/>
      </w:pPr>
    </w:p>
    <w:p w14:paraId="700D84D5">
      <w:pPr>
        <w:widowControl/>
        <w:jc w:val="both"/>
        <w:rPr>
          <w:rFonts w:eastAsia="黑体"/>
          <w:b/>
          <w:bCs/>
          <w:sz w:val="30"/>
          <w:szCs w:val="30"/>
        </w:rPr>
      </w:pPr>
      <w:r>
        <w:rPr>
          <w:rFonts w:eastAsia="宋体" w:ascii="Times New Roman" w:hAnsi="Times New Roman" w:cs="Times New Roman"/>
          <w:b/>
          <w:bCs/>
          <w:sz w:val="30"/>
          <w:szCs w:val="30"/>
        </w:rPr>
        <w:br w:type="page"/>
      </w:r>
    </w:p>
    <w:sdt>
      <w:sdtPr>
        <w:rPr>
          <w:rFonts w:ascii="Times New Roman" w:hAnsi="Times New Roman" w:eastAsia="宋体" w:cs="Times New Roman"/>
          <w:color w:val="auto"/>
          <w:kern w:val="2"/>
          <w:sz w:val="24"/>
          <w:szCs w:val="24"/>
          <w:lang w:val="zh-CN"/>
        </w:rPr>
        <w:id w:val="-1"/>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w14:paraId="73E860DF">
          <w:pPr>
            <w:pStyle w:val="52"/>
            <w:jc w:val="center"/>
            <w:rPr>
              <w:rFonts w:hint="eastAsia" w:ascii="黑体" w:hAnsi="黑体" w:eastAsia="黑体"/>
              <w:b/>
              <w:bCs/>
              <w:color w:val="auto"/>
              <w:sz w:val="30"/>
              <w:szCs w:val="30"/>
            </w:rPr>
          </w:pPr>
          <w:r>
            <w:rPr>
              <w:rFonts w:ascii="黑体" w:hAnsi="黑体" w:eastAsia="黑体"/>
              <w:b/>
              <w:bCs/>
              <w:color w:val="auto"/>
              <w:sz w:val="30"/>
              <w:szCs w:val="30"/>
              <w:lang w:val="zh-CN"/>
            </w:rPr>
            <w:t>目</w:t>
          </w:r>
          <w:r>
            <w:rPr>
              <w:rFonts w:hint="eastAsia" w:ascii="黑体" w:hAnsi="黑体" w:eastAsia="黑体"/>
              <w:b/>
              <w:bCs/>
              <w:color w:val="auto"/>
              <w:sz w:val="30"/>
              <w:szCs w:val="30"/>
              <w:lang w:val="zh-CN"/>
            </w:rPr>
            <w:t xml:space="preserve">  </w:t>
          </w:r>
          <w:r>
            <w:rPr>
              <w:rFonts w:ascii="黑体" w:hAnsi="黑体" w:eastAsia="黑体"/>
              <w:b/>
              <w:bCs/>
              <w:color w:val="auto"/>
              <w:sz w:val="30"/>
              <w:szCs w:val="30"/>
              <w:lang w:val="zh-CN"/>
            </w:rPr>
            <w:t>录</w:t>
          </w:r>
        </w:p>
        <w:p w14:paraId="54242A2D">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TOC \o "1-3" \h \z \u </w:instrText>
          </w:r>
          <w:r>
            <w:fldChar w:fldCharType="separate"/>
          </w:r>
          <w:r>
            <w:fldChar w:fldCharType="begin"/>
          </w:r>
          <w:r>
            <w:instrText xml:space="preserve"> HYPERLINK \l "_Toc229493681" </w:instrText>
          </w:r>
          <w:r>
            <w:fldChar w:fldCharType="separate"/>
          </w:r>
          <w:r>
            <w:rPr>
              <w:rStyle w:val="25"/>
            </w:rPr>
            <w:t>摘    要</w:t>
          </w:r>
          <w:r>
            <w:rPr>
              <w:rFonts w:hint="eastAsia"/>
            </w:rPr>
            <w:tab/>
          </w:r>
          <w:r>
            <w:rPr>
              <w:rFonts w:hint="eastAsia"/>
            </w:rPr>
            <w:fldChar w:fldCharType="begin"/>
          </w:r>
          <w:r>
            <w:rPr>
              <w:rFonts w:hint="eastAsia"/>
            </w:rPr>
            <w:instrText xml:space="preserve"> </w:instrText>
          </w:r>
          <w:r>
            <w:instrText xml:space="preserve">PAGEREF _Toc229493681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72D98E">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"_Toc229493682" </w:instrText>
          </w:r>
          <w:r>
            <w:fldChar w:fldCharType="separate"/>
          </w:r>
          <w:r>
            <w:rPr>
              <w:rStyle w:val="25"/>
            </w:rPr>
            <w:t>ABSTRACT</w:t>
          </w:r>
          <w:r>
            <w:rPr>
              <w:rFonts w:hint="eastAsia"/>
            </w:rPr>
            <w:tab/>
          </w:r>
          <w:r>
            <w:rPr>
              <w:rFonts w:hint="eastAsia"/>
            </w:rPr>
            <w:fldChar w:fldCharType="begin"/>
          </w:r>
          <w:r>
            <w:rPr>
              <w:rFonts w:hint="eastAsia"/>
            </w:rPr>
            <w:instrText xml:space="preserve"> </w:instrText>
          </w:r>
          <w:r>
            <w:instrText xml:space="preserve">PAGEREF _Toc229493682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310C63E">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"_Toc229493683" </w:instrText>
          </w:r>
          <w:r>
            <w:fldChar w:fldCharType="separate"/>
          </w:r>
          <w:r>
            <w:rPr>
              <w:rStyle w:val="25"/>
            </w:rPr>
            <w:t>1. 绪论</w:t>
          </w:r>
          <w:r>
            <w:rPr>
              <w:rFonts w:hint="eastAsia"/>
            </w:rPr>
            <w:tab/>
          </w:r>
          <w:r>
            <w:rPr>
              <w:rFonts w:hint="eastAsia"/>
            </w:rPr>
            <w:fldChar w:fldCharType="begin"/>
          </w:r>
          <w:r>
            <w:rPr>
              <w:rFonts w:hint="eastAsia"/>
            </w:rPr>
            <w:instrText xml:space="preserve"> </w:instrText>
          </w:r>
          <w:r>
            <w:instrText xml:space="preserve">PAGEREF _Toc229493683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592386D">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"_Toc229493684" </w:instrText>
          </w:r>
          <w:r>
            <w:fldChar w:fldCharType="separate"/>
          </w:r>
          <w:r>
            <w:rPr>
              <w:rStyle w:val="25"/>
            </w:rPr>
            <w:t>1.1</w:t>
          </w:r>
          <w:r>
            <w:rPr>
              <w:rFonts w:hint="eastAsia" w:asciiTheme="minorHAnsi" w:hAnsiTheme="minorHAnsi" w:eastAsiaTheme="minorEastAsia" w:cstheme="minorBidi"/>
              <w:sz w:val="22"/>
              <w14:ligatures w14:val="standardContextual"/>
            </w:rPr>
            <w:tab/>
          </w:r>
          <w:r>
            <w:rPr>
              <w:rStyle w:val="25"/>
            </w:rPr>
            <w:t>研究背景及意义</w:t>
          </w:r>
          <w:r>
            <w:rPr>
              <w:rFonts w:hint="eastAsia"/>
            </w:rPr>
            <w:tab/>
          </w:r>
          <w:r>
            <w:rPr>
              <w:rFonts w:hint="eastAsia"/>
            </w:rPr>
            <w:fldChar w:fldCharType="begin"/>
          </w:r>
          <w:r>
            <w:rPr>
              <w:rFonts w:hint="eastAsia"/>
            </w:rPr>
            <w:instrText xml:space="preserve"> </w:instrText>
          </w:r>
          <w:r>
            <w:instrText xml:space="preserve">PAGEREF _Toc229493684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58B89D6">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"_Toc229493685" </w:instrText>
          </w:r>
          <w:r>
            <w:fldChar w:fldCharType="separate"/>
          </w:r>
          <w:r>
            <w:rPr>
              <w:rStyle w:val="25"/>
            </w:rPr>
            <w:t>1.2</w:t>
          </w:r>
          <w:r>
            <w:rPr>
              <w:rFonts w:hint="eastAsia" w:asciiTheme="minorHAnsi" w:hAnsiTheme="minorHAnsi" w:eastAsiaTheme="minorEastAsia" w:cstheme="minorBidi"/>
              <w:sz w:val="22"/>
              <w14:ligatures w14:val="standardContextual"/>
            </w:rPr>
            <w:tab/>
          </w:r>
          <w:r>
            <w:rPr>
              <w:rStyle w:val="25"/>
            </w:rPr>
            <w:t>纳米纤维素及其膜材料</w:t>
          </w:r>
          <w:r>
            <w:rPr>
              <w:rFonts w:hint="eastAsia"/>
            </w:rPr>
            <w:tab/>
          </w:r>
          <w:r>
            <w:rPr>
              <w:rFonts w:hint="eastAsia"/>
            </w:rPr>
            <w:fldChar w:fldCharType="begin"/>
          </w:r>
          <w:r>
            <w:rPr>
              <w:rFonts w:hint="eastAsia"/>
            </w:rPr>
            <w:instrText xml:space="preserve"> </w:instrText>
          </w:r>
          <w:r>
            <w:instrText xml:space="preserve">PAGEREF _Toc229493685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533A139">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"_Toc229493686" </w:instrText>
          </w:r>
          <w:r>
            <w:fldChar w:fldCharType="separate"/>
          </w:r>
          <w:r>
            <w:rPr>
              <w:rStyle w:val="25"/>
            </w:rPr>
            <w:t>1.2.1</w:t>
          </w:r>
          <w:r>
            <w:rPr>
              <w:rFonts w:hint="eastAsia" w:asciiTheme="minorHAnsi" w:hAnsiTheme="minorHAnsi" w:eastAsiaTheme="minorEastAsia" w:cstheme="minorBidi"/>
              <w:sz w:val="22"/>
              <w14:ligatures w14:val="standardContextual"/>
            </w:rPr>
            <w:tab/>
          </w:r>
          <w:r>
            <w:rPr>
              <w:rStyle w:val="25"/>
            </w:rPr>
            <w:t>纳米纤维素简介</w:t>
          </w:r>
          <w:r>
            <w:rPr>
              <w:rFonts w:hint="eastAsia"/>
            </w:rPr>
            <w:tab/>
          </w:r>
          <w:r>
            <w:rPr>
              <w:rFonts w:hint="eastAsia"/>
            </w:rPr>
            <w:fldChar w:fldCharType="begin"/>
          </w:r>
          <w:r>
            <w:rPr>
              <w:rFonts w:hint="eastAsia"/>
            </w:rPr>
            <w:instrText xml:space="preserve"> </w:instrText>
          </w:r>
          <w:r>
            <w:instrText xml:space="preserve">PAGEREF _Toc229493686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8BCD04F">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"_Toc229493687" </w:instrText>
          </w:r>
          <w:r>
            <w:fldChar w:fldCharType="separate"/>
          </w:r>
          <w:r>
            <w:rPr>
              <w:rStyle w:val="25"/>
            </w:rPr>
            <w:t>1.2.2</w:t>
          </w:r>
          <w:r>
            <w:rPr>
              <w:rFonts w:hint="eastAsia" w:asciiTheme="minorHAnsi" w:hAnsiTheme="minorHAnsi" w:eastAsiaTheme="minorEastAsia" w:cstheme="minorBidi"/>
              <w:sz w:val="22"/>
              <w14:ligatures w14:val="standardContextual"/>
            </w:rPr>
            <w:tab/>
          </w:r>
          <w:r>
            <w:rPr>
              <w:rStyle w:val="25"/>
            </w:rPr>
            <w:t>纳米纤维素的性能优势</w:t>
          </w:r>
          <w:r>
            <w:rPr>
              <w:rFonts w:hint="eastAsia"/>
            </w:rPr>
            <w:tab/>
          </w:r>
          <w:r>
            <w:rPr>
              <w:rFonts w:hint="eastAsia"/>
            </w:rPr>
            <w:fldChar w:fldCharType="begin"/>
          </w:r>
          <w:r>
            <w:rPr>
              <w:rFonts w:hint="eastAsia"/>
            </w:rPr>
            <w:instrText xml:space="preserve"> </w:instrText>
          </w:r>
          <w:r>
            <w:instrText xml:space="preserve">PAGEREF _Toc229493687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E906747">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"_Toc229493688" </w:instrText>
          </w:r>
          <w:r>
            <w:fldChar w:fldCharType="separate"/>
          </w:r>
          <w:r>
            <w:rPr>
              <w:rStyle w:val="25"/>
            </w:rPr>
            <w:t>1.2.3</w:t>
          </w:r>
          <w:r>
            <w:rPr>
              <w:rFonts w:hint="eastAsia" w:asciiTheme="minorHAnsi" w:hAnsiTheme="minorHAnsi" w:eastAsiaTheme="minorEastAsia" w:cstheme="minorBidi"/>
              <w:sz w:val="22"/>
              <w14:ligatures w14:val="standardContextual"/>
            </w:rPr>
            <w:tab/>
          </w:r>
          <w:r>
            <w:rPr>
              <w:rStyle w:val="25"/>
            </w:rPr>
            <w:t>纳米纤维素膜材料</w:t>
          </w:r>
          <w:r>
            <w:rPr>
              <w:rFonts w:hint="eastAsia"/>
            </w:rPr>
            <w:tab/>
          </w:r>
          <w:r>
            <w:rPr>
              <w:rFonts w:hint="eastAsia"/>
            </w:rPr>
            <w:fldChar w:fldCharType="begin"/>
          </w:r>
          <w:r>
            <w:rPr>
              <w:rFonts w:hint="eastAsia"/>
            </w:rPr>
            <w:instrText xml:space="preserve"> </w:instrText>
          </w:r>
          <w:r>
            <w:instrText xml:space="preserve">PAGEREF _Toc229493688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4D6DCF1">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"_Toc229493689" </w:instrText>
          </w:r>
          <w:r>
            <w:fldChar w:fldCharType="separate"/>
          </w:r>
          <w:r>
            <w:rPr>
              <w:rStyle w:val="25"/>
            </w:rPr>
            <w:t>1.3</w:t>
          </w:r>
          <w:r>
            <w:rPr>
              <w:rFonts w:hint="eastAsia" w:asciiTheme="minorHAnsi" w:hAnsiTheme="minorHAnsi" w:eastAsiaTheme="minorEastAsia" w:cstheme="minorBidi"/>
              <w:sz w:val="22"/>
              <w14:ligatures w14:val="standardContextual"/>
            </w:rPr>
            <w:tab/>
          </w:r>
          <w:r>
            <w:rPr>
              <w:rStyle w:val="25"/>
            </w:rPr>
            <w:t>导电填料及导电机理</w:t>
          </w:r>
          <w:r>
            <w:rPr>
              <w:rFonts w:hint="eastAsia"/>
            </w:rPr>
            <w:tab/>
          </w:r>
          <w:r>
            <w:rPr>
              <w:rFonts w:hint="eastAsia"/>
            </w:rPr>
            <w:fldChar w:fldCharType="begin"/>
          </w:r>
          <w:r>
            <w:rPr>
              <w:rFonts w:hint="eastAsia"/>
            </w:rPr>
            <w:instrText xml:space="preserve"> </w:instrText>
          </w:r>
          <w:r>
            <w:instrText xml:space="preserve">PAGEREF _Toc229493689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1E6F4B2">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"_Toc229493690" </w:instrText>
          </w:r>
          <w:r>
            <w:fldChar w:fldCharType="separate"/>
          </w:r>
          <w:r>
            <w:rPr>
              <w:rStyle w:val="25"/>
            </w:rPr>
            <w:t>1.3.1</w:t>
          </w:r>
          <w:r>
            <w:rPr>
              <w:rFonts w:hint="eastAsia" w:asciiTheme="minorHAnsi" w:hAnsiTheme="minorHAnsi" w:eastAsiaTheme="minorEastAsia" w:cstheme="minorBidi"/>
              <w:sz w:val="22"/>
              <w14:ligatures w14:val="standardContextual"/>
            </w:rPr>
            <w:tab/>
          </w:r>
          <w:r>
            <w:rPr>
              <w:rStyle w:val="25"/>
            </w:rPr>
            <w:t>导电填料的分类</w:t>
          </w:r>
          <w:r>
            <w:rPr>
              <w:rFonts w:hint="eastAsia"/>
            </w:rPr>
            <w:tab/>
          </w:r>
          <w:r>
            <w:rPr>
              <w:rFonts w:hint="eastAsia"/>
            </w:rPr>
            <w:fldChar w:fldCharType="begin"/>
          </w:r>
          <w:r>
            <w:rPr>
              <w:rFonts w:hint="eastAsia"/>
            </w:rPr>
            <w:instrText xml:space="preserve"> </w:instrText>
          </w:r>
          <w:r>
            <w:instrText xml:space="preserve">PAGEREF _Toc229493690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4464747">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"_Toc229493691" </w:instrText>
          </w:r>
          <w:r>
            <w:fldChar w:fldCharType="separate"/>
          </w:r>
          <w:r>
            <w:rPr>
              <w:rStyle w:val="25"/>
            </w:rPr>
            <w:t>1.4</w:t>
          </w:r>
          <w:r>
            <w:rPr>
              <w:rFonts w:hint="eastAsia" w:asciiTheme="minorHAnsi" w:hAnsiTheme="minorHAnsi" w:eastAsiaTheme="minorEastAsia" w:cstheme="minorBidi"/>
              <w:sz w:val="22"/>
              <w14:ligatures w14:val="standardContextual"/>
            </w:rPr>
            <w:tab/>
          </w:r>
          <w:r>
            <w:rPr>
              <w:rStyle w:val="25"/>
            </w:rPr>
            <w:t>纤维素基导电薄膜的研究进展</w:t>
          </w:r>
          <w:r>
            <w:rPr>
              <w:rFonts w:hint="eastAsia"/>
            </w:rPr>
            <w:tab/>
          </w:r>
          <w:r>
            <w:rPr>
              <w:rFonts w:hint="eastAsia"/>
            </w:rPr>
            <w:fldChar w:fldCharType="begin"/>
          </w:r>
          <w:r>
            <w:rPr>
              <w:rFonts w:hint="eastAsia"/>
            </w:rPr>
            <w:instrText xml:space="preserve"> </w:instrText>
          </w:r>
          <w:r>
            <w:instrText xml:space="preserve">PAGEREF _Toc229493691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72936F3">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"_Toc229493692" </w:instrText>
          </w:r>
          <w:r>
            <w:fldChar w:fldCharType="separate"/>
          </w:r>
          <w:r>
            <w:rPr>
              <w:rStyle w:val="25"/>
            </w:rPr>
            <w:t>1.5</w:t>
          </w:r>
          <w:r>
            <w:rPr>
              <w:rFonts w:hint="eastAsia" w:asciiTheme="minorHAnsi" w:hAnsiTheme="minorHAnsi" w:eastAsiaTheme="minorEastAsia" w:cstheme="minorBidi"/>
              <w:sz w:val="22"/>
              <w14:ligatures w14:val="standardContextual"/>
            </w:rPr>
            <w:tab/>
          </w:r>
          <w:r>
            <w:rPr>
              <w:rStyle w:val="25"/>
            </w:rPr>
            <w:t>导电薄膜的应用领域</w:t>
          </w:r>
          <w:r>
            <w:rPr>
              <w:rFonts w:hint="eastAsia"/>
            </w:rPr>
            <w:tab/>
          </w:r>
          <w:r>
            <w:rPr>
              <w:rFonts w:hint="eastAsia"/>
            </w:rPr>
            <w:fldChar w:fldCharType="begin"/>
          </w:r>
          <w:r>
            <w:rPr>
              <w:rFonts w:hint="eastAsia"/>
            </w:rPr>
            <w:instrText xml:space="preserve"> </w:instrText>
          </w:r>
          <w:r>
            <w:instrText xml:space="preserve">PAGEREF _Toc229493692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32DDF0B">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"_Toc229493693" </w:instrText>
          </w:r>
          <w:r>
            <w:fldChar w:fldCharType="separate"/>
          </w:r>
          <w:r>
            <w:rPr>
              <w:rStyle w:val="25"/>
            </w:rPr>
            <w:t>1.6</w:t>
          </w:r>
          <w:r>
            <w:rPr>
              <w:rFonts w:hint="eastAsia" w:asciiTheme="minorHAnsi" w:hAnsiTheme="minorHAnsi" w:eastAsiaTheme="minorEastAsia" w:cstheme="minorBidi"/>
              <w:sz w:val="22"/>
              <w14:ligatures w14:val="standardContextual"/>
            </w:rPr>
            <w:tab/>
          </w:r>
          <w:r>
            <w:rPr>
              <w:rStyle w:val="25"/>
            </w:rPr>
            <w:t>本课题的提出</w:t>
          </w:r>
          <w:r>
            <w:rPr>
              <w:rFonts w:hint="eastAsia"/>
            </w:rPr>
            <w:tab/>
          </w:r>
          <w:r>
            <w:rPr>
              <w:rFonts w:hint="eastAsia"/>
            </w:rPr>
            <w:fldChar w:fldCharType="begin"/>
          </w:r>
          <w:r>
            <w:rPr>
              <w:rFonts w:hint="eastAsia"/>
            </w:rPr>
            <w:instrText xml:space="preserve"> </w:instrText>
          </w:r>
          <w:r>
            <w:instrText xml:space="preserve">PAGEREF _Toc229493693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1D28FDF">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"_Toc229493694" </w:instrText>
          </w:r>
          <w:r>
            <w:fldChar w:fldCharType="separate"/>
          </w:r>
          <w:r>
            <w:rPr>
              <w:rStyle w:val="25"/>
            </w:rPr>
            <w:t>2. 实验部分</w:t>
          </w:r>
          <w:r>
            <w:rPr>
              <w:rFonts w:hint="eastAsia"/>
            </w:rPr>
            <w:tab/>
          </w:r>
          <w:r>
            <w:rPr>
              <w:rFonts w:hint="eastAsia"/>
            </w:rPr>
            <w:fldChar w:fldCharType="begin"/>
          </w:r>
          <w:r>
            <w:rPr>
              <w:rFonts w:hint="eastAsia"/>
            </w:rPr>
            <w:instrText xml:space="preserve"> </w:instrText>
          </w:r>
          <w:r>
            <w:instrText xml:space="preserve">PAGEREF _Toc229493694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5E646EA">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"_Toc229493695" </w:instrText>
          </w:r>
          <w:r>
            <w:fldChar w:fldCharType="separate"/>
          </w:r>
          <w:r>
            <w:rPr>
              <w:rStyle w:val="25"/>
            </w:rPr>
            <w:t>2.1</w:t>
          </w:r>
          <w:r>
            <w:rPr>
              <w:rFonts w:hint="eastAsia" w:asciiTheme="minorHAnsi" w:hAnsiTheme="minorHAnsi" w:eastAsiaTheme="minorEastAsia" w:cstheme="minorBidi"/>
              <w:sz w:val="22"/>
              <w14:ligatures w14:val="standardContextual"/>
            </w:rPr>
            <w:tab/>
          </w:r>
          <w:r>
            <w:rPr>
              <w:rStyle w:val="25"/>
            </w:rPr>
            <w:t>实验原料与仪器</w:t>
          </w:r>
          <w:r>
            <w:rPr>
              <w:rFonts w:hint="eastAsia"/>
            </w:rPr>
            <w:tab/>
          </w:r>
          <w:r>
            <w:rPr>
              <w:rFonts w:hint="eastAsia"/>
            </w:rPr>
            <w:fldChar w:fldCharType="begin"/>
          </w:r>
          <w:r>
            <w:rPr>
              <w:rFonts w:hint="eastAsia"/>
            </w:rPr>
            <w:instrText xml:space="preserve"> </w:instrText>
          </w:r>
          <w:r>
            <w:instrText xml:space="preserve">PAGEREF _Toc229493695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E3B3DDF">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"_Toc229493696" </w:instrText>
          </w:r>
          <w:r>
            <w:fldChar w:fldCharType="separate"/>
          </w:r>
          <w:r>
            <w:rPr>
              <w:rStyle w:val="25"/>
            </w:rPr>
            <w:t>2.2</w:t>
          </w:r>
          <w:r>
            <w:rPr>
              <w:rFonts w:hint="eastAsia" w:asciiTheme="minorHAnsi" w:hAnsiTheme="minorHAnsi" w:eastAsiaTheme="minorEastAsia" w:cstheme="minorBidi"/>
              <w:sz w:val="22"/>
              <w14:ligatures w14:val="standardContextual"/>
            </w:rPr>
            <w:tab/>
          </w:r>
          <w:r>
            <w:rPr>
              <w:rStyle w:val="25"/>
            </w:rPr>
            <w:t>实验方案</w:t>
          </w:r>
          <w:r>
            <w:rPr>
              <w:rFonts w:hint="eastAsia"/>
            </w:rPr>
            <w:tab/>
          </w:r>
          <w:r>
            <w:rPr>
              <w:rFonts w:hint="eastAsia"/>
            </w:rPr>
            <w:fldChar w:fldCharType="begin"/>
          </w:r>
          <w:r>
            <w:rPr>
              <w:rFonts w:hint="eastAsia"/>
            </w:rPr>
            <w:instrText xml:space="preserve"> </w:instrText>
          </w:r>
          <w:r>
            <w:instrText xml:space="preserve">PAGEREF _Toc229493696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1C17D10">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"_Toc229493697" </w:instrText>
          </w:r>
          <w:r>
            <w:fldChar w:fldCharType="separate"/>
          </w:r>
          <w:r>
            <w:rPr>
              <w:rStyle w:val="25"/>
            </w:rPr>
            <w:t>2.2.1</w:t>
          </w:r>
          <w:r>
            <w:rPr>
              <w:rFonts w:hint="eastAsia" w:asciiTheme="minorHAnsi" w:hAnsiTheme="minorHAnsi" w:eastAsiaTheme="minorEastAsia" w:cstheme="minorBidi"/>
              <w:sz w:val="22"/>
              <w14:ligatures w14:val="standardContextual"/>
            </w:rPr>
            <w:tab/>
          </w:r>
          <w:r>
            <w:rPr>
              <w:rStyle w:val="25"/>
            </w:rPr>
            <w:t>纳米纤维素薄膜的制备</w:t>
          </w:r>
          <w:r>
            <w:rPr>
              <w:rFonts w:hint="eastAsia"/>
            </w:rPr>
            <w:tab/>
          </w:r>
          <w:r>
            <w:rPr>
              <w:rFonts w:hint="eastAsia"/>
            </w:rPr>
            <w:fldChar w:fldCharType="begin"/>
          </w:r>
          <w:r>
            <w:rPr>
              <w:rFonts w:hint="eastAsia"/>
            </w:rPr>
            <w:instrText xml:space="preserve"> </w:instrText>
          </w:r>
          <w:r>
            <w:instrText xml:space="preserve">PAGEREF _Toc229493697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6E79B9E">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"_Toc229493698" </w:instrText>
          </w:r>
          <w:r>
            <w:fldChar w:fldCharType="separate"/>
          </w:r>
          <w:r>
            <w:rPr>
              <w:rStyle w:val="25"/>
            </w:rPr>
            <w:t>2.2.2</w:t>
          </w:r>
          <w:r>
            <w:rPr>
              <w:rFonts w:hint="eastAsia" w:asciiTheme="minorHAnsi" w:hAnsiTheme="minorHAnsi" w:eastAsiaTheme="minorEastAsia" w:cstheme="minorBidi"/>
              <w:sz w:val="22"/>
              <w14:ligatures w14:val="standardContextual"/>
            </w:rPr>
            <w:tab/>
          </w:r>
          <w:r>
            <w:rPr>
              <w:rStyle w:val="25"/>
            </w:rPr>
            <w:t>醇醚类试剂调控的纳米纤维素复合薄膜制备</w:t>
          </w:r>
          <w:r>
            <w:rPr>
              <w:rFonts w:hint="eastAsia"/>
            </w:rPr>
            <w:tab/>
          </w:r>
          <w:r>
            <w:rPr>
              <w:rFonts w:hint="eastAsia"/>
            </w:rPr>
            <w:fldChar w:fldCharType="begin"/>
          </w:r>
          <w:r>
            <w:rPr>
              <w:rFonts w:hint="eastAsia"/>
            </w:rPr>
            <w:instrText xml:space="preserve"> </w:instrText>
          </w:r>
          <w:r>
            <w:instrText xml:space="preserve">PAGEREF _Toc229493698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E49B6D8">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"_Toc229493699" </w:instrText>
          </w:r>
          <w:r>
            <w:fldChar w:fldCharType="separate"/>
          </w:r>
          <w:r>
            <w:rPr>
              <w:rStyle w:val="25"/>
            </w:rPr>
            <w:t>2.2.3</w:t>
          </w:r>
          <w:r>
            <w:rPr>
              <w:rFonts w:hint="eastAsia" w:asciiTheme="minorHAnsi" w:hAnsiTheme="minorHAnsi" w:eastAsiaTheme="minorEastAsia" w:cstheme="minorBidi"/>
              <w:sz w:val="22"/>
              <w14:ligatures w14:val="standardContextual"/>
            </w:rPr>
            <w:tab/>
          </w:r>
          <w:r>
            <w:rPr>
              <w:rStyle w:val="25"/>
            </w:rPr>
            <w:t>TPM含量调控的纳米纤维素复合薄膜制备</w:t>
          </w:r>
          <w:r>
            <w:rPr>
              <w:rFonts w:hint="eastAsia"/>
            </w:rPr>
            <w:tab/>
          </w:r>
          <w:r>
            <w:rPr>
              <w:rFonts w:hint="eastAsia"/>
            </w:rPr>
            <w:fldChar w:fldCharType="begin"/>
          </w:r>
          <w:r>
            <w:rPr>
              <w:rFonts w:hint="eastAsia"/>
            </w:rPr>
            <w:instrText xml:space="preserve"> </w:instrText>
          </w:r>
          <w:r>
            <w:instrText xml:space="preserve">PAGEREF _Toc229493699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CF84A04">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"_Toc229493700" </w:instrText>
          </w:r>
          <w:r>
            <w:fldChar w:fldCharType="separate"/>
          </w:r>
          <w:r>
            <w:rPr>
              <w:rStyle w:val="25"/>
            </w:rPr>
            <w:t>2.2.4</w:t>
          </w:r>
          <w:r>
            <w:rPr>
              <w:rFonts w:hint="eastAsia" w:asciiTheme="minorHAnsi" w:hAnsiTheme="minorHAnsi" w:eastAsiaTheme="minorEastAsia" w:cstheme="minorBidi"/>
              <w:sz w:val="22"/>
              <w14:ligatures w14:val="standardContextual"/>
            </w:rPr>
            <w:tab/>
          </w:r>
          <w:r>
            <w:rPr>
              <w:rStyle w:val="25"/>
            </w:rPr>
            <w:t>碳纳米管/纳米纤维素复合导电薄膜的制备</w:t>
          </w:r>
          <w:r>
            <w:rPr>
              <w:rFonts w:hint="eastAsia"/>
            </w:rPr>
            <w:tab/>
          </w:r>
          <w:r>
            <w:rPr>
              <w:rFonts w:hint="eastAsia"/>
            </w:rPr>
            <w:fldChar w:fldCharType="begin"/>
          </w:r>
          <w:r>
            <w:rPr>
              <w:rFonts w:hint="eastAsia"/>
            </w:rPr>
            <w:instrText xml:space="preserve"> </w:instrText>
          </w:r>
          <w:r>
            <w:instrText xml:space="preserve">PAGEREF _Toc229493700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C3C7B94">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"_Toc229493701" </w:instrText>
          </w:r>
          <w:r>
            <w:fldChar w:fldCharType="separate"/>
          </w:r>
          <w:r>
            <w:rPr>
              <w:rStyle w:val="25"/>
            </w:rPr>
            <w:t>2.3</w:t>
          </w:r>
          <w:r>
            <w:rPr>
              <w:rFonts w:hint="eastAsia" w:asciiTheme="minorHAnsi" w:hAnsiTheme="minorHAnsi" w:eastAsiaTheme="minorEastAsia" w:cstheme="minorBidi"/>
              <w:sz w:val="22"/>
              <w14:ligatures w14:val="standardContextual"/>
            </w:rPr>
            <w:tab/>
          </w:r>
          <w:r>
            <w:rPr>
              <w:rStyle w:val="25"/>
            </w:rPr>
            <w:t>测试与表征</w:t>
          </w:r>
          <w:r>
            <w:rPr>
              <w:rFonts w:hint="eastAsia"/>
            </w:rPr>
            <w:tab/>
          </w:r>
          <w:r>
            <w:rPr>
              <w:rFonts w:hint="eastAsia"/>
            </w:rPr>
            <w:fldChar w:fldCharType="begin"/>
          </w:r>
          <w:r>
            <w:rPr>
              <w:rFonts w:hint="eastAsia"/>
            </w:rPr>
            <w:instrText xml:space="preserve"> </w:instrText>
          </w:r>
          <w:r>
            <w:instrText xml:space="preserve">PAGEREF _Toc229493701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75DCDFC">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"_Toc229493702" </w:instrText>
          </w:r>
          <w:r>
            <w:fldChar w:fldCharType="separate"/>
          </w:r>
          <w:r>
            <w:rPr>
              <w:rStyle w:val="25"/>
            </w:rPr>
            <w:t>2.3.1</w:t>
          </w:r>
          <w:r>
            <w:rPr>
              <w:rFonts w:hint="eastAsia" w:asciiTheme="minorHAnsi" w:hAnsiTheme="minorHAnsi" w:eastAsiaTheme="minorEastAsia" w:cstheme="minorBidi"/>
              <w:sz w:val="22"/>
              <w14:ligatures w14:val="standardContextual"/>
            </w:rPr>
            <w:tab/>
          </w:r>
          <w:r>
            <w:rPr>
              <w:rStyle w:val="25"/>
            </w:rPr>
            <w:t>浆料表面张力测试</w:t>
          </w:r>
          <w:r>
            <w:rPr>
              <w:rFonts w:hint="eastAsia"/>
            </w:rPr>
            <w:tab/>
          </w:r>
          <w:r>
            <w:rPr>
              <w:rFonts w:hint="eastAsia"/>
            </w:rPr>
            <w:fldChar w:fldCharType="begin"/>
          </w:r>
          <w:r>
            <w:rPr>
              <w:rFonts w:hint="eastAsia"/>
            </w:rPr>
            <w:instrText xml:space="preserve"> </w:instrText>
          </w:r>
          <w:r>
            <w:instrText xml:space="preserve">PAGEREF _Toc229493702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4B401A2">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"_Toc229493703" </w:instrText>
          </w:r>
          <w:r>
            <w:fldChar w:fldCharType="separate"/>
          </w:r>
          <w:r>
            <w:rPr>
              <w:rStyle w:val="25"/>
            </w:rPr>
            <w:t>2.3.2</w:t>
          </w:r>
          <w:r>
            <w:rPr>
              <w:rFonts w:hint="eastAsia" w:asciiTheme="minorHAnsi" w:hAnsiTheme="minorHAnsi" w:eastAsiaTheme="minorEastAsia" w:cstheme="minorBidi"/>
              <w:sz w:val="22"/>
              <w14:ligatures w14:val="standardContextual"/>
            </w:rPr>
            <w:tab/>
          </w:r>
          <w:r>
            <w:rPr>
              <w:rStyle w:val="25"/>
            </w:rPr>
            <w:t>导电浆料粒径与电位测试</w:t>
          </w:r>
          <w:r>
            <w:rPr>
              <w:rFonts w:hint="eastAsia"/>
            </w:rPr>
            <w:tab/>
          </w:r>
          <w:r>
            <w:rPr>
              <w:rFonts w:hint="eastAsia"/>
            </w:rPr>
            <w:fldChar w:fldCharType="begin"/>
          </w:r>
          <w:r>
            <w:rPr>
              <w:rFonts w:hint="eastAsia"/>
            </w:rPr>
            <w:instrText xml:space="preserve"> </w:instrText>
          </w:r>
          <w:r>
            <w:instrText xml:space="preserve">PAGEREF _Toc229493703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8AF6977">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"_Toc229493704" </w:instrText>
          </w:r>
          <w:r>
            <w:fldChar w:fldCharType="separate"/>
          </w:r>
          <w:r>
            <w:rPr>
              <w:rStyle w:val="25"/>
            </w:rPr>
            <w:t>2.3.3</w:t>
          </w:r>
          <w:r>
            <w:rPr>
              <w:rFonts w:hint="eastAsia" w:asciiTheme="minorHAnsi" w:hAnsiTheme="minorHAnsi" w:eastAsiaTheme="minorEastAsia" w:cstheme="minorBidi"/>
              <w:sz w:val="22"/>
              <w14:ligatures w14:val="standardContextual"/>
            </w:rPr>
            <w:tab/>
          </w:r>
          <w:r>
            <w:rPr>
              <w:rStyle w:val="25"/>
            </w:rPr>
            <w:t>导电薄膜表面形貌测试</w:t>
          </w:r>
          <w:r>
            <w:rPr>
              <w:rFonts w:hint="eastAsia"/>
            </w:rPr>
            <w:tab/>
          </w:r>
          <w:r>
            <w:rPr>
              <w:rFonts w:hint="eastAsia"/>
            </w:rPr>
            <w:fldChar w:fldCharType="begin"/>
          </w:r>
          <w:r>
            <w:rPr>
              <w:rFonts w:hint="eastAsia"/>
            </w:rPr>
            <w:instrText xml:space="preserve"> </w:instrText>
          </w:r>
          <w:r>
            <w:instrText xml:space="preserve">PAGEREF _Toc229493704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C6DA3E4">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"_Toc229493705" </w:instrText>
          </w:r>
          <w:r>
            <w:fldChar w:fldCharType="separate"/>
          </w:r>
          <w:r>
            <w:rPr>
              <w:rStyle w:val="25"/>
            </w:rPr>
            <w:t>2.3.4</w:t>
          </w:r>
          <w:r>
            <w:rPr>
              <w:rFonts w:hint="eastAsia" w:asciiTheme="minorHAnsi" w:hAnsiTheme="minorHAnsi" w:eastAsiaTheme="minorEastAsia" w:cstheme="minorBidi"/>
              <w:sz w:val="22"/>
              <w14:ligatures w14:val="standardContextual"/>
            </w:rPr>
            <w:tab/>
          </w:r>
          <w:r>
            <w:rPr>
              <w:rStyle w:val="25"/>
            </w:rPr>
            <w:t>导电薄膜电磁性能测试</w:t>
          </w:r>
          <w:r>
            <w:rPr>
              <w:rFonts w:hint="eastAsia"/>
            </w:rPr>
            <w:tab/>
          </w:r>
          <w:r>
            <w:rPr>
              <w:rFonts w:hint="eastAsia"/>
            </w:rPr>
            <w:fldChar w:fldCharType="begin"/>
          </w:r>
          <w:r>
            <w:rPr>
              <w:rFonts w:hint="eastAsia"/>
            </w:rPr>
            <w:instrText xml:space="preserve"> </w:instrText>
          </w:r>
          <w:r>
            <w:instrText xml:space="preserve">PAGEREF _Toc229493705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5353B5F">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"_Toc229493706" </w:instrText>
          </w:r>
          <w:r>
            <w:fldChar w:fldCharType="separate"/>
          </w:r>
          <w:r>
            <w:rPr>
              <w:rStyle w:val="25"/>
            </w:rPr>
            <w:t>2.3.5</w:t>
          </w:r>
          <w:r>
            <w:rPr>
              <w:rFonts w:hint="eastAsia" w:asciiTheme="minorHAnsi" w:hAnsiTheme="minorHAnsi" w:eastAsiaTheme="minorEastAsia" w:cstheme="minorBidi"/>
              <w:sz w:val="22"/>
              <w14:ligatures w14:val="standardContextual"/>
            </w:rPr>
            <w:tab/>
          </w:r>
          <w:r>
            <w:rPr>
              <w:rStyle w:val="25"/>
            </w:rPr>
            <w:t>导电薄膜折叠稳定性能测试</w:t>
          </w:r>
          <w:r>
            <w:rPr>
              <w:rFonts w:hint="eastAsia"/>
            </w:rPr>
            <w:tab/>
          </w:r>
          <w:r>
            <w:rPr>
              <w:rFonts w:hint="eastAsia"/>
            </w:rPr>
            <w:fldChar w:fldCharType="begin"/>
          </w:r>
          <w:r>
            <w:rPr>
              <w:rFonts w:hint="eastAsia"/>
            </w:rPr>
            <w:instrText xml:space="preserve"> </w:instrText>
          </w:r>
          <w:r>
            <w:instrText xml:space="preserve">PAGEREF _Toc229493706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6336150">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"_Toc229493707" </w:instrText>
          </w:r>
          <w:r>
            <w:fldChar w:fldCharType="separate"/>
          </w:r>
          <w:r>
            <w:rPr>
              <w:rStyle w:val="25"/>
            </w:rPr>
            <w:t>2.3.6</w:t>
          </w:r>
          <w:r>
            <w:rPr>
              <w:rFonts w:hint="eastAsia" w:asciiTheme="minorHAnsi" w:hAnsiTheme="minorHAnsi" w:eastAsiaTheme="minorEastAsia" w:cstheme="minorBidi"/>
              <w:sz w:val="22"/>
              <w14:ligatures w14:val="standardContextual"/>
            </w:rPr>
            <w:tab/>
          </w:r>
          <w:r>
            <w:rPr>
              <w:rStyle w:val="25"/>
            </w:rPr>
            <w:t>导电薄膜电磁屏蔽效能测试</w:t>
          </w:r>
          <w:r>
            <w:rPr>
              <w:rFonts w:hint="eastAsia"/>
            </w:rPr>
            <w:tab/>
          </w:r>
          <w:r>
            <w:rPr>
              <w:rFonts w:hint="eastAsia"/>
            </w:rPr>
            <w:fldChar w:fldCharType="begin"/>
          </w:r>
          <w:r>
            <w:rPr>
              <w:rFonts w:hint="eastAsia"/>
            </w:rPr>
            <w:instrText xml:space="preserve"> </w:instrText>
          </w:r>
          <w:r>
            <w:instrText xml:space="preserve">PAGEREF _Toc229493707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C28FD92">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"_Toc229493708" </w:instrText>
          </w:r>
          <w:r>
            <w:fldChar w:fldCharType="separate"/>
          </w:r>
          <w:r>
            <w:rPr>
              <w:rStyle w:val="25"/>
            </w:rPr>
            <w:t>3. 结果与讨论</w:t>
          </w:r>
          <w:r>
            <w:rPr>
              <w:rFonts w:hint="eastAsia"/>
            </w:rPr>
            <w:tab/>
          </w:r>
          <w:r>
            <w:rPr>
              <w:rFonts w:hint="eastAsia"/>
            </w:rPr>
            <w:fldChar w:fldCharType="begin"/>
          </w:r>
          <w:r>
            <w:rPr>
              <w:rFonts w:hint="eastAsia"/>
            </w:rPr>
            <w:instrText xml:space="preserve"> </w:instrText>
          </w:r>
          <w:r>
            <w:instrText xml:space="preserve">PAGEREF _Toc229493708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B94BD21">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"_Toc229493709" </w:instrText>
          </w:r>
          <w:r>
            <w:fldChar w:fldCharType="separate"/>
          </w:r>
          <w:r>
            <w:rPr>
              <w:rStyle w:val="25"/>
            </w:rPr>
            <w:t>3.1</w:t>
          </w:r>
          <w:r>
            <w:rPr>
              <w:rFonts w:hint="eastAsia" w:asciiTheme="minorHAnsi" w:hAnsiTheme="minorHAnsi" w:eastAsiaTheme="minorEastAsia" w:cstheme="minorBidi"/>
              <w:sz w:val="22"/>
              <w14:ligatures w14:val="standardContextual"/>
            </w:rPr>
            <w:tab/>
          </w:r>
          <w:r>
            <w:rPr>
              <w:rStyle w:val="25"/>
            </w:rPr>
            <w:t>醇醚对纳米纤维素体系结构与性能的影响</w:t>
          </w:r>
          <w:r>
            <w:rPr>
              <w:rFonts w:hint="eastAsia"/>
            </w:rPr>
            <w:tab/>
          </w:r>
          <w:r>
            <w:rPr>
              <w:rFonts w:hint="eastAsia"/>
            </w:rPr>
            <w:fldChar w:fldCharType="begin"/>
          </w:r>
          <w:r>
            <w:rPr>
              <w:rFonts w:hint="eastAsia"/>
            </w:rPr>
            <w:instrText xml:space="preserve"> </w:instrText>
          </w:r>
          <w:r>
            <w:instrText xml:space="preserve">PAGEREF _Toc229493709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242874D4">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"_Toc229493710" </w:instrText>
          </w:r>
          <w:r>
            <w:fldChar w:fldCharType="separate"/>
          </w:r>
          <w:r>
            <w:rPr>
              <w:rStyle w:val="25"/>
            </w:rPr>
            <w:t>3.1.1</w:t>
          </w:r>
          <w:r>
            <w:rPr>
              <w:rFonts w:hint="eastAsia" w:asciiTheme="minorHAnsi" w:hAnsiTheme="minorHAnsi" w:eastAsiaTheme="minorEastAsia" w:cstheme="minorBidi"/>
              <w:sz w:val="22"/>
              <w14:ligatures w14:val="standardContextual"/>
            </w:rPr>
            <w:tab/>
          </w:r>
          <w:r>
            <w:rPr>
              <w:rStyle w:val="25"/>
            </w:rPr>
            <w:t>单一CNF薄膜形貌</w:t>
          </w:r>
          <w:r>
            <w:rPr>
              <w:rFonts w:hint="eastAsia"/>
            </w:rPr>
            <w:tab/>
          </w:r>
          <w:r>
            <w:rPr>
              <w:rFonts w:hint="eastAsia"/>
            </w:rPr>
            <w:fldChar w:fldCharType="begin"/>
          </w:r>
          <w:r>
            <w:rPr>
              <w:rFonts w:hint="eastAsia"/>
            </w:rPr>
            <w:instrText xml:space="preserve"> </w:instrText>
          </w:r>
          <w:r>
            <w:instrText xml:space="preserve">PAGEREF _Toc229493710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F16BAB0">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"_Toc229493711" </w:instrText>
          </w:r>
          <w:r>
            <w:fldChar w:fldCharType="separate"/>
          </w:r>
          <w:r>
            <w:rPr>
              <w:rStyle w:val="25"/>
            </w:rPr>
            <w:t>3.1.2</w:t>
          </w:r>
          <w:r>
            <w:rPr>
              <w:rFonts w:hint="eastAsia" w:asciiTheme="minorHAnsi" w:hAnsiTheme="minorHAnsi" w:eastAsiaTheme="minorEastAsia" w:cstheme="minorBidi"/>
              <w:sz w:val="22"/>
              <w14:ligatures w14:val="standardContextual"/>
            </w:rPr>
            <w:tab/>
          </w:r>
          <w:r>
            <w:rPr>
              <w:rStyle w:val="25"/>
            </w:rPr>
            <w:t>不同醇醚下纳米纤维素复合薄膜的形态分析</w:t>
          </w:r>
          <w:r>
            <w:rPr>
              <w:rFonts w:hint="eastAsia"/>
            </w:rPr>
            <w:tab/>
          </w:r>
          <w:r>
            <w:rPr>
              <w:rFonts w:hint="eastAsia"/>
            </w:rPr>
            <w:fldChar w:fldCharType="begin"/>
          </w:r>
          <w:r>
            <w:rPr>
              <w:rFonts w:hint="eastAsia"/>
            </w:rPr>
            <w:instrText xml:space="preserve"> </w:instrText>
          </w:r>
          <w:r>
            <w:instrText xml:space="preserve">PAGEREF _Toc229493711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604CB53">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"_Toc229493712" </w:instrText>
          </w:r>
          <w:r>
            <w:fldChar w:fldCharType="separate"/>
          </w:r>
          <w:r>
            <w:rPr>
              <w:rStyle w:val="25"/>
            </w:rPr>
            <w:t>3.1.3</w:t>
          </w:r>
          <w:r>
            <w:rPr>
              <w:rFonts w:hint="eastAsia" w:asciiTheme="minorHAnsi" w:hAnsiTheme="minorHAnsi" w:eastAsiaTheme="minorEastAsia" w:cstheme="minorBidi"/>
              <w:sz w:val="22"/>
              <w14:ligatures w14:val="standardContextual"/>
            </w:rPr>
            <w:tab/>
          </w:r>
          <w:r>
            <w:rPr>
              <w:rStyle w:val="25"/>
            </w:rPr>
            <w:t>不同醇醚下纳米纤维素复合薄膜的性能分析</w:t>
          </w:r>
          <w:r>
            <w:rPr>
              <w:rFonts w:hint="eastAsia"/>
            </w:rPr>
            <w:tab/>
          </w:r>
          <w:r>
            <w:rPr>
              <w:rFonts w:hint="eastAsia"/>
            </w:rPr>
            <w:fldChar w:fldCharType="begin"/>
          </w:r>
          <w:r>
            <w:rPr>
              <w:rFonts w:hint="eastAsia"/>
            </w:rPr>
            <w:instrText xml:space="preserve"> </w:instrText>
          </w:r>
          <w:r>
            <w:instrText xml:space="preserve">PAGEREF _Toc229493712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0F923BD">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"_Toc229493713" </w:instrText>
          </w:r>
          <w:r>
            <w:fldChar w:fldCharType="separate"/>
          </w:r>
          <w:r>
            <w:rPr>
              <w:rStyle w:val="25"/>
            </w:rPr>
            <w:t>3.2</w:t>
          </w:r>
          <w:r>
            <w:rPr>
              <w:rFonts w:hint="eastAsia" w:asciiTheme="minorHAnsi" w:hAnsiTheme="minorHAnsi" w:eastAsiaTheme="minorEastAsia" w:cstheme="minorBidi"/>
              <w:sz w:val="22"/>
              <w14:ligatures w14:val="standardContextual"/>
            </w:rPr>
            <w:tab/>
          </w:r>
          <w:r>
            <w:rPr>
              <w:rStyle w:val="25"/>
            </w:rPr>
            <w:t>TPM含量对纳米纤维素薄膜微孔结构的调控</w:t>
          </w:r>
          <w:r>
            <w:rPr>
              <w:rFonts w:hint="eastAsia"/>
            </w:rPr>
            <w:tab/>
          </w:r>
          <w:r>
            <w:rPr>
              <w:rFonts w:hint="eastAsia"/>
            </w:rPr>
            <w:fldChar w:fldCharType="begin"/>
          </w:r>
          <w:r>
            <w:rPr>
              <w:rFonts w:hint="eastAsia"/>
            </w:rPr>
            <w:instrText xml:space="preserve"> </w:instrText>
          </w:r>
          <w:r>
            <w:instrText xml:space="preserve">PAGEREF _Toc229493713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0DCFBC6">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"_Toc229493714" </w:instrText>
          </w:r>
          <w:r>
            <w:fldChar w:fldCharType="separate"/>
          </w:r>
          <w:r>
            <w:rPr>
              <w:rStyle w:val="25"/>
            </w:rPr>
            <w:t>3.2.1</w:t>
          </w:r>
          <w:r>
            <w:rPr>
              <w:rFonts w:hint="eastAsia" w:asciiTheme="minorHAnsi" w:hAnsiTheme="minorHAnsi" w:eastAsiaTheme="minorEastAsia" w:cstheme="minorBidi"/>
              <w:sz w:val="22"/>
              <w14:ligatures w14:val="standardContextual"/>
            </w:rPr>
            <w:tab/>
          </w:r>
          <w:r>
            <w:rPr>
              <w:rStyle w:val="25"/>
            </w:rPr>
            <w:t>不同TPM含量下纳米纤维素复合薄膜的形态分析</w:t>
          </w:r>
          <w:r>
            <w:rPr>
              <w:rFonts w:hint="eastAsia"/>
            </w:rPr>
            <w:tab/>
          </w:r>
          <w:r>
            <w:rPr>
              <w:rFonts w:hint="eastAsia"/>
            </w:rPr>
            <w:fldChar w:fldCharType="begin"/>
          </w:r>
          <w:r>
            <w:rPr>
              <w:rFonts w:hint="eastAsia"/>
            </w:rPr>
            <w:instrText xml:space="preserve"> </w:instrText>
          </w:r>
          <w:r>
            <w:instrText xml:space="preserve">PAGEREF _Toc229493714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8B3CD45">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"_Toc229493715" </w:instrText>
          </w:r>
          <w:r>
            <w:fldChar w:fldCharType="separate"/>
          </w:r>
          <w:r>
            <w:rPr>
              <w:rStyle w:val="25"/>
            </w:rPr>
            <w:t>3.2.2</w:t>
          </w:r>
          <w:r>
            <w:rPr>
              <w:rFonts w:hint="eastAsia" w:asciiTheme="minorHAnsi" w:hAnsiTheme="minorHAnsi" w:eastAsiaTheme="minorEastAsia" w:cstheme="minorBidi"/>
              <w:sz w:val="22"/>
              <w14:ligatures w14:val="standardContextual"/>
            </w:rPr>
            <w:tab/>
          </w:r>
          <w:r>
            <w:rPr>
              <w:rStyle w:val="25"/>
            </w:rPr>
            <w:t>不同TPM含量对纳米纤维素复合薄膜性能分析</w:t>
          </w:r>
          <w:r>
            <w:rPr>
              <w:rFonts w:hint="eastAsia"/>
            </w:rPr>
            <w:tab/>
          </w:r>
          <w:r>
            <w:rPr>
              <w:rFonts w:hint="eastAsia"/>
            </w:rPr>
            <w:fldChar w:fldCharType="begin"/>
          </w:r>
          <w:r>
            <w:rPr>
              <w:rFonts w:hint="eastAsia"/>
            </w:rPr>
            <w:instrText xml:space="preserve"> </w:instrText>
          </w:r>
          <w:r>
            <w:instrText xml:space="preserve">PAGEREF _Toc229493715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4D6B0F3">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"_Toc229493716" </w:instrText>
          </w:r>
          <w:r>
            <w:fldChar w:fldCharType="separate"/>
          </w:r>
          <w:r>
            <w:rPr>
              <w:rStyle w:val="25"/>
            </w:rPr>
            <w:t>3.3</w:t>
          </w:r>
          <w:r>
            <w:rPr>
              <w:rFonts w:hint="eastAsia" w:asciiTheme="minorHAnsi" w:hAnsiTheme="minorHAnsi" w:eastAsiaTheme="minorEastAsia" w:cstheme="minorBidi"/>
              <w:sz w:val="22"/>
              <w14:ligatures w14:val="standardContextual"/>
            </w:rPr>
            <w:tab/>
          </w:r>
          <w:r>
            <w:rPr>
              <w:rStyle w:val="25"/>
            </w:rPr>
            <w:t>纳米纤维素基导电薄膜的结构与性能分析</w:t>
          </w:r>
          <w:r>
            <w:rPr>
              <w:rFonts w:hint="eastAsia"/>
            </w:rPr>
            <w:tab/>
          </w:r>
          <w:r>
            <w:rPr>
              <w:rFonts w:hint="eastAsia"/>
            </w:rPr>
            <w:fldChar w:fldCharType="begin"/>
          </w:r>
          <w:r>
            <w:rPr>
              <w:rFonts w:hint="eastAsia"/>
            </w:rPr>
            <w:instrText xml:space="preserve"> </w:instrText>
          </w:r>
          <w:r>
            <w:instrText xml:space="preserve">PAGEREF _Toc229493716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B4F2ECC">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"_Toc229493717" </w:instrText>
          </w:r>
          <w:r>
            <w:fldChar w:fldCharType="separate"/>
          </w:r>
          <w:r>
            <w:rPr>
              <w:rStyle w:val="25"/>
            </w:rPr>
            <w:t>3.3.1</w:t>
          </w:r>
          <w:r>
            <w:rPr>
              <w:rFonts w:hint="eastAsia" w:asciiTheme="minorHAnsi" w:hAnsiTheme="minorHAnsi" w:eastAsiaTheme="minorEastAsia" w:cstheme="minorBidi"/>
              <w:sz w:val="22"/>
              <w14:ligatures w14:val="standardContextual"/>
            </w:rPr>
            <w:tab/>
          </w:r>
          <w:r>
            <w:rPr>
              <w:rStyle w:val="25"/>
            </w:rPr>
            <w:t>CNT填充量对CNT/CNF复合导电薄膜微观形貌的影响</w:t>
          </w:r>
          <w:r>
            <w:rPr>
              <w:rFonts w:hint="eastAsia"/>
            </w:rPr>
            <w:tab/>
          </w:r>
          <w:r>
            <w:rPr>
              <w:rFonts w:hint="eastAsia"/>
            </w:rPr>
            <w:fldChar w:fldCharType="begin"/>
          </w:r>
          <w:r>
            <w:rPr>
              <w:rFonts w:hint="eastAsia"/>
            </w:rPr>
            <w:instrText xml:space="preserve"> </w:instrText>
          </w:r>
          <w:r>
            <w:instrText xml:space="preserve">PAGEREF _Toc229493717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17C31DC1">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"_Toc229493718" </w:instrText>
          </w:r>
          <w:r>
            <w:fldChar w:fldCharType="separate"/>
          </w:r>
          <w:r>
            <w:rPr>
              <w:rStyle w:val="25"/>
            </w:rPr>
            <w:t>3.3.2</w:t>
          </w:r>
          <w:r>
            <w:rPr>
              <w:rFonts w:hint="eastAsia" w:asciiTheme="minorHAnsi" w:hAnsiTheme="minorHAnsi" w:eastAsiaTheme="minorEastAsia" w:cstheme="minorBidi"/>
              <w:sz w:val="22"/>
              <w14:ligatures w14:val="standardContextual"/>
            </w:rPr>
            <w:tab/>
          </w:r>
          <w:r>
            <w:rPr>
              <w:rStyle w:val="25"/>
            </w:rPr>
            <w:t>CNT填充量对CNT/CNF复合导电浆料性能的影响</w:t>
          </w:r>
          <w:r>
            <w:rPr>
              <w:rFonts w:hint="eastAsia"/>
            </w:rPr>
            <w:tab/>
          </w:r>
          <w:r>
            <w:rPr>
              <w:rFonts w:hint="eastAsia"/>
            </w:rPr>
            <w:fldChar w:fldCharType="begin"/>
          </w:r>
          <w:r>
            <w:rPr>
              <w:rFonts w:hint="eastAsia"/>
            </w:rPr>
            <w:instrText xml:space="preserve"> </w:instrText>
          </w:r>
          <w:r>
            <w:instrText xml:space="preserve">PAGEREF _Toc229493718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3594031">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"_Toc229493719" </w:instrText>
          </w:r>
          <w:r>
            <w:fldChar w:fldCharType="separate"/>
          </w:r>
          <w:r>
            <w:rPr>
              <w:rStyle w:val="25"/>
            </w:rPr>
            <w:t>3.3.3</w:t>
          </w:r>
          <w:r>
            <w:rPr>
              <w:rFonts w:hint="eastAsia" w:asciiTheme="minorHAnsi" w:hAnsiTheme="minorHAnsi" w:eastAsiaTheme="minorEastAsia" w:cstheme="minorBidi"/>
              <w:sz w:val="22"/>
              <w14:ligatures w14:val="standardContextual"/>
            </w:rPr>
            <w:tab/>
          </w:r>
          <w:r>
            <w:rPr>
              <w:rStyle w:val="25"/>
            </w:rPr>
            <w:t>导电浆料的粒径分布及其对薄膜性能的影响</w:t>
          </w:r>
          <w:r>
            <w:rPr>
              <w:rFonts w:hint="eastAsia"/>
            </w:rPr>
            <w:tab/>
          </w:r>
          <w:r>
            <w:rPr>
              <w:rFonts w:hint="eastAsia"/>
            </w:rPr>
            <w:fldChar w:fldCharType="begin"/>
          </w:r>
          <w:r>
            <w:rPr>
              <w:rFonts w:hint="eastAsia"/>
            </w:rPr>
            <w:instrText xml:space="preserve"> </w:instrText>
          </w:r>
          <w:r>
            <w:instrText xml:space="preserve">PAGEREF _Toc229493719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20071CB">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"_Toc229493720" </w:instrText>
          </w:r>
          <w:r>
            <w:fldChar w:fldCharType="separate"/>
          </w:r>
          <w:r>
            <w:rPr>
              <w:rStyle w:val="25"/>
            </w:rPr>
            <w:t>3.3.4</w:t>
          </w:r>
          <w:r>
            <w:rPr>
              <w:rFonts w:hint="eastAsia" w:asciiTheme="minorHAnsi" w:hAnsiTheme="minorHAnsi" w:eastAsiaTheme="minorEastAsia" w:cstheme="minorBidi"/>
              <w:sz w:val="22"/>
              <w14:ligatures w14:val="standardContextual"/>
            </w:rPr>
            <w:tab/>
          </w:r>
          <w:r>
            <w:rPr>
              <w:rStyle w:val="25"/>
            </w:rPr>
            <w:t>CNT填充量对复合导电薄膜薄膜导电性能的影响</w:t>
          </w:r>
          <w:r>
            <w:rPr>
              <w:rFonts w:hint="eastAsia"/>
            </w:rPr>
            <w:tab/>
          </w:r>
          <w:r>
            <w:rPr>
              <w:rFonts w:hint="eastAsia"/>
            </w:rPr>
            <w:fldChar w:fldCharType="begin"/>
          </w:r>
          <w:r>
            <w:rPr>
              <w:rFonts w:hint="eastAsia"/>
            </w:rPr>
            <w:instrText xml:space="preserve"> </w:instrText>
          </w:r>
          <w:r>
            <w:instrText xml:space="preserve">PAGEREF _Toc229493720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61A31FD">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"_Toc229493721" </w:instrText>
          </w:r>
          <w:r>
            <w:fldChar w:fldCharType="separate"/>
          </w:r>
          <w:r>
            <w:rPr>
              <w:rStyle w:val="25"/>
            </w:rPr>
            <w:t>3.3.5</w:t>
          </w:r>
          <w:r>
            <w:rPr>
              <w:rFonts w:hint="eastAsia" w:asciiTheme="minorHAnsi" w:hAnsiTheme="minorHAnsi" w:eastAsiaTheme="minorEastAsia" w:cstheme="minorBidi"/>
              <w:sz w:val="22"/>
              <w14:ligatures w14:val="standardContextual"/>
            </w:rPr>
            <w:tab/>
          </w:r>
          <w:r>
            <w:rPr>
              <w:rStyle w:val="25"/>
            </w:rPr>
            <w:t>复合导电薄膜的折叠稳定性</w:t>
          </w:r>
          <w:r>
            <w:rPr>
              <w:rFonts w:hint="eastAsia"/>
            </w:rPr>
            <w:tab/>
          </w:r>
          <w:r>
            <w:rPr>
              <w:rFonts w:hint="eastAsia"/>
            </w:rPr>
            <w:fldChar w:fldCharType="begin"/>
          </w:r>
          <w:r>
            <w:rPr>
              <w:rFonts w:hint="eastAsia"/>
            </w:rPr>
            <w:instrText xml:space="preserve"> </w:instrText>
          </w:r>
          <w:r>
            <w:instrText xml:space="preserve">PAGEREF _Toc229493721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15FCAE6D">
          <w:pPr>
            <w:pStyle w:val="13"/>
            <w:tabs>
              <w:tab w:val="left" w:pos="1760"/>
              <w:tab w:val="right" w:leader="dot" w:pos="8296"/>
            </w:tabs>
            <w:ind w:left="1920" w:hanging="960" w:hangingChars="400"/>
            <w:rPr>
              <w:rFonts w:hint="eastAsia" w:asciiTheme="minorHAnsi" w:hAnsiTheme="minorHAnsi" w:eastAsiaTheme="minorEastAsia" w:cstheme="minorBidi"/>
              <w:sz w:val="22"/>
              <w14:ligatures w14:val="standardContextual"/>
            </w:rPr>
          </w:pPr>
          <w:r>
            <w:fldChar w:fldCharType="begin"/>
          </w:r>
          <w:r>
            <w:instrText xml:space="preserve"> HYPERLINK \l "_Toc229493722" </w:instrText>
          </w:r>
          <w:r>
            <w:fldChar w:fldCharType="separate"/>
          </w:r>
          <w:r>
            <w:rPr>
              <w:rStyle w:val="25"/>
            </w:rPr>
            <w:t>3.3.6</w:t>
          </w:r>
          <w:r>
            <w:rPr>
              <w:rFonts w:hint="eastAsia" w:asciiTheme="minorHAnsi" w:hAnsiTheme="minorHAnsi" w:eastAsiaTheme="minorEastAsia" w:cstheme="minorBidi"/>
              <w:sz w:val="22"/>
              <w14:ligatures w14:val="standardContextual"/>
            </w:rPr>
            <w:tab/>
          </w:r>
          <w:r>
            <w:rPr>
              <w:rStyle w:val="25"/>
            </w:rPr>
            <w:t>CNT填充量对复合导电薄膜的电磁屏蔽能力的影响（X波段）</w:t>
          </w:r>
          <w:r>
            <w:rPr>
              <w:rFonts w:hint="eastAsia"/>
            </w:rPr>
            <w:tab/>
          </w:r>
          <w:r>
            <w:rPr>
              <w:rFonts w:hint="eastAsia"/>
            </w:rPr>
            <w:fldChar w:fldCharType="begin"/>
          </w:r>
          <w:r>
            <w:rPr>
              <w:rFonts w:hint="eastAsia"/>
            </w:rPr>
            <w:instrText xml:space="preserve"> </w:instrText>
          </w:r>
          <w:r>
            <w:instrText xml:space="preserve">PAGEREF _Toc229493722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9BC4B37">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"_Toc229493723" </w:instrText>
          </w:r>
          <w:r>
            <w:fldChar w:fldCharType="separate"/>
          </w:r>
          <w:r>
            <w:rPr>
              <w:rStyle w:val="25"/>
            </w:rPr>
            <w:t>3.3.7</w:t>
          </w:r>
          <w:r>
            <w:rPr>
              <w:rFonts w:hint="eastAsia" w:asciiTheme="minorHAnsi" w:hAnsiTheme="minorHAnsi" w:eastAsiaTheme="minorEastAsia" w:cstheme="minorBidi"/>
              <w:sz w:val="22"/>
              <w14:ligatures w14:val="standardContextual"/>
            </w:rPr>
            <w:tab/>
          </w:r>
          <w:r>
            <w:rPr>
              <w:rStyle w:val="25"/>
            </w:rPr>
            <w:t>CNT填充量对复合导电薄膜的电磁屏蔽能力的影响（Ku波段）</w:t>
          </w:r>
          <w:r>
            <w:rPr>
              <w:rStyle w:val="25"/>
              <w:rFonts w:hint="eastAsia"/>
            </w:rPr>
            <w:t xml:space="preserve">   </w:t>
          </w:r>
          <w:r>
            <w:rPr>
              <w:rFonts w:hint="eastAsia"/>
            </w:rPr>
            <w:tab/>
          </w:r>
          <w:r>
            <w:rPr>
              <w:rFonts w:hint="eastAsia"/>
            </w:rPr>
            <w:fldChar w:fldCharType="begin"/>
          </w:r>
          <w:r>
            <w:rPr>
              <w:rFonts w:hint="eastAsia"/>
            </w:rPr>
            <w:instrText xml:space="preserve"> </w:instrText>
          </w:r>
          <w:r>
            <w:instrText xml:space="preserve">PAGEREF _Toc229493723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79E389F">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"_Toc229493724" </w:instrText>
          </w:r>
          <w:r>
            <w:fldChar w:fldCharType="separate"/>
          </w:r>
          <w:r>
            <w:rPr>
              <w:rStyle w:val="25"/>
            </w:rPr>
            <w:t>3.3.8</w:t>
          </w:r>
          <w:r>
            <w:rPr>
              <w:rFonts w:hint="eastAsia" w:asciiTheme="minorHAnsi" w:hAnsiTheme="minorHAnsi" w:eastAsiaTheme="minorEastAsia" w:cstheme="minorBidi"/>
              <w:sz w:val="22"/>
              <w14:ligatures w14:val="standardContextual"/>
            </w:rPr>
            <w:tab/>
          </w:r>
          <w:r>
            <w:rPr>
              <w:rStyle w:val="25"/>
            </w:rPr>
            <w:t>厚度对复合导电薄膜的电磁屏蔽效果的影响</w:t>
          </w:r>
          <w:r>
            <w:rPr>
              <w:rFonts w:hint="eastAsia"/>
            </w:rPr>
            <w:tab/>
          </w:r>
          <w:r>
            <w:rPr>
              <w:rFonts w:hint="eastAsia"/>
            </w:rPr>
            <w:fldChar w:fldCharType="begin"/>
          </w:r>
          <w:r>
            <w:rPr>
              <w:rFonts w:hint="eastAsia"/>
            </w:rPr>
            <w:instrText xml:space="preserve"> </w:instrText>
          </w:r>
          <w:r>
            <w:instrText xml:space="preserve">PAGEREF _Toc229493724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3BEF1C14">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"_Toc229493725" </w:instrText>
          </w:r>
          <w:r>
            <w:fldChar w:fldCharType="separate"/>
          </w:r>
          <w:r>
            <w:rPr>
              <w:rStyle w:val="25"/>
            </w:rPr>
            <w:t>4. 结论</w:t>
          </w:r>
          <w:r>
            <w:rPr>
              <w:rFonts w:hint="eastAsia"/>
            </w:rPr>
            <w:tab/>
          </w:r>
          <w:r>
            <w:rPr>
              <w:rFonts w:hint="eastAsia"/>
            </w:rPr>
            <w:fldChar w:fldCharType="begin"/>
          </w:r>
          <w:r>
            <w:rPr>
              <w:rFonts w:hint="eastAsia"/>
            </w:rPr>
            <w:instrText xml:space="preserve"> </w:instrText>
          </w:r>
          <w:r>
            <w:instrText xml:space="preserve">PAGEREF _Toc229493725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F150FD1">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"_Toc229493726" </w:instrText>
          </w:r>
          <w:r>
            <w:fldChar w:fldCharType="separate"/>
          </w:r>
          <w:r>
            <w:rPr>
              <w:rStyle w:val="25"/>
              <w:rFonts w:ascii="黑体" w:hAnsi="黑体" w:eastAsia="黑体"/>
            </w:rPr>
            <w:t>参考文献</w:t>
          </w:r>
          <w:r>
            <w:rPr>
              <w:rFonts w:hint="eastAsia"/>
            </w:rPr>
            <w:tab/>
          </w:r>
          <w:r>
            <w:rPr>
              <w:rFonts w:hint="eastAsia"/>
            </w:rPr>
            <w:fldChar w:fldCharType="begin"/>
          </w:r>
          <w:r>
            <w:rPr>
              <w:rFonts w:hint="eastAsia"/>
            </w:rPr>
            <w:instrText xml:space="preserve"> </w:instrText>
          </w:r>
          <w:r>
            <w:instrText xml:space="preserve">PAGEREF _Toc229493726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460CBBFD">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"_Toc229493727" </w:instrText>
          </w:r>
          <w:r>
            <w:fldChar w:fldCharType="separate"/>
          </w:r>
          <w:r>
            <w:rPr>
              <w:rStyle w:val="25"/>
              <w:rFonts w:ascii="黑体" w:hAnsi="黑体" w:eastAsia="黑体"/>
            </w:rPr>
            <w:t>致谢</w:t>
          </w:r>
          <w:r>
            <w:rPr>
              <w:rFonts w:hint="eastAsia"/>
            </w:rPr>
            <w:tab/>
          </w:r>
          <w:r>
            <w:rPr>
              <w:rFonts w:hint="eastAsia"/>
            </w:rPr>
            <w:fldChar w:fldCharType="begin"/>
          </w:r>
          <w:r>
            <w:rPr>
              <w:rFonts w:hint="eastAsia"/>
            </w:rPr>
            <w:instrText xml:space="preserve"> </w:instrText>
          </w:r>
          <w:r>
            <w:instrText xml:space="preserve">PAGEREF _Toc229493727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4D93E8D">
          <w:r>
            <w:rPr>
              <w:b/>
              <w:bCs/>
              <w:lang w:val="zh-CN"/>
            </w:rPr>
            <w:fldChar w:fldCharType="end"/>
          </w:r>
        </w:p>
      </w:sdtContent>
    </w:sdt>
    <w:p w14:paraId="06F0A9F5">
      <w:pPr>
        <w:widowControl/>
        <w:jc w:val="both"/>
        <w:rPr>
          <w:rFonts w:eastAsia="黑体"/>
          <w:b/>
          <w:bCs/>
          <w:sz w:val="30"/>
          <w:szCs w:val="30"/>
        </w:rPr>
      </w:pPr>
    </w:p>
    <w:p w14:paraId="6B0995AA">
      <w:pPr>
        <w:widowControl/>
        <w:spacing w:line="240" w:lineRule="auto"/>
        <w:jc w:val="both"/>
        <w:rPr>
          <w:rFonts w:eastAsia="黑体"/>
          <w:b/>
          <w:bCs/>
          <w:sz w:val="30"/>
          <w:szCs w:val="30"/>
        </w:rPr>
      </w:pPr>
      <w:r>
        <w:rPr>
          <w:rFonts w:eastAsia="宋体" w:ascii="Times New Roman" w:hAnsi="Times New Roman" w:cs="Times New Roman"/>
          <w:b/>
          <w:bCs/>
          <w:sz w:val="30"/>
          <w:szCs w:val="30"/>
        </w:rPr>
        <w:br w:type="page"/>
      </w:r>
    </w:p>
    <w:p w14:paraId="4314D1E7">
      <w:pPr>
        <w:pStyle w:val="2"/>
      </w:pPr>
      <w:bookmarkStart w:id="2" w:name="_Toc229493683"/>
      <w:r>
        <w:rPr>
          <w:rFonts w:ascii="Times New Roman" w:hAnsi="Times New Roman" w:eastAsia="宋体" w:cs="Times New Roman"/>
        </w:rPr>
        <w:t>绪论</w:t>
      </w:r>
      <w:bookmarkEnd w:id="2"/>
    </w:p>
    <w:p w14:paraId="10F41B64">
      <w:pPr>
        <w:pStyle w:val="3"/>
        <w:rPr>
          <w:rFonts w:hint="eastAsia"/>
        </w:rPr>
      </w:pPr>
      <w:bookmarkStart w:id="3" w:name="_Toc229493684"/>
      <w:r>
        <w:rPr>
          <w:rFonts w:hint="eastAsia" w:ascii="Times New Roman" w:hAnsi="Times New Roman" w:eastAsia="宋体" w:cs="Times New Roman"/>
        </w:rPr>
        <w:t>研究背景及意义</w:t>
      </w:r>
      <w:bookmarkEnd w:id="3"/>
    </w:p>
    <w:p w14:paraId="2D359B11">
      <w:pPr>
        <w:spacing w:line="300" w:lineRule="auto"/>
        <w:ind w:firstLine="420"/>
        <w:jc w:val="both"/>
        <w:rPr>
          <w:rFonts w:hint="eastAsia" w:ascii="宋体" w:hAnsi="宋体"/>
        </w:rPr>
      </w:pPr>
      <w:r>
        <w:rPr>
          <w:rFonts w:hint="eastAsia" w:ascii="Times New Roman" w:hAnsi="Times New Roman" w:eastAsia="宋体" w:cs="Times New Roman"/>
        </w:rPr>
        <w:t>随着柔性电子器件和可穿戴设备的快速发展，对轻质、柔性且具有良好的导电性能的功能材料的需求日益增大。</w:t>
      </w:r>
      <w:r>
        <w:rPr>
          <w:rFonts w:ascii="Times New Roman" w:hAnsi="Times New Roman" w:eastAsia="宋体" w:cs="Times New Roman"/>
        </w:rPr>
        <w:t>传统导电材料多以金属为主，虽然具有优异的导电性能，但</w:t>
      </w:r>
      <w:r>
        <w:rPr>
          <w:rFonts w:hint="eastAsia" w:ascii="Times New Roman" w:hAnsi="Times New Roman" w:eastAsia="宋体" w:cs="Times New Roman"/>
        </w:rPr>
        <w:t>是</w:t>
      </w:r>
      <w:r>
        <w:rPr>
          <w:rFonts w:ascii="Times New Roman" w:hAnsi="Times New Roman" w:eastAsia="宋体" w:cs="Times New Roman"/>
        </w:rPr>
        <w:t>普遍存在质量较大、柔韧性差、加工成本较高等问题，难以满足新型柔性电子产品对材料性能的综合要求。因此，开发兼具良好导电性能与柔性特征的新型导电材料，已成为当前材料领域的重要研究方向之一。</w:t>
      </w:r>
    </w:p>
    <w:p w14:paraId="4E229DED">
      <w:pPr>
        <w:spacing w:line="300" w:lineRule="auto"/>
        <w:ind w:firstLine="420"/>
        <w:jc w:val="both"/>
        <w:rPr>
          <w:rFonts w:hint="eastAsia" w:ascii="宋体" w:hAnsi="宋体"/>
        </w:rPr>
      </w:pPr>
      <w:r>
        <w:rPr>
          <w:rFonts w:ascii="Times New Roman" w:hAnsi="Times New Roman" w:eastAsia="宋体" w:cs="Times New Roman"/>
        </w:rPr>
        <w:t>纤维素作为自然界中储量最丰富的天然高分子材料，具有来源广泛、可再生、生物相容性好等优点。</w:t>
      </w:r>
      <w:r>
        <w:rPr>
          <w:rFonts w:hint="eastAsia" w:ascii="Times New Roman" w:hAnsi="Times New Roman" w:eastAsia="宋体" w:cs="Times New Roman"/>
        </w:rPr>
        <w:t>其中</w:t>
      </w:r>
      <w:r>
        <w:rPr>
          <w:rFonts w:ascii="Times New Roman" w:hAnsi="Times New Roman" w:eastAsia="宋体" w:cs="Times New Roman"/>
        </w:rPr>
        <w:t>纳米纤维素由于其比表面积大、力学性能优良以及良好的成膜能力，在柔性基材领域展现出广阔的应用前景。然而，纤维素本身为绝缘材料，限制了其在导电领域的直接应用。因此，通过引入导电填料构建导电网络，从而赋予其导电性能，是实现纤维素功能化的重要途径。</w:t>
      </w:r>
    </w:p>
    <w:p w14:paraId="21116584">
      <w:pPr>
        <w:spacing w:line="300" w:lineRule="auto"/>
        <w:ind w:firstLine="420"/>
        <w:jc w:val="both"/>
        <w:rPr>
          <w:rFonts w:hint="eastAsia" w:ascii="宋体" w:hAnsi="宋体"/>
        </w:rPr>
      </w:pPr>
      <w:r>
        <w:rPr>
          <w:rFonts w:ascii="Times New Roman" w:hAnsi="Times New Roman" w:eastAsia="宋体" w:cs="Times New Roman"/>
        </w:rPr>
        <w:t>碳纳米管（</w:t>
      </w:r>
      <w:r>
        <w:rPr>
          <w:rFonts w:ascii="Times New Roman" w:hAnsi="Times New Roman" w:eastAsia="宋体" w:cs="Times New Roman"/>
        </w:rPr>
        <w:t>CNTs</w:t>
      </w:r>
      <w:r>
        <w:rPr>
          <w:rFonts w:ascii="Times New Roman" w:hAnsi="Times New Roman" w:eastAsia="宋体" w:cs="Times New Roman"/>
        </w:rPr>
        <w:t>）因具有优异的导电性能和较高的比表面积，被广泛用于构建导电网络。但在实际应用中，</w:t>
      </w:r>
      <w:r>
        <w:rPr>
          <w:rFonts w:ascii="Times New Roman" w:hAnsi="Times New Roman" w:eastAsia="宋体" w:cs="Times New Roman"/>
        </w:rPr>
        <w:t>CNTs</w:t>
      </w:r>
      <w:r>
        <w:rPr>
          <w:rFonts w:ascii="Times New Roman" w:hAnsi="Times New Roman" w:eastAsia="宋体" w:cs="Times New Roman"/>
        </w:rPr>
        <w:t>在水相体系中易发生团聚，难以均匀分散，从而影响导电性能的发挥。此外，在复合体系中如何兼顾导电性能与结构稳定性，也是当前研究面临的关键问题。因此，通过调控纳米纤维素与导电填料之间的界面作用及分散状态，优化复合材料的微观结构，对于提升材料整体性能具有重要意义。</w:t>
      </w:r>
    </w:p>
    <w:p w14:paraId="11BE02C7">
      <w:pPr>
        <w:spacing w:line="300" w:lineRule="auto"/>
        <w:ind w:firstLine="420"/>
        <w:jc w:val="both"/>
        <w:rPr>
          <w:rFonts w:hint="eastAsia" w:ascii="宋体" w:hAnsi="宋体"/>
        </w:rPr>
      </w:pPr>
      <w:r>
        <w:rPr>
          <w:rFonts w:ascii="Times New Roman" w:hAnsi="Times New Roman" w:eastAsia="宋体" w:cs="Times New Roman"/>
        </w:rPr>
        <w:t>基于此，本课题以纳米纤维素为基体，引入碳纳米管构建导电网络，并通过添加</w:t>
      </w:r>
      <w:r>
        <w:rPr>
          <w:rFonts w:hint="eastAsia" w:ascii="Times New Roman" w:hAnsi="Times New Roman" w:eastAsia="宋体" w:cs="Times New Roman"/>
        </w:rPr>
        <w:t>醇醚类试剂</w:t>
      </w:r>
      <w:r>
        <w:rPr>
          <w:rFonts w:ascii="Times New Roman" w:hAnsi="Times New Roman" w:eastAsia="宋体" w:cs="Times New Roman"/>
        </w:rPr>
        <w:t>作为结构调节组分，对复合体系的微观结构进行调控，以改善材料的分散性和结构稳定性。在此基础上，进一步制备纤维素基导电薄膜，并探索其性能变化规律。该研究有助于加深对纤维素基导电复合材料结构与性能关系的理解，同时为柔性导电材料的设计与应用提供一定的理论依据和实验参考。</w:t>
      </w:r>
    </w:p>
    <w:p w14:paraId="02AEE7A7">
      <w:pPr>
        <w:pStyle w:val="3"/>
        <w:rPr>
          <w:rFonts w:hint="eastAsia"/>
        </w:rPr>
      </w:pPr>
      <w:bookmarkStart w:id="4" w:name="_Toc229493685"/>
      <w:r>
        <w:rPr>
          <w:rFonts w:hint="eastAsia" w:ascii="Times New Roman" w:hAnsi="Times New Roman" w:eastAsia="宋体" w:cs="Times New Roman"/>
        </w:rPr>
        <w:t>纳米纤维素及其膜材料</w:t>
      </w:r>
      <w:bookmarkEnd w:id="4"/>
    </w:p>
    <w:p w14:paraId="3398C23F">
      <w:pPr>
        <w:pStyle w:val="4"/>
      </w:pPr>
      <w:bookmarkStart w:id="5" w:name="_Toc229493686"/>
      <w:r>
        <w:rPr>
          <w:rFonts w:hint="eastAsia" w:ascii="Times New Roman" w:hAnsi="Times New Roman" w:eastAsia="宋体" w:cs="Times New Roman"/>
        </w:rPr>
        <w:t>纳米纤维素简介</w:t>
      </w:r>
      <w:bookmarkEnd w:id="5"/>
    </w:p>
    <w:p w14:paraId="4EDEA115">
      <w:pPr>
        <w:spacing w:line="300" w:lineRule="auto"/>
        <w:ind w:firstLine="420"/>
        <w:jc w:val="both"/>
        <w:rPr>
          <w:rFonts w:hint="eastAsia" w:ascii="宋体" w:hAnsi="宋体"/>
        </w:rPr>
      </w:pPr>
      <w:r>
        <w:rPr>
          <w:rFonts w:hint="eastAsia" w:ascii="Times New Roman" w:hAnsi="Times New Roman" w:eastAsia="宋体" w:cs="Times New Roman"/>
        </w:rPr>
        <w:t>纤维素是自然界中储量最为丰富的天然高分子物质之一，在植物细胞壁中通常占其质量的约40%～60%。作为一种可再生的生物质资源，纤维素不仅来源广泛，而且具有良好的生物相容性和环境友好性，因此在材料领域受到了广泛关注</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{"citationID":"aveganoc46","properties":{"unsorted":false,"formattedCitation":"\\super [1]\\nosupersub{}","plainCitation":"[1]","noteIndex":0},"citationItems":[{"id":8,"uris":["http://zotero.org/users/local/h1SzDwOO/items/UTY29VGU"],"itemData":{"id":8,"type":"article-journal","abstract":"纳米纤维素(NC)因具有高比表面积、优异的力学性能、出色的热稳定性和可生物降解性,是柔性储能设备电极材料的理想候选者.在柔性电子器件的应用中,通常将NC与导电材料结合以提高其导电性.本文从NC的结构特点出发,综述了 NC基导电薄膜的形成及其在柔性电子器件的应用,总结分析了 NC基导电薄膜在实际应用中存在的问题和挑战,并对其未来的研究方向进行展望.","container-title":"中国造纸","DOI":"10.11980/j.issn.0254-508X.2023.05.0010","ISSN":"0254-508X","issue":"5","journalAbbreviation":"中国造纸","language":"zh","note":"CLC: TS72(造纸工业)","page":"87-97","source":"Wanfang Data","title":"纳米纤维素基柔性导电薄膜的构筑及其在柔性电子器件中的应用研究进展","volume":"42","author":[{"literal":"刘亚丽"},{"literal":"张素风"},{"literal":"李楠"},{"literal":"李磊"},{"literal":"朱新月"},{"literal":"邓婷婷"},{"literal":"刘叶"},{"family":"Coseri","given":"Sergiu"}],"issued":{"date-parts":[["2023"]]}}}],"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[1]</w:t>
      </w:r>
      <w:r>
        <w:rPr>
          <w:rFonts w:hint="eastAsia" w:ascii="Times New Roman" w:hAnsi="Times New Roman" w:eastAsia="宋体" w:cs="Times New Roman"/>
        </w:rPr>
        <w:fldChar w:fldCharType="end"/>
      </w:r>
      <w:r>
        <w:rPr>
          <w:rFonts w:hint="eastAsia" w:ascii="Times New Roman" w:hAnsi="Times New Roman" w:eastAsia="宋体" w:cs="Times New Roman"/>
        </w:rPr>
        <w:t>。与传统合成高分子材料相比，纤维素基材料在可持续发展和绿色化学方面具有明显优势。近年来，随着纤维素纳米化制备技术的不断发展以及功能化研究的深入，纳米纤维素在食品工业、环境保护、生物医用材料以及光电功能材料等领域展现出广阔的应用前景</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{"citationID":"lWG5CTWf","properties":{"unsorted":false,"formattedCitation":"\\super [2]\\nosupersub{}","plainCitation":"[2]","noteIndex":0},"citationItems":[{"id":90,"uris":["http://zotero.org/users/local/h1SzDwOO/items/YKKIGISA"],"itemData":{"id":90,"type":"thesis","abstract":"纤维素是地球上存量最大的一种自然高分子物质，具有低廉的开采成本、广泛的来源渠道、可持续再生能力及良好的生物兼容性等优点。纤维素纳米晶（CNC）在一定条件下能够自组装形成手性向列结构，形成具备手性特征的一维光子晶体，从而产生优良的光学特性。然而，CNC自组装形成的手性向列膜的脆性这一缺点极大地限制了CNC基材料的应用。针对上述问题，CNC基柔性传感材料借其轻质、柔软、可弯曲等特性，成为了智能材料与可穿戴器件研究领域的热点。当该类材料受到外界刺激作用时，CNC手性向列结构的螺距会随之改变，进而导致选择性反射颜色变化。作为一种新型的柔性传...","genre":"硕士学位论文","language":"zh","note":"CLC: TB383(工程材料学)\nmajor: 无机化学","publisher":"吉林大学","publisher-place":"长春","source":"Wanfang Data","title":"纤维素纳米晶基柔性传感材料的构建以及性能研究","URL":"https://d.wanfangdata.com.cn/thesis/D03503816","author":[{"literal":"张莹莹"}],"contributor":[{"literal":"徐雁"}],"accessed":{"date-parts":[["2026",3,8]]},"issued":{"date-parts":[["2024"]]}}}],"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[2]</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74ABB2DA">
      <w:pPr>
        <w:spacing w:line="300" w:lineRule="auto"/>
        <w:ind w:firstLine="420"/>
        <w:jc w:val="both"/>
        <w:rPr>
          <w:rFonts w:hint="eastAsia" w:ascii="宋体" w:hAnsi="宋体"/>
        </w:rPr>
      </w:pPr>
      <w:r>
        <w:rPr>
          <w:rFonts w:hint="eastAsia" w:ascii="Times New Roman" w:hAnsi="Times New Roman" w:eastAsia="宋体" w:cs="Times New Roman"/>
        </w:rPr>
        <w:t>纳米纤维素在保留天然纤维素基本性质的同时，还表现出更为优异的结构与性能特征，例如较大的比表面积、较高的结晶度和杨氏模量，以及良好的亲水性和光学透明性等。由于制备方法的不同，所得纳米纤维素在形貌结构、尺寸尺度及性能方面会存在一定差异。此外，通过化学改性或功能化处理，可以进一步赋予纳米纤维素新的性能，从而拓展其在各类功能材料中的应用范围</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{"citationID":"a28r4741428","properties":{"unsorted":false,"formattedCitation":"\\super [3-5]\\nosupersub{}","plainCitation":"[3-5]","noteIndex":0},"citationItems":[{"id":60,"uris":["http://zotero.org/users/local/h1SzDwOO/items/HEYAR96Y"],"itemData":{"id":60,"type":"article-journal","abstract":"本文综述了基于氧化工艺制备纳米纤维素的研究进展,包括利用2,2,6,6-四甲基哌啶氧化物(TEMPO)、NaIO4、过硫酸铵、Fe2+和含氯体系制备纳米纤维素相关研究,并介绍了氧化纳米纤维素在气凝胶、水凝胶和膜材料等领域的应用研究进展.","container-title":"中国造纸","DOI":"10.11980/j.issn.0254-508X.2023.12.014","ISSN":"0254-508X","issue":"12","journalAbbreviation":"中国造纸","language":"zh","note":"CLC: TS7(造纸工业)","page":"100-110","source":"Wanfang Data","title":"纳米纤维素的氧化法制备工艺及其在气凝胶、水凝胶和膜材料领域的应用研究进展","volume":"42","author":[{"literal":"张希伟"},{"literal":"赵承科"},{"literal":"黄六莲"},{"literal":"陈礼辉"},{"literal":"帅李"}],"issued":{"date-parts":[["2023"]]}}},{"id":44,"uris":["http://zotero.org/users/local/h1SzDwOO/items/3FIRQZUY"],"itemData":{"id":44,"type":"thesis","abstract":"随着如今电子信息技术的发展，电磁波成为一种新的污染源，电磁污染对于电子设备的正常使用以及人类的身体健康造成了很大的影响，甚至对于国防领域也会造成很大的影响，因此迫切需要研发一种高性能的电磁屏蔽材料来减少电磁波的干扰。如今的电磁屏蔽材料需要满足轻薄、透光度高、导电性强等特点，传统的金属材料由于质量大、易磨损、成本高等缺点逐渐淡出了研究者的视野，碳系导电材料例如石墨烯、碳纳米管、Mxene 等在实现优异电磁屏蔽性能的情况下往往需要较高的浓度或者厚度，这会导致材料透光率下降，而银纳米线（AgNWs）由于长径比大、透光度高、导电性强等优点近年...","genre":"硕士学位论文","language":"zh","note":"CLC: TB34(工程材料学)\nmajor: 机械工程","publisher":"太原理工大学","publisher-place":"太原","source":"Wanfang Data","title":"多层定向排列银纳米线薄膜的制备及电磁屏蔽性能研究","URL":"https://d.wanfangdata.com.cn/thesis/D03871338","author":[{"literal":"郭治江"}],"contributor":[{"literal":"陈占春"},{"literal":"王东卫"}],"accessed":{"date-parts":[["2026",3,6]]},"issued":{"date-parts":[["2024"]]}}},{"id":48,"uris":["http://zotero.org/users/local/h1SzDwOO/items/BAGJKZHQ"],"itemData":{"id":48,"type":"thesis","abstract":"电子浆料经丝网印刷、流平、烧结等工艺，可以固化在基材上，形成导电薄膜，从而制成电容器、导电油墨、太阳能电池电极、发光二极管等电子元件，在电子信息领域发展前景广泛。电子浆料主要由功能相、结合相和有机介质组成，作为一种高浓度的多相悬浮分散体系，不仅其结构形态变化规律不同于单一的聚合物体系，而且其导电机理非常复杂。另外随着信息时代的快速崛起，除了对浆料性能要求的提高，对浆料后续的保存，运输等方面的要求也越来越严格，因此明白内部组成和外部因素对浆料的影响，将有助于快速得到最佳的料浆配比，同时提高功效。本文主要借助流变性能、电性能和理...","genre":"硕士学位论文","language":"zh","note":"CLC: TN304.05(半导体技术)\nmajor: 材料工程","publisher":"安徽大学","publisher-place":"合肥","source":"Wanfang Data","title":"发热碳浆与导电银浆的配方设计及工艺参数优化研究","URL":"https://d.wanfangdata.com.cn/thesis/Y4331646","author":[{"literal":"鲍传林"}],"contributor":[{"literal":"陈鹏鹏"}],"accessed":{"date-parts":[["2026",3,6]]},"issued":{"date-parts":[["2024"]]}}}],"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[3-5]</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089BDD01">
      <w:pPr>
        <w:spacing w:line="300" w:lineRule="auto"/>
        <w:ind w:firstLine="420"/>
        <w:jc w:val="both"/>
        <w:rPr>
          <w:rFonts w:hint="eastAsia" w:ascii="宋体" w:hAnsi="宋体"/>
        </w:rPr>
      </w:pPr>
      <w:r>
        <w:rPr>
          <w:rFonts w:hint="eastAsia" w:ascii="Times New Roman" w:hAnsi="Times New Roman" w:eastAsia="宋体" w:cs="Times New Roman"/>
        </w:rPr>
        <w:t>根据原料来源、提取方法以及形态结构，纳米纤维素可以分为纤维素纳米晶（</w:t>
      </w:r>
      <w:r>
        <w:rPr>
          <w:rFonts w:hint="eastAsia" w:ascii="Times New Roman" w:hAnsi="Times New Roman" w:eastAsia="宋体" w:cs="Times New Roman"/>
        </w:rPr>
        <w:t>Cellulose Nanocrystal,CNC</w:t>
      </w:r>
      <w:r>
        <w:rPr>
          <w:rFonts w:hint="eastAsia" w:ascii="Times New Roman" w:hAnsi="Times New Roman" w:eastAsia="宋体" w:cs="Times New Roman"/>
        </w:rPr>
        <w:t>）、纤维素纳米纤维（</w:t>
      </w:r>
      <w:r>
        <w:rPr>
          <w:rFonts w:hint="eastAsia" w:ascii="Times New Roman" w:hAnsi="Times New Roman" w:eastAsia="宋体" w:cs="Times New Roman"/>
        </w:rPr>
        <w:t>Cellusose Nanofiber,CNF</w:t>
      </w:r>
      <w:r>
        <w:rPr>
          <w:rFonts w:hint="eastAsia" w:ascii="Times New Roman" w:hAnsi="Times New Roman" w:eastAsia="宋体" w:cs="Times New Roman"/>
        </w:rPr>
        <w:t>）和细菌纳米纤维素（</w:t>
      </w:r>
      <w:r>
        <w:rPr>
          <w:rFonts w:hint="eastAsia" w:ascii="Times New Roman" w:hAnsi="Times New Roman" w:eastAsia="宋体" w:cs="Times New Roman"/>
        </w:rPr>
        <w:t>Bacterial Nanocellulose，BNC</w:t>
      </w:r>
      <w:r>
        <w:rPr>
          <w:rFonts w:hint="eastAsia" w:ascii="Times New Roman" w:hAnsi="Times New Roman" w:eastAsia="宋体" w:cs="Times New Roman"/>
        </w:rPr>
        <w:t>）,其形貌与特性如图所示</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{"citationID":"SCDhX850","properties":{"unsorted":false,"formattedCitation":"\\super [6,7]\\nosupersub{}","plainCitation":"[6,7]","noteIndex":0},"citationItems":[{"id":100,"uris":["http://zotero.org/users/local/h1SzDwOO/items/UU4TU2GJ"],"itemData":{"id":100,"type":"article-journal","abstract":"纳米纤维素具有高长径比、大比表面积、优异的机械性能及热稳定性等特点,已被广泛应用于构建电化学储能材料.其中,纳米纤维素复合气凝胶以其轻质、高孔隙率、微观结构易调控等优势,逐渐成为电化学储能领域的研究热点.本文从纳米纤维素分类及特性出发,详细介绍了纳米纤维素复合气凝胶的构建策略,基于结构-性能构效关系及储能机制,综述了纳米纤维素复合气凝胶在超级电容器、锂离子电池、锌离子电池及钠离子电池中的应用进展.针对纳米纤维素复合气凝胶在电化学储能设备中的规模化应用、孔径调控与导电性能及机械性能的协调关系,以及纳米纤维素复合气凝胶中离子和电子传导机制表征等...","container-title":"中国造纸学报","DOI":"10.11981/j.issn.1000-6842.2025.03.139","ISSN":"1000-6842","issue":"3","journalAbbreviation":"中国造纸学报","language":"zh","note":"CLC: TS7(造纸工业)","page":"139-150","source":"Wanfang Data","title":"纳米纤维素复合气凝胶制备及其在电化学储能领域应用","volume":"40","author":[{"literal":"徐婷"},{"literal":"李燕"},{"literal":"王璇"},{"literal":"张萌"},{"literal":"祁俊洁"},{"literal":"张涵"},{"literal":"董强"},{"literal":"王娅萱"},{"literal":"李辉虎"},{"literal":"司传领"}],"issued":{"date-parts":[["2025"]]}}},{"id":252,"uris":["http://zotero.org/users/local/h1SzDwOO/items/AKEIQYKA"],"itemData":{"id":252,"type":"thesis","abstract":"随着气候变化和化石燃料枯竭问题的日益严重，迫切需要开发绿色可再生能源以满足发展的需求，这使得高效储能技术的研究变得格外重要。超级电容器由于其高功率密度、快速充放电速率、优异的循环稳定性等优点备受关注。然而，较低的能量密度限制了超级电容器的实际应用范围。如何在不牺牲原有优势的基础上提高其能量密度，关键在于高性能电极材料的设计和构建。纳米纤维素具有可再生、高长径比、大比表面积、高孔隙率和丰富的表面基团等优势，使其成为绿色基体的理想选择，被广泛用于制备导电复合材料。同时，纳米纤维素还是一种理想的碳源，通过简单的碳化可转化为导电碳质...","genre":"博士学位论文","language":"zh","note":"CLC: TM242(电工材料)TM205.1(电工材料)\nmajor: 纺织科学与工程","publisher":"浙江理工大学","publisher-place":"杭州","source":"Wanfang Data","title":"纳米纤维素基导电复合材料的制备及应用研究","URL":"https://d.wanfangdata.com.cn/thesis/Y4083608","author":[{"literal":"陈露敏"}],"contributor":[{"literal":"余厚咏"}],"accessed":{"date-parts":[["2026",4,11]]},"issued":{"date-parts":[["2023"]]}}}],"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[6,7]</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1D3ED6FD">
      <w:pPr>
        <w:pStyle w:val="50"/>
      </w:pPr>
    </w:p>
    <w:p w14:paraId="4E3660D6">
      <w:pPr>
        <w:pStyle w:val="11"/>
        <w:jc w:val="center"/>
        <w:rPr>
          <w:rFonts w:hint="eastAsia" w:ascii="宋体" w:hAnsi="宋体"/>
          <w:sz w:val="24"/>
        </w:rPr>
      </w:pPr>
      <w:r>
        <w:rPr>
          <w:rFonts w:hint="eastAsia" w:ascii="Times New Roman" w:hAnsi="Times New Roman" w:eastAsia="SimHei" w:cs="Times New Roman"/>
          <w:sz w:val="21"/>
          <w:szCs w:val="21"/>
        </w:rPr>
        <w:t xml:space="preserve">图 </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STYLEREF 1 \s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1</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noBreakHyphen/>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SEQ 图 \* ARABIC \s 1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1</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t>(a)木质纤维素分级结构示意图；(b)CNC、CNF、BC的SEM图；(c)纳米纤维素的特点</w:t>
      </w:r>
      <w:r>
        <w:rPr>
          <w:rFonts w:hint="eastAsia" w:ascii="Times New Roman" w:hAnsi="Times New Roman" w:eastAsia="SimHei" w:cs="Times New Roman"/>
          <w:sz w:val="21"/>
        </w:rPr>
        <w:fldChar w:fldCharType="begin"/>
      </w:r>
      <w:r>
        <w:rPr>
          <w:rFonts w:hint="eastAsia" w:ascii="Times New Roman" w:hAnsi="Times New Roman" w:eastAsia="SimHei" w:cs="Times New Roman"/>
          <w:sz w:val="21"/>
        </w:rPr>
        <w:instrText xml:space="preserve"> ADDIN ZOTERO_ITEM CSL_CITATION {"citationID":"a237hcejkf9","properties":{"unsorted":false,"formattedCitation":"\\super [6]\\nosupersub{}","plainCitation":"[6]","noteIndex":0},"citationItems":[{"id":100,"uris":["http://zotero.org/users/local/h1SzDwOO/items/UU4TU2GJ"],"itemData":{"id":100,"type":"article-journal","abstract":"纳米纤维素具有高长径比、大比表面积、优异的机械性能及热稳定性等特点,已被广泛应用于构建电化学储能材料.其中,纳米纤维素复合气凝胶以其轻质、高孔隙率、微观结构易调控等优势,逐渐成为电化学储能领域的研究热点.本文从纳米纤维素分类及特性出发,详细介绍了纳米纤维素复合气凝胶的构建策略,基于结构-性能构效关系及储能机制,综述了纳米纤维素复合气凝胶在超级电容器、锂离子电池、锌离子电池及钠离子电池中的应用进展.针对纳米纤维素复合气凝胶在电化学储能设备中的规模化应用、孔径调控与导电性能及机械性能的协调关系,以及纳米纤维素复合气凝胶中离子和电子传导机制表征等...","container-title":"中国造纸学报","DOI":"10.11981/j.issn.1000-6842.2025.03.139","ISSN":"1000-6842","issue":"3","journalAbbreviation":"中国造纸学报","language":"zh","note":"CLC: TS7(造纸工业)","page":"139-150","source":"Wanfang Data","title":"纳米纤维素复合气凝胶制备及其在电化学储能领域应用","volume":"40","author":[{"literal":"徐婷"},{"literal":"李燕"},{"literal":"王璇"},{"literal":"张萌"},{"literal":"祁俊洁"},{"literal":"张涵"},{"literal":"董强"},{"literal":"王娅萱"},{"literal":"李辉虎"},{"literal":"司传领"}],"issued":{"date-parts":[["2025"]]}}}],"schema":"https://github.com/citation-style-language/schema/raw/master/csl-citation.json"} </w:instrText>
      </w:r>
      <w:r>
        <w:rPr>
          <w:rFonts w:hint="eastAsia" w:ascii="Times New Roman" w:hAnsi="Times New Roman" w:eastAsia="SimHei" w:cs="Times New Roman"/>
          <w:sz w:val="21"/>
        </w:rPr>
        <w:fldChar w:fldCharType="separate"/>
      </w:r>
      <w:r>
        <w:rPr>
          <w:rFonts w:ascii="Times New Roman" w:hAnsi="Times New Roman" w:eastAsia="SimHei" w:cs="Times New Roman"/>
          <w:kern w:val="0"/>
          <w:sz w:val="21"/>
          <w:vertAlign w:val="superscript"/>
        </w:rPr>
        <w:t>[6]</w:t>
      </w:r>
      <w:r>
        <w:rPr>
          <w:rFonts w:hint="eastAsia" w:ascii="Times New Roman" w:hAnsi="Times New Roman" w:eastAsia="SimHei" w:cs="Times New Roman"/>
          <w:sz w:val="21"/>
        </w:rPr>
        <w:fldChar w:fldCharType="end"/>
      </w:r>
    </w:p>
    <w:p w14:paraId="6D6049B9">
      <w:pPr>
        <w:pStyle w:val="4"/>
      </w:pPr>
      <w:bookmarkStart w:id="6" w:name="_Toc229493687"/>
      <w:r>
        <w:rPr>
          <w:rFonts w:hint="eastAsia" w:ascii="Times New Roman" w:hAnsi="Times New Roman" w:eastAsia="宋体" w:cs="Times New Roman"/>
        </w:rPr>
        <w:t>纳米纤维素的性能优势</w:t>
      </w:r>
      <w:bookmarkEnd w:id="6"/>
    </w:p>
    <w:p w14:paraId="78675B97">
      <w:pPr>
        <w:spacing w:line="300" w:lineRule="auto"/>
        <w:ind w:firstLine="420"/>
        <w:jc w:val="both"/>
        <w:rPr>
          <w:rFonts w:hint="eastAsia" w:ascii="宋体" w:hAnsi="宋体"/>
        </w:rPr>
      </w:pPr>
      <w:r>
        <w:rPr>
          <w:rFonts w:hint="eastAsia" w:ascii="Times New Roman" w:hAnsi="Times New Roman" w:eastAsia="宋体" w:cs="Times New Roman"/>
        </w:rPr>
        <w:t>纳米纤维素作为由天然纤维素解构得到的纳米尺度材料，继承了纤维素来源广泛、可再生以及生物相容性良好的特点，同时由于其尺寸效应和结构特征，表现出一系列优异的性能。首先，纳米纤维素具有较高的比表面积和丰富的表面羟基，使其在水相体系中能够形成稳定的分散体系，并通过氢键作用构建连续的网络结构，从而赋予材料优良的成膜性能和结构稳定性。其次，纳米纤维素有较高的结晶度和优异的力学性能，其杨氏模量可达到较高水平，使其在增强复合材料方面具有明显的优势</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{"citationID":"a1j8a4nl8p4","properties":{"unsorted":false,"formattedCitation":"\\super [8]\\nosupersub{}","plainCitation":"[8]","noteIndex":0},"citationItems":[{"id":281,"uris":["http://zotero.org/users/local/h1SzDwOO/items/TKRIUJEA"],"itemData":{"id":281,"type":"article-journal","abstract":"Recently, various fine cellulose fibers (CFs) such as cellulose nanofiber and microfibrillated cellulose have been developed. However, it is not clear how the addition of these fine CFs influences the physical properties and structure of paper. This study examines the benefits of adding fine CFs, including nano- and submicron-sized CFs, to paper by mixing them into unbeaten pulp, and discusses CF size differences between the micron and smaller scales. Two types of CFs were used in this study. One consists of micro-, submicron-, and nano-sized CFs (CF1) and another consists of nano- and submicron-sized CFs (CF2). The results show that both CF1 and CF2 enhance the tensile index, stretch at break, and tensile energy absorption of a handsheet. To explain these results, the fiber strength index and bond strength index were calculated using the Page’s equation, and the tensile index for the handsheets with CF1 and CF2 showed a strong correlation with the bond strength index, thus suggesting that CF1 and CF2 were deposited in locations where there was interfiber bonding. However, differences were observed in the internal structures of the paper samples, indicating that CF2 did not change the pore volume and pore size of the resulting samples.","container-title":"Sen'i Gakkaishi","DOI":"10.2115/fiber.71.85","ISSN":"0037-9875, 1884-2259","issue":"2","journalAbbreviation":"Sen'i Gakkaishi","language":"en","page":"85-90","source":"DOI.org (Crossref)","title":"Influence of addition of fine cellulose fibers on physical properties and structure of paper","volume":"71","author":[{"family":"Kose","given":"Ryota"},{"family":"Yamaguchi","given":"Kouki"},{"family":"Okayama","given":"Takayuki"}],"issued":{"date-parts":[["2015"]]}}}],"schema":"https://github.com/citation-style-language/schema/raw/master/csl-citation.json"}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[8]</w:t>
      </w:r>
      <w:r>
        <w:rPr>
          <w:rFonts w:hint="eastAsia" w:ascii="Times New Roman" w:hAnsi="Times New Roman" w:eastAsia="宋体" w:cs="Times New Roman"/>
        </w:rPr>
        <w:fldChar w:fldCharType="end"/>
      </w:r>
      <w:r>
        <w:rPr>
          <w:rFonts w:hint="eastAsia" w:ascii="Times New Roman" w:hAnsi="Times New Roman" w:eastAsia="宋体" w:cs="Times New Roman"/>
        </w:rPr>
        <w:t>。此外，纳米纤维素还表现出良好的柔韧性和透明性，这使其在柔性电子器件及光学材料等领域具有潜在应用价值</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{"citationID":"a22stkdgalr","properties":{"unsorted":false,"formattedCitation":"\\super [9]\\nosupersub{}","plainCitation":"[9]","noteIndex":0},"citationItems":[{"id":340,"uris":["http://zotero.org/users/local/h1SzDwOO/items/HNM67N58","http://zotero.org/users/local/h1SzDwOO/items/SAARD45C"],"itemData":{"id":340,"type":"article-journal","container-title":"ACS Applied Materials &amp; Interfaces","DOI":"10.1021/acsami.6b09471","ISSN":"1944-8244, 1944-8252","issue":"42","journalAbbreviation":"ACS Appl. Mater. Interfaces","language":"en","page":"28838-28843","source":"DOI.org (Crossref)","title":"Thermally conductive, electrical insulating, optically transparent Bi-layer nanopaper","volume":"8","author":[{"family":"Zhou","given":"Lihui"},{"family":"Yang","given":"Zhi"},{"family":"Luo","given":"Wei"},{"family":"Han","given":"Xiaogang"},{"family":"Jang","given":"Soo-Hwan"},{"family":"Dai","given":"Jiaqi"},{"family":"Yang","given":"Bao"},{"family":"Hu","given":"Liangbing"}],"issued":{"date-parts":[["2016",10,26]]}}}],"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[9]</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7E90AD07">
      <w:pPr>
        <w:spacing w:line="300" w:lineRule="auto"/>
        <w:ind w:firstLine="420"/>
        <w:jc w:val="both"/>
        <w:rPr>
          <w:rFonts w:hint="eastAsia" w:ascii="宋体" w:hAnsi="宋体"/>
        </w:rPr>
      </w:pPr>
      <w:r>
        <w:rPr>
          <w:rFonts w:hint="eastAsia" w:ascii="Times New Roman" w:hAnsi="Times New Roman" w:eastAsia="宋体" w:cs="Times New Roman"/>
        </w:rPr>
        <w:t>例如，</w:t>
      </w:r>
      <w:r>
        <w:rPr>
          <w:rFonts w:hint="eastAsia" w:ascii="Times New Roman" w:hAnsi="Times New Roman" w:eastAsia="宋体" w:cs="Times New Roman"/>
        </w:rPr>
        <w:t>Kose</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{"citationID":"a26r90k86tq","properties":{"unsorted":false,"formattedCitation":"\\super [8]\\nosupersub{}","plainCitation":"[8]","noteIndex":0},"citationItems":[{"id":281,"uris":["http://zotero.org/users/local/h1SzDwOO/items/TKRIUJEA"],"itemData":{"id":281,"type":"article-journal","abstract":"Recently, various fine cellulose fibers (CFs) such as cellulose nanofiber and microfibrillated cellulose have been developed. However, it is not clear how the addition of these fine CFs influences the physical properties and structure of paper. This study examines the benefits of adding fine CFs, including nano- and submicron-sized CFs, to paper by mixing them into unbeaten pulp, and discusses CF size differences between the micron and smaller scales. Two types of CFs were used in this study. One consists of micro-, submicron-, and nano-sized CFs (CF1) and another consists of nano- and submicron-sized CFs (CF2). The results show that both CF1 and CF2 enhance the tensile index, stretch at break, and tensile energy absorption of a handsheet. To explain these results, the fiber strength index and bond strength index were calculated using the Page’s equation, and the tensile index for the handsheets with CF1 and CF2 showed a strong correlation with the bond strength index, thus suggesting that CF1 and CF2 were deposited in locations where there was interfiber bonding. However, differences were observed in the internal structures of the paper samples, indicating that CF2 did not change the pore volume and pore size of the resulting samples.","container-title":"Sen'i Gakkaishi","DOI":"10.2115/fiber.71.85","ISSN":"0037-9875, 1884-2259","issue":"2","journalAbbreviation":"Sen'i Gakkaishi","language":"en","page":"85-90","source":"DOI.org (Crossref)","title":"Influence of addition of fine cellulose fibers on physical properties and structure of paper","volume":"71","author":[{"family":"Kose","given":"Ryota"},{"family":"Yamaguchi","given":"Kouki"},{"family":"Okayama","given":"Takayuki"}],"issued":{"date-parts":[["2015"]]}}}],"schema":"https://github.com/citation-style-language/schema/raw/master/csl-citation.json"}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[8]</w:t>
      </w:r>
      <w:r>
        <w:rPr>
          <w:rFonts w:hint="eastAsia" w:ascii="Times New Roman" w:hAnsi="Times New Roman" w:eastAsia="宋体" w:cs="Times New Roman"/>
        </w:rPr>
        <w:fldChar w:fldCharType="end"/>
      </w:r>
      <w:r>
        <w:rPr>
          <w:rFonts w:hint="eastAsia" w:ascii="Times New Roman" w:hAnsi="Times New Roman" w:eastAsia="宋体" w:cs="Times New Roman"/>
        </w:rPr>
        <w:t>等</w:t>
      </w:r>
      <w:r>
        <w:rPr>
          <w:rFonts w:ascii="Times New Roman" w:hAnsi="Times New Roman" w:eastAsia="宋体" w:cs="Times New Roman"/>
        </w:rPr>
        <w:t>通过将不同尺寸的纤维素纤维引入纸浆体系中，发现其能够显著提高材料的拉伸强度、断裂伸长率及能量吸收能力。进一步分析表明，这类细小纤维主要分布于纤维间结合区域，从而增强了纤维之间的界面结合强度，是性能提升的重要原因。同时，不同尺度纤维素纤维对材料内部孔结构的影响存在差异，其中纳米及亚微米级纤维对孔隙结构的影响相对较小。该研究表明，纳米纤维素不仅能够有效增强材料的力学性能，还能够通过调控其尺寸与分布影响材料的微观结构，从而为功能材料的结构设计提供了重要参考。</w:t>
      </w:r>
    </w:p>
    <w:p w14:paraId="0162196D">
      <w:pPr>
        <w:spacing w:line="300" w:lineRule="auto"/>
        <w:jc w:val="both"/>
      </w:pPr>
      <w:r>
        <w:rPr>
          <w:rFonts w:ascii="Times New Roman" w:hAnsi="Times New Roman" w:eastAsia="宋体" w:cs="Times New Roman"/>
        </w:rPr>
        <w:drawing>
          <wp:inline distT="0" distB="0" distL="0" distR="0">
            <wp:extent cx="5114925" cy="1487805"/>
            <wp:effectExtent l="0" t="0" r="9525" b="0"/>
            <wp:docPr id="10095441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44115"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114925" cy="1487805"/>
                    </a:xfrm>
                    <a:prstGeom prst="rect">
                      <a:avLst/>
                    </a:prstGeom>
                    <a:noFill/>
                  </pic:spPr>
                </pic:pic>
              </a:graphicData>
            </a:graphic>
          </wp:inline>
        </w:drawing>
      </w:r>
    </w:p>
    <w:p w14:paraId="5C261F96">
      <w:pPr>
        <w:pStyle w:val="11"/>
        <w:jc w:val="center"/>
        <w:rPr>
          <w:rFonts w:hint="eastAsia"/>
        </w:rPr>
      </w:pPr>
      <w:r>
        <w:rPr>
          <w:rFonts w:hint="eastAsia" w:ascii="Times New Roman" w:hAnsi="Times New Roman" w:eastAsia="SimHei" w:cs="Times New Roman"/>
          <w:sz w:val="21"/>
          <w:szCs w:val="21"/>
        </w:rPr>
        <w:t xml:space="preserve">图 </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STYLEREF 1 \s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1</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noBreakHyphen/>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SEQ 图 \* ARABIC \s 1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2</w:t>
      </w:r>
      <w:r>
        <w:rPr>
          <w:rFonts w:hint="eastAsia" w:ascii="Times New Roman" w:hAnsi="Times New Roman" w:eastAsia="SimHei" w:cs="Times New Roman"/>
          <w:sz w:val="21"/>
          <w:szCs w:val="21"/>
        </w:rPr>
        <w:fldChar w:fldCharType="end"/>
      </w:r>
      <w:r>
        <w:rPr>
          <w:rFonts w:ascii="Times New Roman" w:hAnsi="Times New Roman" w:eastAsia="SimHei" w:cs="Times New Roman"/>
          <w:sz w:val="21"/>
          <w:szCs w:val="21"/>
        </w:rPr>
        <w:t>纤维素纤维</w:t>
      </w:r>
      <w:r>
        <w:rPr>
          <w:rFonts w:hint="eastAsia" w:ascii="Times New Roman" w:hAnsi="Times New Roman" w:eastAsia="SimHei" w:cs="Times New Roman"/>
          <w:sz w:val="21"/>
          <w:szCs w:val="21"/>
        </w:rPr>
        <w:t>组分</w:t>
      </w:r>
      <w:r>
        <w:rPr>
          <w:rFonts w:ascii="Times New Roman" w:hAnsi="Times New Roman" w:eastAsia="SimHei" w:cs="Times New Roman"/>
          <w:sz w:val="21"/>
          <w:szCs w:val="21"/>
        </w:rPr>
        <w:t>添加对纸张孔结构的影响：（a）累积孔体积，（b）孔径分布</w:t>
      </w:r>
      <w:r>
        <w:rPr>
          <w:rFonts w:hint="eastAsia" w:ascii="Times New Roman" w:hAnsi="Times New Roman" w:eastAsia="SimHei" w:cs="Times New Roman"/>
          <w:sz w:val="21"/>
          <w:szCs w:val="21"/>
        </w:rPr>
        <w:t>，（c）纤维素纤维组分添加对纸张拉伸性能的影响</w:t>
      </w:r>
      <w:r>
        <w:rPr>
          <w:rFonts w:hint="eastAsia" w:ascii="Times New Roman" w:hAnsi="Times New Roman" w:eastAsia="SimHei" w:cs="Times New Roman"/>
          <w:sz w:val="21"/>
        </w:rPr>
        <w:fldChar w:fldCharType="begin"/>
      </w:r>
      <w:r>
        <w:rPr>
          <w:rFonts w:hint="eastAsia" w:ascii="Times New Roman" w:hAnsi="Times New Roman" w:eastAsia="SimHei" w:cs="Times New Roman"/>
          <w:sz w:val="21"/>
        </w:rPr>
        <w:instrText xml:space="preserve"> ADDIN ZOTERO_ITEM CSL_CITATION {"citationID":"a28fgta2trj","properties":{"unsorted":false,"formattedCitation":"\\super [8]\\nosupersub{}","plainCitation":"[8]","noteIndex":0},"citationItems":[{"id":281,"uris":["http://zotero.org/users/local/h1SzDwOO/items/TKRIUJEA"],"itemData":{"id":281,"type":"article-journal","abstract":"Recently, various fine cellulose fibers (CFs) such as cellulose nanofiber and microfibrillated cellulose have been developed. However, it is not clear how the addition of these fine CFs influences the physical properties and structure of paper. This study examines the benefits of adding fine CFs, including nano- and submicron-sized CFs, to paper by mixing them into unbeaten pulp, and discusses CF size differences between the micron and smaller scales. Two types of CFs were used in this study. One consists of micro-, submicron-, and nano-sized CFs (CF1) and another consists of nano- and submicron-sized CFs (CF2). The results show that both CF1 and CF2 enhance the tensile index, stretch at break, and tensile energy absorption of a handsheet. To explain these results, the fiber strength index and bond strength index were calculated using the Page’s equation, and the tensile index for the handsheets with CF1 and CF2 showed a strong correlation with the bond strength index, thus suggesting that CF1 and CF2 were deposited in locations where there was interfiber bonding. However, differences were observed in the internal structures of the paper samples, indicating that CF2 did not change the pore volume and pore size of the resulting samples.","container-title":"Sen'i Gakkaishi","DOI":"10.2115/fiber.71.85","ISSN":"0037-9875, 1884-2259","issue":"2","journalAbbreviation":"Sen'i Gakkaishi","language":"en","page":"85-90","source":"DOI.org (Crossref)","title":"Influence of addition of fine cellulose fibers on physical properties and structure of paper","volume":"71","author":[{"family":"Kose","given":"Ryota"},{"family":"Yamaguchi","given":"Kouki"},{"family":"Okayama","given":"Takayuki"}],"issued":{"date-parts":[["2015"]]}}}],"schema":"https://github.com/citation-style-language/schema/raw/master/csl-citation.json"} </w:instrText>
      </w:r>
      <w:r>
        <w:rPr>
          <w:rFonts w:hint="eastAsia" w:ascii="Times New Roman" w:hAnsi="Times New Roman" w:eastAsia="SimHei" w:cs="Times New Roman"/>
          <w:sz w:val="21"/>
        </w:rPr>
        <w:fldChar w:fldCharType="separate"/>
      </w:r>
      <w:r>
        <w:rPr>
          <w:rFonts w:ascii="Times New Roman" w:hAnsi="Times New Roman" w:eastAsia="SimHei" w:cs="Times New Roman"/>
          <w:kern w:val="0"/>
          <w:sz w:val="21"/>
          <w:vertAlign w:val="superscript"/>
        </w:rPr>
        <w:t>[8]</w:t>
      </w:r>
      <w:r>
        <w:rPr>
          <w:rFonts w:hint="eastAsia" w:ascii="Times New Roman" w:hAnsi="Times New Roman" w:eastAsia="SimHei" w:cs="Times New Roman"/>
          <w:sz w:val="21"/>
        </w:rPr>
        <w:fldChar w:fldCharType="end"/>
      </w:r>
    </w:p>
    <w:p w14:paraId="3B02860A">
      <w:pPr>
        <w:pStyle w:val="4"/>
      </w:pPr>
      <w:bookmarkStart w:id="7" w:name="_Toc229493688"/>
      <w:r>
        <w:rPr>
          <w:rFonts w:hint="eastAsia" w:ascii="Times New Roman" w:hAnsi="Times New Roman" w:eastAsia="宋体" w:cs="Times New Roman"/>
        </w:rPr>
        <w:t>纳米纤维素膜材料</w:t>
      </w:r>
      <w:bookmarkEnd w:id="7"/>
    </w:p>
    <w:p w14:paraId="5DF5D53E">
      <w:pPr>
        <w:autoSpaceDE w:val="0"/>
        <w:autoSpaceDN w:val="0"/>
        <w:adjustRightInd w:val="0"/>
        <w:spacing w:line="300" w:lineRule="auto"/>
        <w:ind w:firstLine="420"/>
        <w:jc w:val="both"/>
        <w:rPr>
          <w:rFonts w:hint="eastAsia" w:ascii="宋体" w:hAnsi="宋体"/>
        </w:rPr>
      </w:pPr>
      <w:r>
        <w:rPr>
          <w:rFonts w:hint="eastAsia" w:ascii="Times New Roman" w:hAnsi="Times New Roman" w:eastAsia="宋体" w:cs="Times New Roman"/>
        </w:rPr>
        <w:t>纳米纤维素基膜材料通常也被称为一种新型特种纸，主要由从木材、植物或细菌中提取的纳米纤维素构成。这类材料具有优良的隔热性、绝缘性以及良好的光学性能和力学性能。近年来，纳米纤维素基膜材料在光学材料、电池材料、生物医学、传感器以及环境保护等多个领域得到了广泛研究并取得了大量成果</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{"citationID":"3ZRUIaX7","properties":{"unsorted":false,"formattedCitation":"\\super [10-12]\\nosupersub{}","plainCitation":"[10-12]","noteIndex":0},"citationItems":[{"id":347,"uris":["http://zotero.org/users/local/h1SzDwOO/items/YJL8X9MR"],"itemData":{"id":347,"type":"article-journal","abstract":"Electronics on flexible and transparent substrates have received much interest due to their new functionalities and high-speed roll-to-roll manufacturing processes. The properties of substrates are crucial, including flexibility, surface roughness, optical transmittance, mechanical strength, maximum processing temperature, etc. Although plastic substrates have been used widely in flexible macroelectronics, there is still a need for next-generation sustainable, high-performance substrates which are thermally stable with tunable optical properties and a higher handling temperature. In this communication, we focus on cellulose-based transparent, biodegradable substrates incorporating either nanopaper or a regenerated cellulose film (RCF). We found that both their optical and mechanical properties are dramatically different due to the difference of their building blocks. Highly flexible organic-light-emitting diodes (OLEDs) are also demonstrated on the biodegradable substrates, paving the way for next-generation green and flexible electronics.","container-title":"Energy &amp; Environmental Science","DOI":"10.1039/C3EE40492G","ISSN":"1754-5706","issue":"7","journalAbbreviation":"Energy Environ. Sci.","language":"en","page":"2105-2111","publisher":"The Royal Society of Chemistry","source":"pubs.rsc.org","title":"Biodegradable transparent substrates for flexible organic-light-emitting diodes","volume":"6","author":[{"family":"Zhu","given":"Hongli"},{"family":"Xiao","given":"Zhengguo"},{"family":"Liu","given":"Detao"},{"family":"Li","given":"Yuanyuan"},{"family":"Weadock","given":"Nicholas J."},{"family":"Fang","given":"Zhiqiang"},{"family":"Huang","given":"Jinsong"},{"family":"Hu","given":"Liangbing"}],"issued":{"date-parts":[["2013",6,21]]}}},{"id":344,"uris":["http://zotero.org/users/local/h1SzDwOO/items/IJAMPTGC"],"itemData":{"id":344,"type":"article-journal","container-title":"Current Opinion in Solid State and Materials Science","DOI":"10.1016/S1359-0286(01)00015-8","ISSN":"1359-0286","issue":"2","journalAbbreviation":"Curr. Opin. Solid State Mater. Sci.","language":"en","page":"105-106","source":"ScienceDirect","title":"Current opinion in solid state &amp; materials science: molecular crystals and materials","title-short":"Current opinion in solid state &amp; materials science","volume":"5","author":[{"family":"Desiraju","given":"Gautam R."},{"family":"Hulliger","given":"Juerg"}],"issued":{"date-parts":[["2001",4,1]]}}},{"id":144,"uris":["http://zotero.org/users/local/h1SzDwOO/items/8QYT9NFR"],"itemData":{"id":144,"type":"thesis","abstract":"天然植物纤维衍生的纤维素纳米纤维（CNFs）是一种来源广泛、绿色可再生、物化性能优异的新型一维（1D）纳米材料。特别是以CNFs为骨架的复合纸以其柔韧、轻质、机械性能优异、易加工等优势在可穿戴电子领域备受青睐。然而，受到自身绝缘性和功能性单一等问题限制，CNFs基复合纸难以满足实际应用需求。银纳米线（AgNWs）和过渡金属碳/氮化物（MXene）作为典型的1D和2D导电纳米材料，具有优异的导电性、导热性和水溶液加工性等优点，已广泛应用于柔性电子、电磁屏蔽（EMI）、热管理、储能等领域。利用AgNWs、MXene协同CNFs构建完整的电子/声子传输网络是提升复...","genre":"博士学位论文","language":"zh","note":"CLC: TQ344(化学纤维工业)TQ340.6(化学纤维工业)\nmajor: 生物质科学与工程","publisher":"华南理工大学","publisher-place":"广州","source":"Wanfang Data","title":"纤维素纳米纤维基导电复合纸的结构设计及性能研究","URL":"https://d.wanfangdata.com.cn/thesis/D03309520","author":[{"literal":"成锐"}],"contributor":[{"literal":"陈克复"},{"literal":"王斌"}],"accessed":{"date-parts":[["2026",3,17]]},"issued":{"date-parts":[["2023"]]}}}],"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[10-12]</w:t>
      </w:r>
      <w:r>
        <w:rPr>
          <w:rFonts w:hint="eastAsia" w:ascii="Times New Roman" w:hAnsi="Times New Roman" w:eastAsia="宋体" w:cs="Times New Roman"/>
        </w:rPr>
        <w:fldChar w:fldCharType="end"/>
      </w:r>
      <w:r>
        <w:rPr>
          <w:rFonts w:hint="eastAsia" w:ascii="Times New Roman" w:hAnsi="Times New Roman" w:eastAsia="宋体" w:cs="Times New Roman"/>
        </w:rPr>
        <w:t>。根据</w:t>
      </w:r>
      <w:r>
        <w:rPr>
          <w:rFonts w:hint="eastAsia" w:ascii="Times New Roman" w:hAnsi="Times New Roman" w:eastAsia="宋体" w:cs="Times New Roman"/>
        </w:rPr>
        <w:t>CNFs</w:t>
      </w:r>
      <w:r>
        <w:rPr>
          <w:rFonts w:hint="eastAsia" w:ascii="Times New Roman" w:hAnsi="Times New Roman" w:eastAsia="宋体" w:cs="Times New Roman"/>
        </w:rPr>
        <w:t>基薄膜的特性和功能性，对其进行分类，如图所示。</w:t>
      </w:r>
    </w:p>
    <w:p w14:paraId="4C9C0569">
      <w:pPr>
        <w:autoSpaceDE w:val="0"/>
        <w:autoSpaceDN w:val="0"/>
        <w:adjustRightInd w:val="0"/>
        <w:spacing w:line="360" w:lineRule="auto"/>
        <w:ind w:firstLine="420"/>
        <w:jc w:val="both"/>
        <w:rPr>
          <w:rFonts w:hint="eastAsia" w:ascii="宋体" w:hAnsi="宋体"/>
        </w:rPr>
      </w:pPr>
    </w:p>
    <w:p w14:paraId="4507E1EC">
      <w:pPr>
        <w:pStyle w:val="11"/>
        <w:jc w:val="center"/>
        <w:rPr>
          <w:rFonts w:hint="eastAsia" w:ascii="宋体" w:hAnsi="宋体"/>
          <w:sz w:val="24"/>
        </w:rPr>
      </w:pPr>
      <w:r>
        <w:rPr>
          <w:rFonts w:hint="eastAsia" w:ascii="Times New Roman" w:hAnsi="Times New Roman" w:eastAsia="SimHei" w:cs="Times New Roman"/>
          <w:sz w:val="21"/>
          <w:szCs w:val="21"/>
        </w:rPr>
        <w:t xml:space="preserve">图 </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STYLEREF 1 \s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1</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noBreakHyphen/>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SEQ 图 \* ARABIC \s 1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3</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t>纳米纤维素基功能复合膜及其应用</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ADDIN ZOTERO_ITEM CSL_CITATION {"citationID":"mFgMdHwk","properties":{"unsorted":false,"formattedCitation":"\\super [11]\\nosupersub{}","plainCitation":"[11]","noteIndex":0},"citationItems":[{"id":344,"uris":["http://zotero.org/users/local/h1SzDwOO/items/IJAMPTGC"],"itemData":{"id":344,"type":"article-journal","container-title":"Current Opinion in Solid State and Materials Science","DOI":"10.1016/S1359-0286(01)00015-8","ISSN":"1359-0286","issue":"2","journalAbbreviation":"Curr. Opin. Solid State Mater. Sci.","language":"en","page":"105-106","source":"ScienceDirect","title":"Current opinion in solid state &amp; materials science: molecular crystals and materials","title-short":"Current opinion in solid state &amp; materials science","volume":"5","author":[{"family":"Desiraju","given":"Gautam R."},{"family":"Hulliger","given":"Juerg"}],"issued":{"date-parts":[["2001",4,1]]}}}],"schema":"https://github.com/citation-style-language/schema/raw/master/csl-citation.json"} </w:instrText>
      </w:r>
      <w:r>
        <w:rPr>
          <w:rFonts w:hint="eastAsia" w:ascii="Times New Roman" w:hAnsi="Times New Roman" w:eastAsia="SimHei" w:cs="Times New Roman"/>
          <w:sz w:val="21"/>
          <w:szCs w:val="21"/>
        </w:rPr>
        <w:fldChar w:fldCharType="separate"/>
      </w:r>
      <w:r>
        <w:rPr>
          <w:rFonts w:ascii="Times New Roman" w:hAnsi="Times New Roman" w:cs="Times New Roman" w:eastAsia="SimHei"/>
          <w:kern w:val="0"/>
          <w:sz w:val="21"/>
          <w:vertAlign w:val="superscript"/>
        </w:rPr>
        <w:t>[11]</w:t>
      </w:r>
      <w:r>
        <w:rPr>
          <w:rFonts w:hint="eastAsia" w:ascii="Times New Roman" w:hAnsi="Times New Roman" w:eastAsia="SimHei" w:cs="Times New Roman"/>
          <w:sz w:val="21"/>
          <w:szCs w:val="21"/>
        </w:rPr>
        <w:fldChar w:fldCharType="end"/>
      </w:r>
    </w:p>
    <w:p w14:paraId="13EC2F36">
      <w:pPr>
        <w:spacing w:line="300" w:lineRule="auto"/>
        <w:ind w:firstLine="420"/>
        <w:jc w:val="both"/>
        <w:rPr>
          <w:rFonts w:hint="eastAsia" w:ascii="宋体" w:hAnsi="宋体"/>
        </w:rPr>
      </w:pPr>
      <w:r>
        <w:rPr>
          <w:rFonts w:ascii="Times New Roman" w:hAnsi="Times New Roman" w:eastAsia="宋体" w:cs="Times New Roman"/>
        </w:rPr>
        <w:t>已有研究表明，通过化学改性可以进一步提升纳米纤维素的性能，使其在增强材料中的应用更加广泛。</w:t>
      </w:r>
      <w:r>
        <w:rPr>
          <w:rFonts w:hint="eastAsia" w:ascii="Times New Roman" w:hAnsi="Times New Roman" w:eastAsia="宋体" w:cs="Times New Roman"/>
        </w:rPr>
        <w:t>Hollertz</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{"citationID":"a228qr7km2c","properties":{"unsorted":false,"formattedCitation":"\\super [13]\\nosupersub{}","plainCitation":"[13]","noteIndex":0},"citationItems":[{"id":276,"uris":["http://zotero.org/users/local/h1SzDwOO/items/AF29QDM6"],"itemData":{"id":276,"type":"article-journal","language":"en-US","title":"Chemically modified cellulose micro- and nanofibrils as paper-strength additives","author":[{"family":"Hollertz","given":"Rebecca"}]}}],"schema":"https://github.com/citation-style-language/schema/raw/master/csl-citation.json"}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[13]</w:t>
      </w:r>
      <w:r>
        <w:rPr>
          <w:rFonts w:hint="eastAsia" w:ascii="Times New Roman" w:hAnsi="Times New Roman" w:eastAsia="宋体" w:cs="Times New Roman"/>
        </w:rPr>
        <w:fldChar w:fldCharType="end"/>
      </w:r>
      <w:r>
        <w:rPr>
          <w:rFonts w:hint="eastAsia" w:ascii="Times New Roman" w:hAnsi="Times New Roman" w:eastAsia="宋体" w:cs="Times New Roman"/>
        </w:rPr>
        <w:t>等对不同类型改性纤维素纳米纤维（</w:t>
      </w:r>
      <w:r>
        <w:rPr>
          <w:rFonts w:hint="eastAsia" w:ascii="Times New Roman" w:hAnsi="Times New Roman" w:eastAsia="宋体" w:cs="Times New Roman"/>
        </w:rPr>
        <w:t>CNFs</w:t>
      </w:r>
      <w:r>
        <w:rPr>
          <w:rFonts w:hint="eastAsia" w:ascii="Times New Roman" w:hAnsi="Times New Roman" w:eastAsia="宋体" w:cs="Times New Roman"/>
        </w:rPr>
        <w:t>）作为纸张增强剂的作用进行了研究，结果表明，加入CNFs后，纸张的拉伸强度、杨氏模量及断裂伸长率均得到显著提高，如图所示。其中，经高碘酸氧化的</w:t>
      </w:r>
      <w:r>
        <w:rPr>
          <w:rFonts w:hint="eastAsia" w:ascii="Times New Roman" w:hAnsi="Times New Roman" w:eastAsia="宋体" w:cs="Times New Roman"/>
        </w:rPr>
        <w:t>CNFs</w:t>
      </w:r>
      <w:r>
        <w:rPr>
          <w:rFonts w:hint="eastAsia" w:ascii="Times New Roman" w:hAnsi="Times New Roman" w:eastAsia="宋体" w:cs="Times New Roman"/>
        </w:rPr>
        <w:t>在与阳离子助剂协同作用下表现出最优增强效果，其加入可使纸张拉伸强度显著提升；同时，该类</w:t>
      </w:r>
      <w:r>
        <w:rPr>
          <w:rFonts w:hint="eastAsia" w:ascii="Times New Roman" w:hAnsi="Times New Roman" w:eastAsia="宋体" w:cs="Times New Roman"/>
        </w:rPr>
        <w:t>CNFs</w:t>
      </w:r>
      <w:r>
        <w:rPr>
          <w:rFonts w:hint="eastAsia" w:ascii="Times New Roman" w:hAnsi="Times New Roman" w:eastAsia="宋体" w:cs="Times New Roman"/>
        </w:rPr>
        <w:t>通过引入醛基，可在纤维之间形成交联作用，从而进一步提高材料的湿强性能。上述研究表明，纳米纤维素不仅具有优异的力学性能，而且通过化学改性能够进一步拓展其结构调控能力和应用潜力。</w:t>
      </w:r>
    </w:p>
    <w:p w14:paraId="2E6DCC94">
      <w:pPr>
        <w:spacing w:line="300" w:lineRule="auto"/>
        <w:jc w:val="both"/>
      </w:pPr>
    </w:p>
    <w:p w14:paraId="5D039009">
      <w:pPr>
        <w:pStyle w:val="11"/>
        <w:jc w:val="center"/>
        <w:rPr>
          <w:rFonts w:hint="eastAsia"/>
        </w:rPr>
      </w:pPr>
      <w:r>
        <w:rPr>
          <w:rFonts w:hint="eastAsia" w:ascii="Times New Roman" w:hAnsi="Times New Roman" w:eastAsia="SimHei" w:cs="Times New Roman"/>
          <w:sz w:val="21"/>
          <w:szCs w:val="21"/>
        </w:rPr>
        <w:t xml:space="preserve">图 </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STYLEREF 1 \s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1</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noBreakHyphen/>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SEQ 图 \* ARABIC \s 1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4</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t>不同改性纤维素纳米纤维对纸张拉伸性能的影响（a）无助留剂（b）有助留剂</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ADDIN ZOTERO_ITEM CSL_CITATION {"citationID":"afelvi5u5s","properties":{"unsorted":false,"formattedCitation":"\\super [13]\\nosupersub{}","plainCitation":"[13]","noteIndex":0},"citationItems":[{"id":276,"uris":["http://zotero.org/users/local/h1SzDwOO/items/AF29QDM6"],"itemData":{"id":276,"type":"article-journal","language":"en-US","title":"Chemically modified cellulose micro- and nanofibrils as paper-strength additives","author":[{"family":"Hollertz","given":"Rebecca"}]}}],"schema":"https://github.com/citation-style-language/schema/raw/master/csl-citation.json"} </w:instrText>
      </w:r>
      <w:r>
        <w:rPr>
          <w:rFonts w:hint="eastAsia" w:ascii="Times New Roman" w:hAnsi="Times New Roman" w:eastAsia="SimHei" w:cs="Times New Roman"/>
          <w:sz w:val="21"/>
          <w:szCs w:val="21"/>
        </w:rPr>
        <w:fldChar w:fldCharType="separate"/>
      </w:r>
      <w:r>
        <w:rPr>
          <w:rFonts w:ascii="Times New Roman" w:hAnsi="Times New Roman" w:eastAsia="SimHei" w:cs="Times New Roman"/>
          <w:kern w:val="0"/>
          <w:sz w:val="21"/>
          <w:vertAlign w:val="superscript"/>
        </w:rPr>
        <w:t>[13]</w:t>
      </w:r>
      <w:r>
        <w:rPr>
          <w:rFonts w:hint="eastAsia" w:ascii="Times New Roman" w:hAnsi="Times New Roman" w:eastAsia="SimHei" w:cs="Times New Roman"/>
          <w:sz w:val="21"/>
          <w:szCs w:val="21"/>
        </w:rPr>
        <w:fldChar w:fldCharType="end"/>
      </w:r>
    </w:p>
    <w:p w14:paraId="178C593F">
      <w:pPr>
        <w:spacing w:line="300" w:lineRule="auto"/>
        <w:ind w:firstLine="420"/>
        <w:jc w:val="both"/>
        <w:rPr>
          <w:rFonts w:hint="eastAsia" w:ascii="宋体" w:hAnsi="宋体"/>
        </w:rPr>
      </w:pPr>
      <w:r>
        <w:rPr>
          <w:rFonts w:ascii="Times New Roman" w:hAnsi="Times New Roman" w:eastAsia="宋体" w:cs="Times New Roman"/>
        </w:rPr>
        <w:t>Zhou</w:t>
      </w:r>
      <w:r>
        <w:rPr>
          <w:rFonts w:ascii="Times New Roman" w:hAnsi="Times New Roman" w:eastAsia="宋体" w:cs="Times New Roman"/>
        </w:rPr>
        <w:fldChar w:fldCharType="begin"/>
      </w:r>
      <w:r>
        <w:rPr>
          <w:rFonts w:ascii="Times New Roman" w:hAnsi="Times New Roman" w:eastAsia="宋体" w:cs="Times New Roman"/>
        </w:rPr>
        <w:instrText xml:space="preserve"> ADDIN ZOTERO_ITEM CSL_CITATION {"citationID":"vb5CndSn","properties":{"unsorted":false,"formattedCitation":"\\super [9]\\nosupersub{}","plainCitation":"[9]","noteIndex":0},"citationItems":[{"id":340,"uris":["http://zotero.org/users/local/h1SzDwOO/items/HNM67N58","http://zotero.org/users/local/h1SzDwOO/items/SAARD45C"],"itemData":{"id":340,"type":"article-journal","container-title":"ACS Applied Materials &amp; Interfaces","DOI":"10.1021/acsami.6b09471","ISSN":"1944-8244, 1944-8252","issue":"42","journalAbbreviation":"ACS Appl. Mater. Interfaces","language":"en","page":"28838-28843","source":"DOI.org (Crossref)","title":"Thermally conductive, electrical insulating, optically transparent Bi-layer nanopaper","volume":"8","author":[{"family":"Zhou","given":"Lihui"},{"family":"Yang","given":"Zhi"},{"family":"Luo","given":"Wei"},{"family":"Han","given":"Xiaogang"},{"family":"Jang","given":"Soo-Hwan"},{"family":"Dai","given":"Jiaqi"},{"family":"Yang","given":"Bao"},{"family":"Hu","given":"Liangbing"}],"issued":{"date-parts":[["2016",10,26]]}}}],"schema":"https://github.com/citation-style-language/schema/raw/master/csl-citation.json"} </w:instrText>
      </w:r>
      <w:r>
        <w:rPr>
          <w:rFonts w:ascii="Times New Roman" w:hAnsi="Times New Roman" w:eastAsia="宋体" w:cs="Times New Roman"/>
        </w:rPr>
        <w:fldChar w:fldCharType="separate"/>
      </w:r>
      <w:r>
        <w:rPr>
          <w:rFonts w:ascii="Times New Roman" w:hAnsi="Times New Roman" w:eastAsia="宋体" w:cs="Times New Roman"/>
          <w:kern w:val="0"/>
          <w:vertAlign w:val="superscript"/>
        </w:rPr>
        <w:t>[9]</w:t>
      </w:r>
      <w:r>
        <w:rPr>
          <w:rFonts w:ascii="Times New Roman" w:hAnsi="Times New Roman" w:eastAsia="宋体" w:cs="Times New Roman"/>
        </w:rPr>
        <w:fldChar w:fldCharType="end"/>
      </w:r>
      <w:r>
        <w:rPr>
          <w:rFonts w:ascii="Times New Roman" w:hAnsi="Times New Roman" w:eastAsia="宋体" w:cs="Times New Roman"/>
        </w:rPr>
        <w:t>等人以纤维素纳米纤维（</w:t>
      </w:r>
      <w:r>
        <w:rPr>
          <w:rFonts w:ascii="Times New Roman" w:hAnsi="Times New Roman" w:eastAsia="宋体" w:cs="Times New Roman"/>
        </w:rPr>
        <w:t>CNF</w:t>
      </w:r>
      <w:r>
        <w:rPr>
          <w:rFonts w:ascii="Times New Roman" w:hAnsi="Times New Roman" w:eastAsia="宋体" w:cs="Times New Roman"/>
        </w:rPr>
        <w:t>）为基体，通过引入氮化硼纳米片（</w:t>
      </w:r>
      <w:r>
        <w:rPr>
          <w:rFonts w:ascii="Times New Roman" w:hAnsi="Times New Roman" w:eastAsia="宋体" w:cs="Times New Roman"/>
        </w:rPr>
        <w:t>BNNSs</w:t>
      </w:r>
      <w:r>
        <w:rPr>
          <w:rFonts w:ascii="Times New Roman" w:hAnsi="Times New Roman" w:eastAsia="宋体" w:cs="Times New Roman"/>
        </w:rPr>
        <w:t>）构建了具有双层结构的功能纳米纸。研究表明，该材料在保持较高光学透过率的同时，面内热导率显著提高，表现出优异的导热性能。此外，由于氮化硼本身具有良好的电绝缘特性，所制备的纳米纸在提升导热性能的同时仍保持电绝缘性。该研究表明，通过引入不同类型的功能填料，纤维素基材料可实现性能的定向调控。</w:t>
      </w:r>
    </w:p>
    <w:p w14:paraId="7BFA317B">
      <w:pPr>
        <w:pStyle w:val="11"/>
        <w:jc w:val="center"/>
        <w:rPr>
          <w:rFonts w:hint="eastAsia" w:ascii="黑体" w:hAnsi="黑体"/>
          <w:sz w:val="21"/>
          <w:szCs w:val="21"/>
        </w:rPr>
      </w:pPr>
      <w:r>
        <w:rPr>
          <w:rFonts w:hint="eastAsia" w:ascii="Times New Roman" w:hAnsi="Times New Roman" w:eastAsia="SimHei" w:cs="Times New Roman"/>
          <w:sz w:val="21"/>
          <w:szCs w:val="21"/>
        </w:rPr>
        <w:t xml:space="preserve">图 </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STYLEREF 1 \s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1</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noBreakHyphen/>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SEQ 图 \* ARABIC \s 1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5</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t>双层结构纤维素纳米纸的热导率及光学性能</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ADDIN ZOTERO_ITEM CSL_CITATION {"citationID":"BmnqUvbO","properties":{"unsorted":false,"formattedCitation":"\\super [9]\\nosupersub{}","plainCitation":"[9]","noteIndex":0},"citationItems":[{"id":340,"uris":["http://zotero.org/users/local/h1SzDwOO/items/HNM67N58","http://zotero.org/users/local/h1SzDwOO/items/SAARD45C"],"itemData":{"id":340,"type":"article-journal","container-title":"ACS Applied Materials &amp; Interfaces","DOI":"10.1021/acsami.6b09471","ISSN":"1944-8244, 1944-8252","issue":"42","journalAbbreviation":"ACS Appl. Mater. Interfaces","language":"en","page":"28838-28843","source":"DOI.org (Crossref)","title":"Thermally conductive, electrical insulating, optically transparent Bi-layer nanopaper","volume":"8","author":[{"family":"Zhou","given":"Lihui"},{"family":"Yang","given":"Zhi"},{"family":"Luo","given":"Wei"},{"family":"Han","given":"Xiaogang"},{"family":"Jang","given":"Soo-Hwan"},{"family":"Dai","given":"Jiaqi"},{"family":"Yang","given":"Bao"},{"family":"Hu","given":"Liangbing"}],"issued":{"date-parts":[["2016",10,26]]}}}],"schema":"https://github.com/citation-style-language/schema/raw/master/csl-citation.json"} </w:instrText>
      </w:r>
      <w:r>
        <w:rPr>
          <w:rFonts w:hint="eastAsia" w:ascii="Times New Roman" w:hAnsi="Times New Roman" w:eastAsia="SimHei" w:cs="Times New Roman"/>
          <w:sz w:val="21"/>
          <w:szCs w:val="21"/>
        </w:rPr>
        <w:fldChar w:fldCharType="separate"/>
      </w:r>
      <w:r>
        <w:rPr>
          <w:rFonts w:ascii="Times New Roman" w:hAnsi="Times New Roman" w:eastAsia="SimHei" w:cs="Times New Roman"/>
          <w:kern w:val="0"/>
          <w:sz w:val="21"/>
          <w:vertAlign w:val="superscript"/>
        </w:rPr>
        <w:t>[9]</w:t>
      </w:r>
      <w:r>
        <w:rPr>
          <w:rFonts w:hint="eastAsia" w:ascii="Times New Roman" w:hAnsi="Times New Roman" w:eastAsia="SimHei" w:cs="Times New Roman"/>
          <w:sz w:val="21"/>
          <w:szCs w:val="21"/>
        </w:rPr>
        <w:fldChar w:fldCharType="end"/>
      </w:r>
    </w:p>
    <w:p w14:paraId="3FE7E088">
      <w:pPr>
        <w:pStyle w:val="3"/>
        <w:rPr>
          <w:rFonts w:hint="eastAsia"/>
        </w:rPr>
      </w:pPr>
      <w:bookmarkStart w:id="8" w:name="_Toc229493689"/>
      <w:r>
        <w:rPr>
          <w:rFonts w:hint="eastAsia" w:ascii="Times New Roman" w:hAnsi="Times New Roman" w:eastAsia="宋体" w:cs="Times New Roman"/>
        </w:rPr>
        <w:t>导电填料及导电机理</w:t>
      </w:r>
      <w:bookmarkEnd w:id="8"/>
    </w:p>
    <w:p w14:paraId="7142C1E7">
      <w:pPr>
        <w:spacing w:line="300" w:lineRule="auto"/>
        <w:ind w:firstLine="420"/>
        <w:jc w:val="both"/>
        <w:rPr>
          <w:rFonts w:hint="eastAsia" w:ascii="宋体" w:hAnsi="宋体"/>
        </w:rPr>
      </w:pPr>
      <w:r>
        <w:rPr>
          <w:rFonts w:hint="eastAsia" w:ascii="Times New Roman" w:hAnsi="Times New Roman" w:eastAsia="宋体" w:cs="Times New Roman"/>
        </w:rPr>
        <w:t>由于纳米纤维素本身为绝缘材料，其在导电功能材料领域的应用受到一定的限制。因此，引入导电填料构建导电网络，是实现纤维素基导电功能化的重要途径。通过合理选择导电填料类型及调控其在基体中的分布状态，可以在保持材料柔性、轻质及可加工性的同时，赋予其优异的电学性能。</w:t>
      </w:r>
    </w:p>
    <w:p w14:paraId="40EED0CA">
      <w:pPr>
        <w:pStyle w:val="4"/>
      </w:pPr>
      <w:bookmarkStart w:id="9" w:name="_Toc229493690"/>
      <w:r>
        <w:rPr>
          <w:rFonts w:hint="eastAsia" w:ascii="Times New Roman" w:hAnsi="Times New Roman" w:eastAsia="宋体" w:cs="Times New Roman"/>
        </w:rPr>
        <w:t>导电填料的分类</w:t>
      </w:r>
      <w:bookmarkEnd w:id="9"/>
    </w:p>
    <w:p w14:paraId="2CCB00A6">
      <w:pPr>
        <w:spacing w:line="300" w:lineRule="auto"/>
        <w:ind w:firstLine="420"/>
        <w:jc w:val="both"/>
        <w:rPr>
          <w:rFonts w:hint="eastAsia" w:ascii="宋体" w:hAnsi="宋体"/>
        </w:rPr>
      </w:pPr>
      <w:r>
        <w:rPr>
          <w:rFonts w:hint="eastAsia" w:ascii="Times New Roman" w:hAnsi="Times New Roman" w:eastAsia="宋体" w:cs="Times New Roman"/>
        </w:rPr>
        <w:t>导电填料按材料类型主要分为碳基、金属基和导电高分子填料三大类。碳基材料因其优异的导电性能、较低密度及良好的化学稳定性，被广泛应用与纤维素基导电体系中，主要包括碳纳米管（CNTs）、石墨烯及其衍生物等[14]。其中，碳纳米管具有高长径比，易于在基体中形成贯通的导电网络；石墨烯则具有二维片状结构及高载流子迁移率，有利于提升材料整体导电性能。金属基导电填料通常包括银纳米线、金纳米粒子及铜纳米材料等，具有优异的本征导电率，能够显著提高复合材料的导电性能。然而，金属材料容易发生氧化，且成本较高，在实际应用中需要通过表面修饰或结构设计提高其稳定性。导电高分子填料如聚苯胺、聚吡咯及PEDOT：PSS等，具有良好的柔性及可加工性，能够与纤维素基体形成良好的界面结合。此类材料不仅可以提供到点通路，还可以赋予材料一定的功能响应特性，如电致变色及传感性能[15,16]。</w:t>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kern w:val="0"/>
          <w:vertAlign w:val="superscript"/>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kern w:val="0"/>
          <w:vertAlign w:val="superscript"/>
        </w:rPr>
      </w:r>
      <w:r>
        <w:rPr>
          <w:rFonts w:hint="eastAsia" w:ascii="Times New Roman" w:hAnsi="Times New Roman" w:eastAsia="宋体" w:cs="Times New Roman"/>
        </w:rPr>
      </w:r>
      <w:r>
        <w:rPr>
          <w:rFonts w:hint="eastAsia" w:ascii="Times New Roman" w:hAnsi="Times New Roman" w:eastAsia="宋体" w:cs="Times New Roman"/>
        </w:rPr>
      </w:r>
    </w:p>
    <w:p w14:paraId="1A6B3177">
      <w:pPr>
        <w:spacing w:line="300" w:lineRule="auto"/>
        <w:ind w:firstLine="420"/>
        <w:jc w:val="both"/>
        <w:rPr>
          <w:rFonts w:hint="eastAsia" w:ascii="宋体" w:hAnsi="宋体"/>
        </w:rPr>
      </w:pPr>
      <w:r>
        <w:rPr>
          <w:rFonts w:hint="eastAsia" w:ascii="Times New Roman" w:hAnsi="Times New Roman" w:eastAsia="宋体" w:cs="Times New Roman"/>
        </w:rPr>
        <w:t>综上，不同类型的导电填料在结构特征及导电性能方面存在差异，应根据具体应用需求进行合理选择与复配。</w:t>
      </w:r>
    </w:p>
    <w:p w14:paraId="5483713A">
      <w:pPr>
        <w:pStyle w:val="3"/>
        <w:rPr>
          <w:rFonts w:hint="eastAsia"/>
        </w:rPr>
      </w:pPr>
      <w:bookmarkStart w:id="10" w:name="_Toc229493691"/>
      <w:r>
        <w:rPr>
          <w:rFonts w:hint="eastAsia" w:ascii="Times New Roman" w:hAnsi="Times New Roman" w:eastAsia="宋体" w:cs="Times New Roman"/>
        </w:rPr>
        <w:t>纤维素基导电薄膜的研究进展</w:t>
      </w:r>
      <w:bookmarkEnd w:id="10"/>
    </w:p>
    <w:p w14:paraId="66CF5F54">
      <w:pPr>
        <w:spacing w:line="300" w:lineRule="auto"/>
        <w:ind w:firstLine="420"/>
        <w:jc w:val="both"/>
        <w:rPr>
          <w:rFonts w:hint="eastAsia" w:ascii="宋体" w:hAnsi="宋体"/>
        </w:rPr>
      </w:pPr>
      <w:r>
        <w:rPr>
          <w:rFonts w:hint="eastAsia" w:ascii="Times New Roman" w:hAnsi="Times New Roman" w:eastAsia="宋体" w:cs="Times New Roman"/>
        </w:rPr>
        <w:t>由纤维素纳米原纤（</w:t>
      </w:r>
      <w:r>
        <w:rPr>
          <w:rFonts w:hint="eastAsia" w:ascii="Times New Roman" w:hAnsi="Times New Roman" w:eastAsia="宋体" w:cs="Times New Roman"/>
        </w:rPr>
        <w:t>CNFs</w:t>
      </w:r>
      <w:r>
        <w:rPr>
          <w:rFonts w:hint="eastAsia" w:ascii="Times New Roman" w:hAnsi="Times New Roman" w:eastAsia="宋体" w:cs="Times New Roman"/>
        </w:rPr>
        <w:t>）和纳米晶体（</w:t>
      </w:r>
      <w:r>
        <w:rPr>
          <w:rFonts w:hint="eastAsia" w:ascii="Times New Roman" w:hAnsi="Times New Roman" w:eastAsia="宋体" w:cs="Times New Roman"/>
        </w:rPr>
        <w:t>CNCs</w:t>
      </w:r>
      <w:r>
        <w:rPr>
          <w:rFonts w:hint="eastAsia" w:ascii="Times New Roman" w:hAnsi="Times New Roman" w:eastAsia="宋体" w:cs="Times New Roman"/>
        </w:rPr>
        <w:t>）构成的纳米纤维素是一类可持续的高性能纳米材料，具有优异的机械强度、生物可降解性以及可调控的表面化学性质，使其在结构增强及多功能复合材料领域具有广泛应用前景。然而，由于纳米纤维素本身为电绝缘材料，其在导电功能材料中的应用受到限制，因此通常需要引入导电填料（如石墨烯、</w:t>
      </w:r>
      <w:r>
        <w:rPr>
          <w:rFonts w:hint="eastAsia" w:ascii="Times New Roman" w:hAnsi="Times New Roman" w:eastAsia="宋体" w:cs="Times New Roman"/>
        </w:rPr>
        <w:t>MXene</w:t>
      </w:r>
      <w:r>
        <w:rPr>
          <w:rFonts w:hint="eastAsia" w:ascii="Times New Roman" w:hAnsi="Times New Roman" w:eastAsia="宋体" w:cs="Times New Roman"/>
        </w:rPr>
        <w:t>及碳纳米管等）以构建导电网络，从而赋予材料导电性能。</w:t>
      </w:r>
    </w:p>
    <w:p w14:paraId="69A1DAAE">
      <w:pPr>
        <w:spacing w:line="300" w:lineRule="auto"/>
        <w:ind w:firstLine="420"/>
        <w:jc w:val="both"/>
        <w:rPr>
          <w:rFonts w:hint="eastAsia" w:ascii="宋体" w:hAnsi="宋体"/>
        </w:rPr>
      </w:pPr>
      <w:r>
        <w:rPr>
          <w:rFonts w:hint="eastAsia" w:ascii="Times New Roman" w:hAnsi="Times New Roman" w:eastAsia="宋体" w:cs="Times New Roman"/>
        </w:rPr>
        <w:t>在导电纳米纤维素复合体系中，导电填料的引入不可避免地带来机械性能与电导率之间的权衡关系。随着导电填料含量的增加，材料的导电性能显著提升，但过高的填料载量可能导致填料团聚、相分离及界面结合减弱，从而对材料的力学性能产生不利影响。因此，如何在保证导电性能的同时维持材料的力学性能，成为当前研究的关键问题之一。</w:t>
      </w:r>
    </w:p>
    <w:p w14:paraId="3DDB8E7A">
      <w:pPr>
        <w:spacing w:line="300" w:lineRule="auto"/>
        <w:ind w:firstLine="420"/>
        <w:jc w:val="both"/>
        <w:rPr>
          <w:rFonts w:hint="eastAsia" w:ascii="宋体" w:hAnsi="宋体"/>
        </w:rPr>
      </w:pPr>
      <w:r>
        <w:rPr>
          <w:rFonts w:hint="eastAsia" w:ascii="Times New Roman" w:hAnsi="Times New Roman" w:eastAsia="宋体" w:cs="Times New Roman"/>
        </w:rPr>
        <w:t>针对上述问题，研究者通过调控导电填料的维度结构及其在基体中的分布状态，发展了多种构建高效导电网络的策略。其中，以碳纳米管为代表的一维导电材料，因其高长径比和优异导电性能，在纳米纤维素基导电薄膜中得到了广泛应用。Hou[17]等人构建了一种由纳米纤维化纤维素（NFC）与碳纳米管（CNTs）构筑的三明治结构导电薄膜，通过结构调控实现了各向异性导电特性。随着CNTs含量的增加，复合薄膜内部逐渐形成连续导电网络，从而显著提高材料的电导率及力学性能。当CNTs负载量为19.2 wt%时，薄膜电导率可达90.8 S·cm⁻¹，同时拉伸强度达到60.8 MPa。</w:t>
      </w:r>
      <w:r>
        <w:rPr>
          <w:rFonts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cs="Times New Roman" w:eastAsia="宋体"/>
        </w:rPr>
      </w:r>
      <w:r>
        <w:rPr>
          <w:rFonts w:ascii="Times New Roman" w:hAnsi="Times New Roman" w:eastAsia="宋体" w:cs="Times New Roman"/>
        </w:rPr>
      </w:r>
      <w:r>
        <w:rPr>
          <w:rFonts w:hint="eastAsia" w:ascii="Times New Roman" w:hAnsi="Times New Roman" w:cs="Times New Roman" w:eastAsia="宋体"/>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cs="Times New Roman" w:eastAsia="宋体"/>
        </w:rPr>
      </w:r>
      <w:r>
        <w:rPr>
          <w:rFonts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kern w:val="0"/>
          <w:vertAlign w:val="superscript"/>
        </w:rPr>
      </w:r>
      <w:r>
        <w:rPr>
          <w:rFonts w:hint="eastAsia"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p>
    <w:p w14:paraId="5080D02A">
      <w:pPr>
        <w:spacing w:before="240" w:line="300" w:lineRule="auto"/>
        <w:jc w:val="both"/>
      </w:pPr>
    </w:p>
    <w:p w14:paraId="6B88DA9A">
      <w:pPr>
        <w:pStyle w:val="11"/>
        <w:jc w:val="center"/>
        <w:rPr>
          <w:rFonts w:hint="eastAsia" w:ascii="黑体" w:hAnsi="黑体"/>
          <w:sz w:val="21"/>
          <w:szCs w:val="21"/>
        </w:rPr>
      </w:pPr>
      <w:r>
        <w:rPr>
          <w:rFonts w:hint="eastAsia" w:ascii="Times New Roman" w:hAnsi="Times New Roman" w:eastAsia="SimHei" w:cs="Times New Roman"/>
          <w:sz w:val="21"/>
          <w:szCs w:val="21"/>
        </w:rPr>
        <w:t>图 1-6(a) CNT/NFC 水溶液在一个月内的稳定性测试； (b) NFC、CNT/NFC 和 CNT/SDBS 分散液的紫外-可见吸收光谱；(c) 不同重量比 CNT/NFC 薄膜的表面电阻值[17]</w:t>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ascii="Times New Roman" w:hAnsi="Times New Roman" w:eastAsia="SimHei" w:cs="Times New Roman"/>
          <w:sz w:val="21"/>
          <w:szCs w:val="21"/>
        </w:rPr>
      </w:r>
      <w:r>
        <w:rPr>
          <w:rFonts w:ascii="Times New Roman" w:hAnsi="Times New Roman" w:cs="Times New Roman" w:eastAsia="SimHei"/>
          <w:sz w:val="21"/>
          <w:szCs w:val="21"/>
        </w:rPr>
      </w:r>
      <w:r>
        <w:rPr>
          <w:rFonts w:ascii="Times New Roman" w:hAnsi="Times New Roman" w:eastAsia="SimHei" w:cs="Times New Roman"/>
          <w:sz w:val="21"/>
          <w:szCs w:val="21"/>
        </w:rPr>
      </w:r>
      <w:r>
        <w:rPr>
          <w:rFonts w:ascii="Times New Roman" w:hAnsi="Times New Roman" w:cs="Times New Roman" w:eastAsia="SimHei"/>
          <w:sz w:val="21"/>
          <w:szCs w:val="21"/>
        </w:rPr>
      </w:r>
      <w:r>
        <w:rPr>
          <w:rFonts w:ascii="Times New Roman" w:hAnsi="Times New Roman" w:eastAsia="SimHei" w:cs="Times New Roman"/>
          <w:sz w:val="21"/>
          <w:szCs w:val="21"/>
        </w:rPr>
      </w:r>
      <w:r>
        <w:rPr>
          <w:rFonts w:hint="eastAsia" w:ascii="Times New Roman" w:hAnsi="Times New Roman" w:eastAsia="SimHei" w:cs="Times New Roman"/>
          <w:sz w:val="21"/>
          <w:szCs w:val="21"/>
        </w:rPr>
      </w:r>
      <w:r>
        <w:rPr>
          <w:rFonts w:ascii="Times New Roman" w:hAnsi="Times New Roman" w:eastAsia="SimHei" w:cs="Times New Roman"/>
          <w:sz w:val="21"/>
          <w:szCs w:val="21"/>
        </w:rPr>
      </w:r>
      <w:r>
        <w:rPr>
          <w:rFonts w:ascii="Times New Roman" w:hAnsi="Times New Roman" w:cs="Times New Roman" w:eastAsia="SimHei"/>
          <w:sz w:val="21"/>
          <w:szCs w:val="21"/>
        </w:rPr>
      </w:r>
      <w:r>
        <w:rPr>
          <w:rFonts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ascii="Times New Roman" w:hAnsi="Times New Roman" w:eastAsia="SimHei" w:cs="Times New Roman"/>
          <w:kern w:val="0"/>
          <w:sz w:val="21"/>
          <w:vertAlign w:val="superscript"/>
        </w:rPr>
      </w:r>
      <w:r>
        <w:rPr>
          <w:rFonts w:hint="eastAsia" w:ascii="Times New Roman" w:hAnsi="Times New Roman" w:eastAsia="SimHei" w:cs="Times New Roman"/>
          <w:sz w:val="21"/>
          <w:szCs w:val="21"/>
        </w:rPr>
      </w:r>
    </w:p>
    <w:p w14:paraId="4AA53FD5">
      <w:pPr>
        <w:spacing w:line="300" w:lineRule="auto"/>
        <w:ind w:firstLine="420"/>
        <w:jc w:val="both"/>
        <w:rPr>
          <w:rFonts w:hint="eastAsia" w:ascii="宋体" w:hAnsi="宋体"/>
        </w:rPr>
      </w:pPr>
      <w:r>
        <w:rPr>
          <w:rFonts w:ascii="Times New Roman" w:hAnsi="Times New Roman" w:eastAsia="宋体" w:cs="Times New Roman"/>
        </w:rPr>
        <w:t>在一维导电材料之外，二维导电材料由于其独特的层状结构和优异的面内导电性能，在构建高效导电网络方面展现出更为显著的优势。其中，石墨烯及</w:t>
      </w:r>
      <w:r>
        <w:rPr>
          <w:rFonts w:ascii="Times New Roman" w:hAnsi="Times New Roman" w:eastAsia="宋体" w:cs="Times New Roman"/>
        </w:rPr>
        <w:t>MXene</w:t>
      </w:r>
      <w:r>
        <w:rPr>
          <w:rFonts w:ascii="Times New Roman" w:hAnsi="Times New Roman" w:eastAsia="宋体" w:cs="Times New Roman"/>
        </w:rPr>
        <w:t>作为典型代表，已成为近年来纳米纤维素基导电薄膜研究的热点。</w:t>
      </w:r>
      <w:r>
        <w:rPr>
          <w:rFonts w:hint="eastAsia" w:ascii="Times New Roman" w:hAnsi="Times New Roman" w:eastAsia="宋体" w:cs="Times New Roman"/>
        </w:rPr>
        <w:t>石墨烯因其优异的电导率和热导率，在纳米纤维素基导电薄膜中受到广泛关注。针对传统石墨烯薄膜成本高及力学性能不足的问题，</w:t>
      </w:r>
      <w:r>
        <w:rPr>
          <w:rFonts w:ascii="Times New Roman" w:hAnsi="Times New Roman" w:eastAsia="宋体" w:cs="Times New Roman"/>
        </w:rPr>
        <w:t>Yang</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{"citationID":"auk3uioor8","properties":{"unsorted":false,"formattedCitation":"\\super [18]\\nosupersub{}","plainCitation":"[18]","noteIndex":0},"citationItems":[{"id":329,"uris":["http://zotero.org/users/local/h1SzDwOO/items/VYEBW2XV"],"itemData":{"id":329,"type":"article-journal","abstract":"Graphene films promise great application potential in modern electronic devices due to their superior electrical and thermal conductivities. However, the green manufacturing of graphene films is still faced with challenges. Also, graphene films prepared by the oxidation and exfoliation method are expensive and exhibit poor mechanical properties. In this work, the highly conductive graphene-based film with reinforced mechanical strength is fabricated by employing cellulose nanofiber (CNF) to help expandable graphite (EG) exfoliate directly in aqueous solution and poly(ethylene oxide) (PEO) to construct a nacre-like structure. Herein, we succeeded in addressing the issue of the graphene films’ unsatisfactory cost and mechanical properties by using very cheap EG as the raw material and taking advantage of the synergistic performance of the two-dimensional EG nanoplatelet, one-dimensional CNF, and flexible PEO. When the mass ratio of EG, CNF, and PEO reaches 95:5:3, the graphene-based film displays a relatively high tensile strength (about 63.3 MPa), which shows a 587% increase over that of EG film (9.2 MPa) and is much higher than those of the reported graphene films prepared through physical exfoliation to our knowledge. Moreover, it shows extraordinary electrical conductivity (1226 S cm–1), thermal conductivity (302.3 W m–1 K–1), and electromagnetic interference shielding effectiveness (44 dB with a thickness of 12 μm). In summary, the manufacturing route of the EG/CNF/PEO composite film is efficient, economical, and promising for commercial applications in the contemporary electronic industry.","container-title":"ACS Sustainable Chemistry &amp; Engineering","DOI":"10.1021/acssuschemeng.8b05850","issue":"5","journalAbbreviation":"ACS Sustainable Chem. Eng.","language":"en","page":"5045-5056","publisher":"American Chemical Society","source":"ACS Publications","title":"Strong and highly conductive graphene composite film based on the nanocellulose-assisted dispersion of expanded graphite and incorporation of poly(ethylene oxide)","volume":"7","author":[{"family":"Yang","given":"Weixing"},{"family":"Gong","given":"Yichen"},{"family":"Zhao","given":"Xuefan"},{"family":"Liu","given":"Tianyu"},{"family":"Zhang","given":"Yiyin"},{"family":"Chen","given":"Feng"},{"family":"Fu","given":"Qiang"}],"issued":{"date-parts":[["2019",3,4]]}}}],"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[18]</w:t>
      </w:r>
      <w:r>
        <w:rPr>
          <w:rFonts w:hint="eastAsia" w:ascii="Times New Roman" w:hAnsi="Times New Roman" w:eastAsia="宋体" w:cs="Times New Roman"/>
        </w:rPr>
        <w:fldChar w:fldCharType="end"/>
      </w:r>
      <w:r>
        <w:rPr>
          <w:rFonts w:hint="eastAsia" w:ascii="Times New Roman" w:hAnsi="Times New Roman" w:eastAsia="宋体" w:cs="Times New Roman"/>
        </w:rPr>
        <w:t>等人采用可膨胀石墨（</w:t>
      </w:r>
      <w:r>
        <w:rPr>
          <w:rFonts w:ascii="Times New Roman" w:hAnsi="Times New Roman" w:eastAsia="宋体" w:cs="Times New Roman"/>
        </w:rPr>
        <w:t>EG</w:t>
      </w:r>
      <w:r>
        <w:rPr>
          <w:rFonts w:hint="eastAsia" w:ascii="Times New Roman" w:hAnsi="Times New Roman" w:eastAsia="宋体" w:cs="Times New Roman"/>
        </w:rPr>
        <w:t>）为原料，在纤维素纳米纤维（</w:t>
      </w:r>
      <w:r>
        <w:rPr>
          <w:rFonts w:ascii="Times New Roman" w:hAnsi="Times New Roman" w:eastAsia="宋体" w:cs="Times New Roman"/>
        </w:rPr>
        <w:t>CNF</w:t>
      </w:r>
      <w:r>
        <w:rPr>
          <w:rFonts w:hint="eastAsia" w:ascii="Times New Roman" w:hAnsi="Times New Roman" w:eastAsia="宋体" w:cs="Times New Roman"/>
        </w:rPr>
        <w:t>）辅助下实现其有效剥离，并结合聚环氧乙烷（</w:t>
      </w:r>
      <w:r>
        <w:rPr>
          <w:rFonts w:ascii="Times New Roman" w:hAnsi="Times New Roman" w:eastAsia="宋体" w:cs="Times New Roman"/>
        </w:rPr>
        <w:t>PEO</w:t>
      </w:r>
      <w:r>
        <w:rPr>
          <w:rFonts w:hint="eastAsia" w:ascii="Times New Roman" w:hAnsi="Times New Roman" w:eastAsia="宋体" w:cs="Times New Roman"/>
        </w:rPr>
        <w:t>）构建层状结构，从而获得兼具高导电性与良好力学性能的复合薄膜。</w:t>
      </w:r>
      <w:r>
        <w:rPr>
          <w:rFonts w:ascii="Times New Roman" w:hAnsi="Times New Roman" w:eastAsia="宋体" w:cs="Times New Roman"/>
        </w:rPr>
        <w:t>与石墨烯相比，</w:t>
      </w:r>
      <w:r>
        <w:rPr>
          <w:rFonts w:ascii="Times New Roman" w:hAnsi="Times New Roman" w:eastAsia="宋体" w:cs="Times New Roman"/>
        </w:rPr>
        <w:t>MXene</w:t>
      </w:r>
      <w:r>
        <w:rPr>
          <w:rFonts w:ascii="Times New Roman" w:hAnsi="Times New Roman" w:eastAsia="宋体" w:cs="Times New Roman"/>
        </w:rPr>
        <w:t>等二维导电材料在纳米纤维素基导电薄膜中展现出更优异的综合性能。</w:t>
      </w:r>
      <w:r>
        <w:rPr>
          <w:rFonts w:ascii="Times New Roman" w:hAnsi="Times New Roman" w:eastAsia="宋体" w:cs="Times New Roman"/>
        </w:rPr>
        <w:t>Tahir</w:t>
      </w:r>
      <w:r>
        <w:rPr>
          <w:rFonts w:ascii="Times New Roman" w:hAnsi="Times New Roman" w:eastAsia="宋体" w:cs="Times New Roman"/>
        </w:rPr>
        <w:fldChar w:fldCharType="begin"/>
      </w:r>
      <w:r>
        <w:rPr>
          <w:rFonts w:ascii="Times New Roman" w:hAnsi="Times New Roman" w:eastAsia="宋体" w:cs="Times New Roman"/>
        </w:rPr>
        <w:instrText xml:space="preserve"> ADDIN ZOTERO_ITEM CSL_CITATION {"citationID":"asv2fpu98g","properties":{"unsorted":false,"formattedCitation":"\\super [19]\\nosupersub{}","plainCitation":"[19]","noteIndex":0},"citationItems":[{"id":333,"uris":["http://zotero.org/users/local/h1SzDwOO/items/RRDSIC6H"],"itemData":{"id":333,"type":"article-journal","abstract":"The growing demand for lightweight, flexible, and environmentally sustainable materials for electromagnetic interference (EMI) shielding has intensified the interest in cellulose nanofiber (CNF)-based composites. Unlike conventional metal-based shielding materials, CNFs provide a biodegradable and mechanically robust platform capable of structural tailoring and strong interfacial interactions when combined with conductive fillers, such as MXene, AgNWs, PEDOT:PSS, and MWCNTs. This review critically evaluates 93 CNF-based composites tested in the X-band frequency range (8.2–14.2 GHz), focusing on how the microstructural design, filler configuration, and interfacial synergy govern four key performance parameters: shielding effectiveness, electrical conductivity, Joule heating response, and tensile strength. The analysis revealed that achieving high EMI shielding performance is not solely dependent on electrical conductivity, but rather on precise structural architectures, such as layered, gradient, or biomimetic designs, and robust interfacial bonding. Several systems demonstrate shielding effectiveness values exceeding 60 dB at film thicknesses below 0.05 mm, electrical conductivity above 104 S·cm−1, efficient Joule heating under low voltages (&lt;3 V), and tensile strength exceeding 600 MPa. These findings reinforce the transformative role of CNF as an active structural component in optimizing multifunctional performance. In addition to summarizing recent technical achievements, this article outlines strategic future directions such as the integration of green synthesis methods, scalable fabrication strategies, and adaptive material designs for next-generation EMI shielding systems. Therefore, this review is essential as a comprehensive reference that bridges the gap between the fundamental understanding and practical applications of CNF-based materials, offering a scientific foundation for the development of sustainable, multifunctional, and application-ready EMI shielding solutions.","container-title":"International Journal of Biological Macromolecules","DOI":"10.1016/j.ijbiomac.2025.146387","ISSN":"0141-8130","journalAbbreviation":"Int. J. Biol. Macromol.","language":"en","page":"146387","source":"ScienceDirect","title":"Sustainable electromagnetic shielding materials: the emerging potential of cellulose nanofiber-based composites – a comprehensive review","title-short":"Sustainable electromagnetic shielding materials","volume":"321","author":[{"family":"Tahir","given":"Dahlang"},{"family":"Ardiansyah","given":"Ardiansyah"},{"family":"Heryanto","given":"Heryanto"},{"family":"Darwis","given":"Darmawati"},{"family":"Tamuntuan","given":"Gerald Hendrik"}],"issued":{"date-parts":[["2025",9,1]]}}}],"schema":"https://github.com/citation-style-language/schema/raw/master/csl-citation.json"} </w:instrText>
      </w:r>
      <w:r>
        <w:rPr>
          <w:rFonts w:ascii="Times New Roman" w:hAnsi="Times New Roman" w:eastAsia="宋体" w:cs="Times New Roman"/>
        </w:rPr>
        <w:fldChar w:fldCharType="separate"/>
      </w:r>
      <w:r>
        <w:rPr>
          <w:rFonts w:ascii="Times New Roman" w:hAnsi="Times New Roman" w:eastAsia="宋体" w:cs="Times New Roman"/>
          <w:kern w:val="0"/>
          <w:vertAlign w:val="superscript"/>
        </w:rPr>
        <w:t>[19]</w:t>
      </w:r>
      <w:r>
        <w:rPr>
          <w:rFonts w:ascii="Times New Roman" w:hAnsi="Times New Roman" w:eastAsia="宋体" w:cs="Times New Roman"/>
        </w:rPr>
        <w:fldChar w:fldCharType="end"/>
      </w:r>
      <w:r>
        <w:rPr>
          <w:rFonts w:ascii="Times New Roman" w:hAnsi="Times New Roman" w:eastAsia="宋体" w:cs="Times New Roman"/>
        </w:rPr>
        <w:t>等人通过系统分析多种纤维素纳米纤维（</w:t>
      </w:r>
      <w:r>
        <w:rPr>
          <w:rFonts w:ascii="Times New Roman" w:hAnsi="Times New Roman" w:eastAsia="宋体" w:cs="Times New Roman"/>
        </w:rPr>
        <w:t>CNF</w:t>
      </w:r>
      <w:r>
        <w:rPr>
          <w:rFonts w:ascii="Times New Roman" w:hAnsi="Times New Roman" w:eastAsia="宋体" w:cs="Times New Roman"/>
        </w:rPr>
        <w:t>）基导电复合材料，指出</w:t>
      </w:r>
      <w:r>
        <w:rPr>
          <w:rFonts w:eastAsia="宋体" w:ascii="Times New Roman" w:hAnsi="Times New Roman" w:cs="Times New Roman"/>
        </w:rPr>
        <w:t>MXene</w:t>
      </w:r>
      <w:r>
        <w:rPr>
          <w:rFonts w:ascii="Times New Roman" w:hAnsi="Times New Roman" w:eastAsia="宋体" w:cs="Times New Roman"/>
        </w:rPr>
        <w:t>在构建高效导电网络及提升电磁屏蔽性能方面具有显著优势。</w:t>
      </w:r>
    </w:p>
    <w:p w14:paraId="3DC66DF0">
      <w:pPr>
        <w:pStyle w:val="3"/>
        <w:rPr>
          <w:rFonts w:hint="eastAsia"/>
        </w:rPr>
      </w:pPr>
      <w:bookmarkStart w:id="11" w:name="_Toc229493692"/>
      <w:r>
        <w:rPr>
          <w:rFonts w:hint="eastAsia" w:ascii="Times New Roman" w:hAnsi="Times New Roman" w:eastAsia="宋体" w:cs="Times New Roman"/>
        </w:rPr>
        <w:t>导电薄膜的应用领域</w:t>
      </w:r>
      <w:bookmarkEnd w:id="11"/>
    </w:p>
    <w:p w14:paraId="06BBFBA0">
      <w:pPr>
        <w:spacing w:before="240" w:line="300" w:lineRule="auto"/>
        <w:ind w:firstLine="420"/>
        <w:jc w:val="both"/>
        <w:rPr>
          <w:rFonts w:hint="eastAsia" w:ascii="宋体" w:hAnsi="宋体"/>
        </w:rPr>
      </w:pPr>
      <w:r>
        <w:rPr>
          <w:rFonts w:hint="eastAsia" w:ascii="Times New Roman" w:hAnsi="Times New Roman" w:eastAsia="宋体" w:cs="Times New Roman"/>
        </w:rPr>
        <w:t>纤维素基导电薄膜在兼具良好导电性能、柔性、可降解性及可加工性的基础上，在柔性电子器件领域展现出广泛的应用潜力。根据其功能特点，主要应用于传感器、柔性电子器件及电磁屏蔽等领域</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ADDIN ZOTERO_ITEM CSL_CITATION {"citationID":"GHEeLirp","properties":{"unsorted":false,"formattedCitation":"\\super [16,20]\\nosupersub{}","plainCitation":"[16,20]","noteIndex":0},"citationItems":[{"id":18,"uris":["http://zotero.org/users/local/h1SzDwOO/items/8V3FW247"],"itemData":{"id":18,"type":"thesis","abstract":"随着科学技术的发展以及柔性电子产品需求的增加,柔性可穿戴超级电容器备受关注，然而电子产品的广泛使用会产生大量的电磁干扰（EMI）,严重影响人体健康，因此开发集储能、电磁屏蔽于一体的多功能柔性电子产品是十分必要的。过渡金属碳化物/氮化物（Ti3C2TxMXene）是一种新型二维导电材料。然而，受限于其尺寸和无序排列，MXene基薄膜的柔性和机械强度通常较差，同时其无序的自堆叠又影响了 MXene基导电薄膜的电学性能，以上诸因素都极大地限制了它们在超级电容器以及电磁屏蔽领域的应用。因此，本论文致力于提高MXene基薄膜力学性能并且不破坏MXene本身良好的导电...","genre":"博士学位论文","language":"zh","note":"CLC: TB383(工程材料学)\nmajor: 应用化学","publisher":"陕西科技大学","publisher-place":"西安","source":"Wanfang Data","title":"MXene/纤维素柔性导电复合薄膜的构筑及其性能研究","URL":"https://d.wanfangdata.com.cn/thesis/Y4097951","author":[{"literal":"王雨"}],"contributor":[{"literal":"费贵强"},{"literal":"王海花"}],"accessed":{"date-parts":[["2026",3,6]]},"issued":{"date-parts":[["2023"]]}}},{"id":298,"uris":["http://zotero.org/users/local/h1SzDwOO/items/AL9DRUTX"],"itemData":{"id":298,"type":"article-journal","language":"en-US","title":"Flexible and biocompatible nanopaper-based electrode","author":[{"family":"Guo","given":"Yichuan"},{"family":"Fang","given":"Zhiqiang"}]}}],"schema":"https://github.com/citation-style-language/schema/raw/master/csl-citation.json"} </w:instrText>
      </w:r>
      <w:r>
        <w:rPr>
          <w:rFonts w:hint="eastAsia" w:ascii="Times New Roman" w:hAnsi="Times New Roman" w:eastAsia="宋体" w:cs="Times New Roman"/>
        </w:rPr>
        <w:fldChar w:fldCharType="separate"/>
      </w:r>
      <w:r>
        <w:rPr>
          <w:rFonts w:ascii="Times New Roman" w:hAnsi="Times New Roman" w:eastAsia="宋体" w:cs="Times New Roman"/>
          <w:kern w:val="0"/>
          <w:vertAlign w:val="superscript"/>
        </w:rPr>
        <w:t>[16,20]</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5DED84CA">
      <w:pPr>
        <w:spacing w:line="300" w:lineRule="auto"/>
        <w:ind w:firstLine="420"/>
        <w:jc w:val="both"/>
        <w:rPr>
          <w:rFonts w:hint="eastAsia" w:ascii="宋体" w:hAnsi="宋体"/>
        </w:rPr>
      </w:pPr>
      <w:r>
        <w:rPr>
          <w:rFonts w:hint="eastAsia" w:ascii="Times New Roman" w:hAnsi="Times New Roman" w:eastAsia="宋体" w:cs="Times New Roman"/>
        </w:rPr>
        <w:t>近年来，通过引入碳纳米材料构建导电网络，已成为制备高性能纳米纤维素导电薄膜的重要策略。</w:t>
      </w:r>
      <w:r>
        <w:rPr>
          <w:rFonts w:hint="eastAsia" w:ascii="Times New Roman" w:hAnsi="Times New Roman" w:eastAsia="宋体" w:cs="Times New Roman"/>
        </w:rPr>
        <w:t>Park</w:t>
      </w:r>
      <w:r>
        <w:rPr>
          <w:rFonts w:ascii="Times New Roman" w:hAnsi="Times New Roman" w:eastAsia="宋体" w:cs="Times New Roman"/>
        </w:rPr>
        <w:fldChar w:fldCharType="begin"/>
      </w:r>
      <w:r>
        <w:rPr>
          <w:rFonts w:ascii="Times New Roman" w:hAnsi="Times New Roman" w:eastAsia="宋体" w:cs="Times New Roman"/>
        </w:rPr>
        <w:instrText xml:space="preserve"> ADDIN ZOTERO_ITEM CSL_CITATION {"citationID":"QnI8VXiG","properties":{"unsorted":false,"formattedCitation":"\\super [21]\\nosupersub{}","plainCitation":"[21]","noteIndex":0},"citationItems":[{"id":337,"uris":["http://zotero.org/users/local/h1SzDwOO/items/QJ4ZHSNY"],"itemData":{"id":337,"type":"article-journal","abstract":"This work demonstrates flexible, transparent phototransistors that can detect visible light with nontoxic organic active materials on biodegradable substrates toward environment-friendly electronics. The molybdenum trioxide (MoO3)-buffered indium zinc oxide as high-performance hole injector and transparent electrodes is applied for the first time to organic phototransistors on cellulose nanofibrillated fiber substrates to achieve more than 70% of transmittance in the visible range (400–750 nm) while showing high conductivity under multiple bendings. Excellent electrical switching characteristics are obtained from transistors using a pentacene active layer with a saturation mobility value of 1.40 cm2 V−1 s−1. The phototransistors, which can detect visible light and perform in two operation modes, exhibit a maximum responsivity of 54.8 A W−1 and a photosensitivity of 24.4 under white light illumination at an intensity of 0.12 mW cm−2. Moreover, the devices show a stable operation during mechanical bending tests with radii ranging from 100 to 5 mm and cyclic bending tests of up to 2000 cycles at a fixed radius of 5 mm. The results suggest that these flexible phototransistors with properties of transparency and biodegradability have considerable potential for use in low-cost and eco-friendly disposable sensor systems.","container-title":"Advanced Optical Materials","DOI":"10.1002/adom.201701140","ISSN":"2195-1071","issue":"9","journalAbbreviation":"Adv. Opt. Mater.","language":"en","note":"_eprint: https://advanced.onlinelibrary.wiley.com/doi/pdf/10.1002/adom.201701140","page":"1701140","source":"Wiley Online Library","title":"Flexible and transparent organic phototransistors on biodegradable cellulose nanofibrillated fiber substrates","volume":"6","author":[{"family":"Park","given":"Junsu"},{"family":"Seo","given":"Jung-Hun"},{"family":"Yeom","given":"Seung-Won"},{"family":"Yao","given":"Chunhua"},{"family":"Yang","given":"Vina W."},{"family":"Cai","given":"Zhiyong"},{"family":"Jhon","given":"Young Min"},{"family":"Ju","given":"Byeong-Kwon"}],"issued":{"date-parts":[["2018"]]}}}],"schema":"https://github.com/citation-style-language/schema/raw/master/csl-citation.json"} </w:instrText>
      </w:r>
      <w:r>
        <w:rPr>
          <w:rFonts w:ascii="Times New Roman" w:hAnsi="Times New Roman" w:eastAsia="宋体" w:cs="Times New Roman"/>
        </w:rPr>
        <w:fldChar w:fldCharType="separate"/>
      </w:r>
      <w:r>
        <w:rPr>
          <w:rFonts w:ascii="Times New Roman" w:hAnsi="Times New Roman" w:eastAsia="宋体" w:cs="Times New Roman"/>
          <w:kern w:val="0"/>
          <w:vertAlign w:val="superscript"/>
        </w:rPr>
        <w:t>[21]</w:t>
      </w:r>
      <w:r>
        <w:rPr>
          <w:rFonts w:ascii="Times New Roman" w:hAnsi="Times New Roman" w:eastAsia="宋体" w:cs="Times New Roman"/>
        </w:rPr>
        <w:fldChar w:fldCharType="end"/>
      </w:r>
      <w:r>
        <w:rPr>
          <w:rFonts w:hint="eastAsia" w:ascii="Times New Roman" w:hAnsi="Times New Roman" w:eastAsia="宋体" w:cs="Times New Roman"/>
        </w:rPr>
        <w:t>等人在CNF上构筑了柔性透明有机光晶体管（OPTs），采用室温射频磁控溅射沉积的</w:t>
      </w:r>
      <w:r>
        <w:rPr>
          <w:rFonts w:ascii="Times New Roman" w:hAnsi="Times New Roman" w:eastAsia="宋体" w:cs="Times New Roman"/>
        </w:rPr>
        <w:t>MoO₃</w:t>
      </w:r>
      <w:r>
        <w:rPr>
          <w:rFonts w:hint="eastAsia" w:ascii="Times New Roman" w:hAnsi="Times New Roman" w:eastAsia="宋体" w:cs="Times New Roman"/>
        </w:rPr>
        <w:t>缓冲</w:t>
      </w:r>
      <w:r>
        <w:rPr>
          <w:rFonts w:ascii="Times New Roman" w:hAnsi="Times New Roman" w:eastAsia="宋体" w:cs="Times New Roman"/>
        </w:rPr>
        <w:t>IZO</w:t>
      </w:r>
      <w:r>
        <w:rPr>
          <w:rFonts w:hint="eastAsia" w:ascii="Times New Roman" w:hAnsi="Times New Roman" w:eastAsia="宋体" w:cs="Times New Roman"/>
        </w:rPr>
        <w:t>作为源</w:t>
      </w:r>
      <w:r>
        <w:rPr>
          <w:rFonts w:ascii="Times New Roman" w:hAnsi="Times New Roman" w:eastAsia="宋体" w:cs="Times New Roman"/>
        </w:rPr>
        <w:t>/</w:t>
      </w:r>
      <w:r>
        <w:rPr>
          <w:rFonts w:hint="eastAsia" w:ascii="Times New Roman" w:hAnsi="Times New Roman" w:eastAsia="宋体" w:cs="Times New Roman"/>
        </w:rPr>
        <w:t>漏和栅极透明导电电极，结合</w:t>
      </w:r>
      <w:r>
        <w:rPr>
          <w:rFonts w:ascii="Times New Roman" w:hAnsi="Times New Roman" w:eastAsia="宋体" w:cs="Times New Roman"/>
        </w:rPr>
        <w:t>PMMA</w:t>
      </w:r>
      <w:r>
        <w:rPr>
          <w:rFonts w:hint="eastAsia" w:ascii="Times New Roman" w:hAnsi="Times New Roman" w:eastAsia="宋体" w:cs="Times New Roman"/>
        </w:rPr>
        <w:t>介电层和戊烯活性层，实现了器件在可见光区（</w:t>
      </w:r>
      <w:r>
        <w:rPr>
          <w:rFonts w:ascii="Times New Roman" w:hAnsi="Times New Roman" w:eastAsia="宋体" w:cs="Times New Roman"/>
        </w:rPr>
        <w:t xml:space="preserve">400–750 </w:t>
      </w:r>
      <w:r>
        <w:rPr>
          <w:rFonts w:ascii="Times New Roman" w:hAnsi="Times New Roman" w:eastAsia="宋体" w:cs="Times New Roman"/>
        </w:rPr>
        <w:t>nm</w:t>
      </w:r>
      <w:r>
        <w:rPr>
          <w:rFonts w:hint="eastAsia" w:ascii="Times New Roman" w:hAnsi="Times New Roman" w:eastAsia="宋体" w:cs="Times New Roman"/>
        </w:rPr>
        <w:t>）的平均透过率达</w:t>
      </w:r>
      <w:r>
        <w:rPr>
          <w:rFonts w:ascii="Times New Roman" w:hAnsi="Times New Roman" w:eastAsia="宋体" w:cs="Times New Roman"/>
        </w:rPr>
        <w:t>70.4%</w:t>
      </w:r>
      <w:r>
        <w:rPr>
          <w:rFonts w:hint="eastAsia" w:ascii="Times New Roman" w:hAnsi="Times New Roman" w:eastAsia="宋体" w:cs="Times New Roman"/>
        </w:rPr>
        <w:t>，</w:t>
      </w:r>
      <w:r>
        <w:rPr>
          <w:rFonts w:ascii="Times New Roman" w:hAnsi="Times New Roman" w:eastAsia="宋体" w:cs="Times New Roman"/>
        </w:rPr>
        <w:t>IZO</w:t>
      </w:r>
      <w:r>
        <w:rPr>
          <w:rFonts w:hint="eastAsia" w:ascii="Times New Roman" w:hAnsi="Times New Roman" w:eastAsia="宋体" w:cs="Times New Roman"/>
        </w:rPr>
        <w:t>片电阻为</w:t>
      </w:r>
      <w:r>
        <w:rPr>
          <w:rFonts w:ascii="Times New Roman" w:hAnsi="Times New Roman" w:eastAsia="宋体" w:cs="Times New Roman"/>
        </w:rPr>
        <w:t xml:space="preserve">37.5 </w:t>
      </w:r>
      <w:r>
        <w:rPr>
          <w:rFonts w:ascii="Times New Roman" w:hAnsi="Times New Roman" w:eastAsia="宋体" w:cs="Times New Roman"/>
        </w:rPr>
        <w:t>Ω</w:t>
      </w:r>
      <w:r>
        <w:rPr>
          <w:rFonts w:ascii="Times New Roman" w:hAnsi="Times New Roman" w:eastAsia="宋体" w:cs="Times New Roman"/>
        </w:rPr>
        <w:t xml:space="preserve"> </w:t>
      </w:r>
      <w:r>
        <w:rPr>
          <w:rFonts w:ascii="Times New Roman" w:hAnsi="Times New Roman" w:eastAsia="宋体" w:cs="Times New Roman"/>
        </w:rPr>
        <w:t>sq</w:t>
      </w:r>
      <w:r>
        <w:rPr>
          <w:rFonts w:ascii="Times New Roman" w:hAnsi="Times New Roman" w:cs="Times New Roman" w:eastAsia="宋体"/>
        </w:rPr>
        <w:t>⁻</w:t>
      </w:r>
      <w:r>
        <w:rPr>
          <w:rFonts w:ascii="Times New Roman" w:hAnsi="Times New Roman" w:eastAsia="宋体" w:cs="Times New Roman"/>
        </w:rPr>
        <w:t>¹</w:t>
      </w:r>
      <w:r>
        <w:rPr>
          <w:rFonts w:hint="eastAsia" w:ascii="Times New Roman" w:hAnsi="Times New Roman" w:eastAsia="宋体" w:cs="Times New Roman"/>
        </w:rPr>
        <w:t>。该工作为纳米纤维素基透明导电薄膜在低成本、环境友好型柔性光电传感器中的应用提供了重要参考。</w:t>
      </w:r>
    </w:p>
    <w:p w14:paraId="7C0C274D">
      <w:pPr>
        <w:spacing w:line="300" w:lineRule="auto"/>
        <w:jc w:val="both"/>
        <w:rPr>
          <w:rFonts w:hint="eastAsia" w:ascii="宋体" w:hAnsi="宋体"/>
        </w:rPr>
      </w:pPr>
    </w:p>
    <w:p w14:paraId="794CA0B7">
      <w:pPr>
        <w:pStyle w:val="11"/>
        <w:jc w:val="center"/>
        <w:rPr>
          <w:rFonts w:hint="eastAsia" w:ascii="黑体" w:hAnsi="黑体"/>
          <w:sz w:val="21"/>
          <w:szCs w:val="21"/>
        </w:rPr>
      </w:pPr>
      <w:r>
        <w:rPr>
          <w:rFonts w:hint="eastAsia" w:ascii="Times New Roman" w:hAnsi="Times New Roman" w:eastAsia="SimHei" w:cs="Times New Roman"/>
          <w:sz w:val="21"/>
          <w:szCs w:val="21"/>
        </w:rPr>
        <w:t>图 1-7(a) CNF衬底上底栅/顶接触结构有机光晶体管（OPT）器件示意图；(b) OPTs置于DIANA Lab标志上方的实物照片；(c) CNF衬底以及CNF衬底上带有IZO和Au源/漏电极器件的可见光透过率光谱[21]</w:t>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ascii="Times New Roman" w:hAnsi="Times New Roman" w:eastAsia="SimHei" w:cs="Times New Roman"/>
          <w:sz w:val="21"/>
          <w:szCs w:val="21"/>
        </w:rPr>
      </w:r>
      <w:r>
        <w:rPr>
          <w:rFonts w:ascii="Times New Roman" w:hAnsi="Times New Roman" w:cs="Times New Roman" w:eastAsia="SimHei"/>
          <w:sz w:val="21"/>
          <w:szCs w:val="21"/>
        </w:rPr>
      </w:r>
      <w:r>
        <w:rPr>
          <w:rFonts w:ascii="Times New Roman" w:hAnsi="Times New Roman" w:eastAsia="SimHei" w:cs="Times New Roman"/>
          <w:sz w:val="21"/>
          <w:szCs w:val="21"/>
        </w:rPr>
      </w:r>
      <w:r>
        <w:rPr>
          <w:rFonts w:ascii="Times New Roman" w:hAnsi="Times New Roman" w:cs="Times New Roman" w:eastAsia="SimHei"/>
          <w:sz w:val="21"/>
          <w:szCs w:val="21"/>
        </w:rPr>
      </w:r>
      <w:r>
        <w:rPr>
          <w:rFonts w:ascii="Times New Roman" w:hAnsi="Times New Roman" w:eastAsia="SimHei" w:cs="Times New Roman"/>
          <w:sz w:val="21"/>
          <w:szCs w:val="21"/>
        </w:rPr>
      </w:r>
      <w:r>
        <w:rPr>
          <w:rFonts w:ascii="Times New Roman" w:hAnsi="Times New Roman" w:cs="Times New Roman" w:eastAsia="SimHei"/>
          <w:sz w:val="21"/>
          <w:szCs w:val="21"/>
        </w:rPr>
      </w:r>
      <w:r>
        <w:rPr>
          <w:rFonts w:ascii="Times New Roman" w:hAnsi="Times New Roman" w:eastAsia="SimHei" w:cs="Times New Roman"/>
          <w:sz w:val="21"/>
          <w:szCs w:val="21"/>
        </w:rPr>
      </w:r>
      <w:r>
        <w:rPr>
          <w:rFonts w:ascii="Times New Roman" w:hAnsi="Times New Roman" w:cs="Times New Roman" w:eastAsia="SimHei"/>
          <w:sz w:val="21"/>
          <w:szCs w:val="21"/>
        </w:rPr>
      </w:r>
      <w:r>
        <w:rPr>
          <w:rFonts w:ascii="Times New Roman" w:hAnsi="Times New Roman" w:eastAsia="SimHei" w:cs="Times New Roman"/>
          <w:sz w:val="21"/>
          <w:szCs w:val="21"/>
        </w:rPr>
      </w:r>
      <w:r>
        <w:rPr>
          <w:rFonts w:hint="eastAsia" w:ascii="Times New Roman" w:hAnsi="Times New Roman" w:eastAsia="SimHei" w:cs="Times New Roman"/>
          <w:sz w:val="21"/>
          <w:szCs w:val="21"/>
        </w:rPr>
      </w:r>
      <w:r>
        <w:rPr>
          <w:rFonts w:hint="eastAsia" w:ascii="Times New Roman" w:hAnsi="Times New Roman" w:eastAsia="SimHei" w:cs="Times New Roman"/>
          <w:sz w:val="21"/>
          <w:szCs w:val="21"/>
        </w:rPr>
      </w:r>
      <w:r>
        <w:rPr>
          <w:rFonts w:ascii="Times New Roman" w:hAnsi="Times New Roman" w:eastAsia="SimHei" w:cs="Times New Roman"/>
          <w:kern w:val="0"/>
          <w:sz w:val="21"/>
          <w:vertAlign w:val="superscript"/>
        </w:rPr>
      </w:r>
      <w:r>
        <w:rPr>
          <w:rFonts w:hint="eastAsia" w:ascii="Times New Roman" w:hAnsi="Times New Roman" w:eastAsia="SimHei" w:cs="Times New Roman"/>
          <w:sz w:val="21"/>
          <w:szCs w:val="21"/>
        </w:rPr>
      </w:r>
    </w:p>
    <w:p w14:paraId="0BBE947B">
      <w:pPr>
        <w:spacing w:line="300" w:lineRule="auto"/>
        <w:ind w:firstLine="420"/>
        <w:jc w:val="both"/>
        <w:rPr>
          <w:rFonts w:hint="eastAsia" w:ascii="宋体" w:hAnsi="宋体"/>
        </w:rPr>
      </w:pPr>
      <w:r>
        <w:rPr>
          <w:rFonts w:hint="eastAsia" w:ascii="Times New Roman" w:hAnsi="Times New Roman" w:eastAsia="宋体" w:cs="Times New Roman"/>
        </w:rPr>
        <w:t>已</w:t>
      </w:r>
      <w:r>
        <w:rPr>
          <w:rFonts w:ascii="Times New Roman" w:hAnsi="Times New Roman" w:eastAsia="宋体" w:cs="Times New Roman"/>
        </w:rPr>
        <w:t>有研究表明，将二维导电材料引入纳米纤维素体系，可显著提升复合薄膜的功能性能。例如，</w:t>
      </w:r>
      <w:r>
        <w:rPr>
          <w:rFonts w:ascii="Times New Roman" w:hAnsi="Times New Roman" w:eastAsia="宋体" w:cs="Times New Roman"/>
        </w:rPr>
        <w:t>Lee</w:t>
      </w:r>
      <w:r>
        <w:rPr>
          <w:rFonts w:ascii="Times New Roman" w:hAnsi="Times New Roman" w:eastAsia="宋体" w:cs="Times New Roman"/>
        </w:rPr>
        <w:fldChar w:fldCharType="begin"/>
      </w:r>
      <w:r>
        <w:rPr>
          <w:rFonts w:ascii="Times New Roman" w:hAnsi="Times New Roman" w:eastAsia="宋体" w:cs="Times New Roman"/>
        </w:rPr>
        <w:instrText xml:space="preserve"> ADDIN ZOTERO_ITEM CSL_CITATION {"citationID":"APDw7hHb","properties":{"unsorted":false,"formattedCitation":"\\super [12,22]\\nosupersub{}","plainCitation":"[12,22]","noteIndex":0},"citationItems":[{"id":144,"uris":["http://zotero.org/users/local/h1SzDwOO</w:instrText>
      </w:r>
      <w:r>
        <w:rPr>
          <w:rFonts w:hint="eastAsia" w:ascii="Times New Roman" w:hAnsi="Times New Roman" w:eastAsia="宋体" w:cs="Times New Roman"/>
        </w:rPr>
        <w:instrText xml:space="preserve">/items/8QYT9NFR"],"itemData":{"id":144,"type":"thesis","abstract":"天然植物纤维衍生的纤维素纳米纤维（CNFs）是一种来源广泛、绿色可再生、物化性能优异的新型一维（1D）纳米材料。特别是以CNFs为骨架的复合纸以其柔韧、轻质、机械性能优异、易加工等优势在可穿戴电子领域备受青睐。然而，受到自身绝缘性和功能性单一等问题限制，CNFs基复合纸难以满足实际应用需求。银纳米线（AgNWs）和过渡金属碳/氮化物（MXene）作为典型的1D和2D导电纳米材料，具有优异的导电性、导热性和水溶液加工性等优点，已广泛应用于柔性电子、电磁屏蔽（EMI）、热管理、储能等领域。利用AgNWs、MXene协同CNFs构建完整的电子/声子传输网络是提升复...","genre":"博士学位论文","language":"zh","note":"CLC: TQ344(化学纤维工业)TQ340.6(化学纤维工业)\nmajor: 生物质科学与工程","publisher":"华南理工大学","publisher-place":"广州","source":"Wanfang Data","title":"纤维素纳米纤维基导电复合纸的结构设计及性能研究","URL":"https://d.wanfangdata.com.cn/thesis/D03309520","author":[{"literal":"成锐"}],"contributor":[{"literal":"陈克复"},{"literal":"王斌"}],"accessed":{"date-parts":[["2026",3,17]]},"issued":{"date-parts":[["2023"]]}}},{"id</w:instrText>
      </w:r>
      <w:r>
        <w:rPr>
          <w:rFonts w:ascii="Times New Roman" w:hAnsi="Times New Roman" w:eastAsia="宋体" w:cs="Times New Roman"/>
        </w:rPr>
        <w:instrText xml:space="preserve">":288,"uris":["http://zotero.org/users/local/h1SzDwOO/items/YA6ZVX7H"],"itemData":{"id":288,"type":"article-journal","language":"en-US","title":"Highly Stretchable Piezoresistive Graphene–Nanocellulose Nanopaper for Strain Sensors","author":[{"family":"Yan","given":"Chaoyi"}]}}],"schema":"https://github.com/citation-style-language/schema/raw/master/csl-citation.json"} </w:instrText>
      </w:r>
      <w:r>
        <w:rPr>
          <w:rFonts w:ascii="Times New Roman" w:hAnsi="Times New Roman" w:eastAsia="宋体" w:cs="Times New Roman"/>
        </w:rPr>
        <w:fldChar w:fldCharType="separate"/>
      </w:r>
      <w:r>
        <w:rPr>
          <w:rFonts w:ascii="Times New Roman" w:hAnsi="Times New Roman" w:eastAsia="宋体" w:cs="Times New Roman"/>
          <w:kern w:val="0"/>
          <w:vertAlign w:val="superscript"/>
        </w:rPr>
        <w:t>[12,22]</w:t>
      </w:r>
      <w:r>
        <w:rPr>
          <w:rFonts w:ascii="Times New Roman" w:hAnsi="Times New Roman" w:eastAsia="宋体" w:cs="Times New Roman"/>
        </w:rPr>
        <w:fldChar w:fldCharType="end"/>
      </w:r>
      <w:r>
        <w:rPr>
          <w:rFonts w:ascii="Times New Roman" w:hAnsi="Times New Roman" w:eastAsia="宋体" w:cs="Times New Roman"/>
        </w:rPr>
        <w:t>等将皱缩石墨烯与纳米纤维素复合，通过真空抽滤法制备出导电纳米纤维素薄膜，并进一步引入弹性体基体对其进行改性，获得了具有良好导电性和高拉伸性能的复合材料</w:t>
      </w:r>
      <w:r>
        <w:rPr>
          <w:rFonts w:hint="eastAsia" w:ascii="Times New Roman" w:hAnsi="Times New Roman" w:eastAsia="宋体" w:cs="Times New Roman"/>
        </w:rPr>
        <w:t>，如图所示</w:t>
      </w:r>
      <w:r>
        <w:rPr>
          <w:rFonts w:ascii="Times New Roman" w:hAnsi="Times New Roman" w:eastAsia="宋体" w:cs="Times New Roman"/>
        </w:rPr>
        <w:t>。结果表明，该材料在保持导电性能的同时，最大应变可达到100%，在柔性传感器领域展现出良好的应用潜力。该研究表明，通过引入二维导电材料并结合结构设计，可以有效构建兼具导电性与柔性的纳米纤维素复合薄膜。</w:t>
      </w:r>
    </w:p>
    <w:p w14:paraId="2952D9DF">
      <w:pPr>
        <w:keepNext/>
        <w:spacing w:before="240" w:line="300" w:lineRule="auto"/>
        <w:jc w:val="both"/>
      </w:pPr>
    </w:p>
    <w:p w14:paraId="6A7D19C6">
      <w:pPr>
        <w:pStyle w:val="11"/>
        <w:jc w:val="center"/>
        <w:rPr>
          <w:rFonts w:hint="eastAsia" w:ascii="黑体" w:hAnsi="黑体"/>
          <w:sz w:val="21"/>
          <w:szCs w:val="21"/>
        </w:rPr>
      </w:pPr>
      <w:r>
        <w:rPr>
          <w:rFonts w:hint="eastAsia" w:ascii="Times New Roman" w:hAnsi="Times New Roman" w:eastAsia="SimHei" w:cs="Times New Roman"/>
          <w:sz w:val="21"/>
          <w:szCs w:val="21"/>
        </w:rPr>
        <w:t xml:space="preserve">图 </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STYLEREF 1 \s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1</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noBreakHyphen/>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SEQ 图 \* ARABIC \s 1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8</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t>通过制备由碎裂石墨烯构成的可拉伸纳米纤维素薄膜，实现了高达100%的应变</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ADDIN ZOTERO_ITEM CSL_CITATION {"citationID":"Iz7vCmyd","properties":{"unsorted":false,"formattedCitation":"\\super [22]\\nosupersub{}","plainCitation":"[22]","noteIndex":0},"citationItems":[{"id":288,"uris":["http://zotero.org/users/local/h1SzDwOO/items/YA6ZVX7H"],"itemData":{"id":288,"type":"article-journal","language":"en-US","title":"Highly Stretchable Piezoresistive Graphene–Nanocellulose Nanopaper for Strain Sensors","author":[{"family":"Yan","given":"Chaoyi"}]}}],"schema":"https://github.com/citation-style-language/schema/raw/master/csl-citation.json"} </w:instrText>
      </w:r>
      <w:r>
        <w:rPr>
          <w:rFonts w:hint="eastAsia" w:ascii="Times New Roman" w:hAnsi="Times New Roman" w:eastAsia="SimHei" w:cs="Times New Roman"/>
          <w:sz w:val="21"/>
          <w:szCs w:val="21"/>
        </w:rPr>
        <w:fldChar w:fldCharType="separate"/>
      </w:r>
      <w:r>
        <w:rPr>
          <w:rFonts w:ascii="Times New Roman" w:hAnsi="Times New Roman" w:cs="Times New Roman" w:eastAsia="SimHei"/>
          <w:kern w:val="0"/>
          <w:sz w:val="21"/>
          <w:vertAlign w:val="superscript"/>
        </w:rPr>
        <w:t>[22]</w:t>
      </w:r>
      <w:r>
        <w:rPr>
          <w:rFonts w:hint="eastAsia" w:ascii="Times New Roman" w:hAnsi="Times New Roman" w:eastAsia="SimHei" w:cs="Times New Roman"/>
          <w:sz w:val="21"/>
          <w:szCs w:val="21"/>
        </w:rPr>
        <w:fldChar w:fldCharType="end"/>
      </w:r>
    </w:p>
    <w:p w14:paraId="45EE317E">
      <w:pPr>
        <w:spacing w:before="240" w:line="300" w:lineRule="auto"/>
        <w:ind w:firstLine="420"/>
        <w:jc w:val="both"/>
      </w:pPr>
      <w:r>
        <w:rPr>
          <w:rFonts w:hint="eastAsia" w:ascii="Times New Roman" w:hAnsi="Times New Roman" w:eastAsia="宋体" w:cs="Times New Roman"/>
        </w:rPr>
        <w:t>纤维素纳米纤维（</w:t>
      </w:r>
      <w:r>
        <w:rPr>
          <w:rFonts w:ascii="Times New Roman" w:hAnsi="Times New Roman" w:eastAsia="宋体" w:cs="Times New Roman"/>
        </w:rPr>
        <w:t>CNFs</w:t>
      </w:r>
      <w:r>
        <w:rPr>
          <w:rFonts w:hint="eastAsia" w:ascii="Times New Roman" w:hAnsi="Times New Roman" w:eastAsia="宋体" w:cs="Times New Roman"/>
        </w:rPr>
        <w:t>）因其绿色可再生性及优异的柔韧性，已成为电磁干扰（</w:t>
      </w:r>
      <w:r>
        <w:rPr>
          <w:rFonts w:ascii="Times New Roman" w:hAnsi="Times New Roman" w:eastAsia="宋体" w:cs="Times New Roman"/>
        </w:rPr>
        <w:t>EMI</w:t>
      </w:r>
      <w:r>
        <w:rPr>
          <w:rFonts w:hint="eastAsia" w:ascii="Times New Roman" w:hAnsi="Times New Roman" w:eastAsia="宋体" w:cs="Times New Roman"/>
        </w:rPr>
        <w:t>）屏蔽薄膜的理想基体材料。</w:t>
      </w:r>
      <w:r>
        <w:rPr>
          <w:rFonts w:ascii="Times New Roman" w:hAnsi="Times New Roman" w:eastAsia="宋体" w:cs="Times New Roman"/>
        </w:rPr>
        <w:t>Wang</w:t>
      </w:r>
      <w:r>
        <w:rPr>
          <w:rFonts w:ascii="Times New Roman" w:hAnsi="Times New Roman" w:eastAsia="宋体" w:cs="Times New Roman"/>
        </w:rPr>
        <w:fldChar w:fldCharType="begin"/>
      </w:r>
      <w:r>
        <w:rPr>
          <w:rFonts w:ascii="Times New Roman" w:hAnsi="Times New Roman" w:eastAsia="宋体" w:cs="Times New Roman"/>
        </w:rPr>
        <w:instrText xml:space="preserve"> ADDIN ZOTERO_ITEM CSL_CITATION {"citationID":"a1nnigdkhau","properties":{"unsorted":false,"formattedCitation":"\\super [23]\\nosupersub{}","plainCitation":"[23]","noteIndex":0},"citationItems":[{"id":314,"uris":["http://zotero.org/users/local/h1SzDwOO/items/KCESTTET"],"itemData":{"id":314,"type":"article-journal","abstract":"High-efficient electromagnetic interference (EMI) shielding films were successfully fabricated by electroless deposition of silver nanoparticles (AgNPs) on polydopamine (PDA) functionalized cellulose nanofibrils (CNFs) as building blocks according to a pressured-extrusion film-forming process. PDA was first functionalized on CNFs by oxidative self-polymerization of dopamine (DA) to synthesize CNFs@PDA, on which AgNPs were electrolessly deposited. The obtained CNFs@PDA@AgNPs composite films served as tightly-connected conductive network, so as to significantly improve the whole electrical conductivity of the EMI shielding films. Utilizing CNFs as green and soft matrix, the fabricated CNFs@PDA@AgNPs EMI films show an outstanding mechanical enduring performance. The CNFs@PDA@AgNPs films with weight ratios of CNFs:AgNO3 = 1:24 exhibited superb electrical conductivity of 1,000,000 S m−1 and remarkable EMI shielding effectiveness of 93.8 dB at 8.2 GHz in X band. This work provides a simple methodology to achieve surface metallization of insulating fibers to supersede traditional metals for highly efficient EMI shielding applications.","container-title":"Carbohydrate Polymers","DOI":"10.1016/j.carbpol.2020.116915","ISSN":"0144-8617","journalAbbreviation":"Carbohydr. Polym.","language":"en","page":"116915","source":"ScienceDirect","title":"Electroless deposition of silver nanoparticles on cellulose nanofibrils for electromagnetic interference shielding films","volume":"250","author":[{"family":"Xu","given":"Yanfang"},{"family":"Qian","given":"Kunpeng"},{"family":"Deng","given":"Dongmei"},{"family":"Luo","given":"Liqiang"},{"family":"Ye","given":"Jinhong"},{"family":"Wu","given":"Hongmin"},{"family":"Miao","given":"Miao"},{"family":"Feng","given":"Xin"}],"issued":{"date-parts":[["2020",12,15]]}}}],"schema":"https://github.com/citation-style-language/schema/raw/master/csl-citation.json"} </w:instrText>
      </w:r>
      <w:r>
        <w:rPr>
          <w:rFonts w:ascii="Times New Roman" w:hAnsi="Times New Roman" w:eastAsia="宋体" w:cs="Times New Roman"/>
        </w:rPr>
        <w:fldChar w:fldCharType="separate"/>
      </w:r>
      <w:r>
        <w:rPr>
          <w:rFonts w:ascii="Times New Roman" w:hAnsi="Times New Roman" w:eastAsia="宋体" w:cs="Times New Roman"/>
          <w:kern w:val="0"/>
          <w:vertAlign w:val="superscript"/>
        </w:rPr>
        <w:t>[23]</w:t>
      </w:r>
      <w:r>
        <w:rPr>
          <w:rFonts w:ascii="Times New Roman" w:hAnsi="Times New Roman" w:eastAsia="宋体" w:cs="Times New Roman"/>
        </w:rPr>
        <w:fldChar w:fldCharType="end"/>
      </w:r>
      <w:r>
        <w:rPr>
          <w:rFonts w:hint="eastAsia" w:ascii="Times New Roman" w:hAnsi="Times New Roman" w:eastAsia="宋体" w:cs="Times New Roman"/>
        </w:rPr>
        <w:t>等人通过在</w:t>
      </w:r>
      <w:r>
        <w:rPr>
          <w:rFonts w:ascii="Times New Roman" w:hAnsi="Times New Roman" w:eastAsia="宋体" w:cs="Times New Roman"/>
        </w:rPr>
        <w:t>CNFs</w:t>
      </w:r>
      <w:r>
        <w:rPr>
          <w:rFonts w:hint="eastAsia" w:ascii="Times New Roman" w:hAnsi="Times New Roman" w:eastAsia="宋体" w:cs="Times New Roman"/>
        </w:rPr>
        <w:t>表面引入聚多巴胺（</w:t>
      </w:r>
      <w:r>
        <w:rPr>
          <w:rFonts w:ascii="Times New Roman" w:hAnsi="Times New Roman" w:eastAsia="宋体" w:cs="Times New Roman"/>
        </w:rPr>
        <w:t>PDA</w:t>
      </w:r>
      <w:r>
        <w:rPr>
          <w:rFonts w:hint="eastAsia" w:ascii="Times New Roman" w:hAnsi="Times New Roman" w:eastAsia="宋体" w:cs="Times New Roman"/>
        </w:rPr>
        <w:t>）修饰层，并进一步负载银纳米颗粒（</w:t>
      </w:r>
      <w:r>
        <w:rPr>
          <w:rFonts w:ascii="Times New Roman" w:hAnsi="Times New Roman" w:eastAsia="宋体" w:cs="Times New Roman"/>
        </w:rPr>
        <w:t>AgNPs</w:t>
      </w:r>
      <w:r>
        <w:rPr>
          <w:rFonts w:hint="eastAsia" w:ascii="Times New Roman" w:hAnsi="Times New Roman" w:eastAsia="宋体" w:cs="Times New Roman"/>
        </w:rPr>
        <w:t>），构建了连续的三维导电网络，显著提升了复合薄膜的电导率与屏蔽性能。所得</w:t>
      </w:r>
      <w:r>
        <w:rPr>
          <w:rFonts w:ascii="Times New Roman" w:hAnsi="Times New Roman" w:eastAsia="宋体" w:cs="Times New Roman"/>
        </w:rPr>
        <w:t>CNFs@PDA@AgNPs</w:t>
      </w:r>
      <w:r>
        <w:rPr>
          <w:rFonts w:hint="eastAsia" w:ascii="Times New Roman" w:hAnsi="Times New Roman" w:eastAsia="宋体" w:cs="Times New Roman"/>
        </w:rPr>
        <w:t>薄膜在较高电导率（</w:t>
      </w:r>
      <w:r>
        <w:rPr>
          <w:rFonts w:ascii="Times New Roman" w:hAnsi="Times New Roman" w:eastAsia="宋体" w:cs="Times New Roman"/>
        </w:rPr>
        <w:t>1×10⁶ S·m</w:t>
      </w:r>
      <w:r>
        <w:rPr>
          <w:rFonts w:ascii="Times New Roman" w:hAnsi="Times New Roman" w:eastAsia="宋体" w:cs="Times New Roman"/>
          <w:vertAlign w:val="superscript"/>
        </w:rPr>
        <w:t>-1</w:t>
      </w:r>
      <w:r>
        <w:rPr>
          <w:rFonts w:hint="eastAsia" w:ascii="Times New Roman" w:hAnsi="Times New Roman" w:eastAsia="宋体" w:cs="Times New Roman"/>
        </w:rPr>
        <w:t>）下，于</w:t>
      </w:r>
      <w:r>
        <w:rPr>
          <w:rFonts w:ascii="Times New Roman" w:hAnsi="Times New Roman" w:eastAsia="宋体" w:cs="Times New Roman"/>
        </w:rPr>
        <w:t>X</w:t>
      </w:r>
      <w:r>
        <w:rPr>
          <w:rFonts w:hint="eastAsia" w:ascii="Times New Roman" w:hAnsi="Times New Roman" w:eastAsia="宋体" w:cs="Times New Roman"/>
        </w:rPr>
        <w:t>波段表现出优异的</w:t>
      </w:r>
      <w:r>
        <w:rPr>
          <w:rFonts w:ascii="Times New Roman" w:hAnsi="Times New Roman" w:eastAsia="宋体" w:cs="Times New Roman"/>
        </w:rPr>
        <w:t>EMI</w:t>
      </w:r>
      <w:r>
        <w:rPr>
          <w:rFonts w:hint="eastAsia" w:ascii="Times New Roman" w:hAnsi="Times New Roman" w:eastAsia="宋体" w:cs="Times New Roman"/>
        </w:rPr>
        <w:t>屏蔽效能（</w:t>
      </w:r>
      <w:r>
        <w:rPr>
          <w:rFonts w:ascii="Times New Roman" w:hAnsi="Times New Roman" w:eastAsia="宋体" w:cs="Times New Roman"/>
        </w:rPr>
        <w:t>93.8 dB</w:t>
      </w:r>
      <w:r>
        <w:rPr>
          <w:rFonts w:hint="eastAsia" w:ascii="Times New Roman" w:hAnsi="Times New Roman" w:eastAsia="宋体" w:cs="Times New Roman"/>
        </w:rPr>
        <w:t>）。该研究表明，通过表面功能化与金属化策略，可有效构建高性能、轻质柔性的纤维素基</w:t>
      </w:r>
      <w:r>
        <w:rPr>
          <w:rFonts w:ascii="Times New Roman" w:hAnsi="Times New Roman" w:eastAsia="宋体" w:cs="Times New Roman"/>
        </w:rPr>
        <w:t>EMI</w:t>
      </w:r>
      <w:r>
        <w:rPr>
          <w:rFonts w:hint="eastAsia" w:ascii="Times New Roman" w:hAnsi="Times New Roman" w:eastAsia="宋体" w:cs="Times New Roman"/>
        </w:rPr>
        <w:t>屏蔽材料。</w:t>
      </w:r>
    </w:p>
    <w:p w14:paraId="4998529C">
      <w:pPr>
        <w:keepNext/>
        <w:spacing w:before="240" w:line="300" w:lineRule="auto"/>
        <w:jc w:val="both"/>
      </w:pPr>
    </w:p>
    <w:p w14:paraId="3BB67FBF">
      <w:pPr>
        <w:pStyle w:val="11"/>
        <w:jc w:val="center"/>
        <w:rPr>
          <w:rFonts w:hint="eastAsia" w:ascii="宋体" w:hAnsi="宋体"/>
          <w:sz w:val="24"/>
        </w:rPr>
      </w:pPr>
      <w:r>
        <w:rPr>
          <w:rFonts w:hint="eastAsia" w:ascii="Times New Roman" w:hAnsi="Times New Roman" w:eastAsia="SimHei" w:cs="Times New Roman"/>
          <w:sz w:val="21"/>
          <w:szCs w:val="21"/>
        </w:rPr>
        <w:t xml:space="preserve">图 </w:t>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STYLEREF 1 \s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1</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noBreakHyphen/>
      </w:r>
      <w:r>
        <w:rPr>
          <w:rFonts w:hint="eastAsia" w:ascii="Times New Roman" w:hAnsi="Times New Roman" w:eastAsia="SimHei" w:cs="Times New Roman"/>
          <w:sz w:val="21"/>
          <w:szCs w:val="21"/>
        </w:rPr>
        <w:fldChar w:fldCharType="begin"/>
      </w:r>
      <w:r>
        <w:rPr>
          <w:rFonts w:hint="eastAsia" w:ascii="Times New Roman" w:hAnsi="Times New Roman" w:eastAsia="SimHei" w:cs="Times New Roman"/>
          <w:sz w:val="21"/>
          <w:szCs w:val="21"/>
        </w:rPr>
        <w:instrText xml:space="preserve"> SEQ 图 \* ARABIC \s 1 </w:instrText>
      </w:r>
      <w:r>
        <w:rPr>
          <w:rFonts w:hint="eastAsia" w:ascii="Times New Roman" w:hAnsi="Times New Roman" w:eastAsia="SimHei" w:cs="Times New Roman"/>
          <w:sz w:val="21"/>
          <w:szCs w:val="21"/>
        </w:rPr>
        <w:fldChar w:fldCharType="separate"/>
      </w:r>
      <w:r>
        <w:rPr>
          <w:rFonts w:hint="eastAsia" w:ascii="Times New Roman" w:hAnsi="Times New Roman" w:eastAsia="SimHei" w:cs="Times New Roman"/>
          <w:sz w:val="21"/>
          <w:szCs w:val="21"/>
        </w:rPr>
        <w:t>9</w:t>
      </w:r>
      <w:r>
        <w:rPr>
          <w:rFonts w:hint="eastAsia" w:ascii="Times New Roman" w:hAnsi="Times New Roman" w:eastAsia="SimHei" w:cs="Times New Roman"/>
          <w:sz w:val="21"/>
          <w:szCs w:val="21"/>
        </w:rPr>
        <w:fldChar w:fldCharType="end"/>
      </w:r>
      <w:r>
        <w:rPr>
          <w:rFonts w:hint="eastAsia" w:ascii="Times New Roman" w:hAnsi="Times New Roman" w:eastAsia="SimHei" w:cs="Times New Roman"/>
          <w:sz w:val="21"/>
          <w:szCs w:val="21"/>
        </w:rPr>
        <w:t>CNFs@PDA@AgNPs EMI屏蔽膜的制备方法</w:t>
      </w:r>
      <w:r>
        <w:rPr>
          <w:rFonts w:hint="eastAsia" w:ascii="Times New Roman" w:hAnsi="Times New Roman" w:eastAsia="SimHei" w:cs="Times New Roman"/>
          <w:sz w:val="21"/>
        </w:rPr>
        <w:fldChar w:fldCharType="begin"/>
      </w:r>
      <w:r>
        <w:rPr>
          <w:rFonts w:hint="eastAsia" w:ascii="Times New Roman" w:hAnsi="Times New Roman" w:eastAsia="SimHei" w:cs="Times New Roman"/>
          <w:sz w:val="21"/>
        </w:rPr>
        <w:instrText xml:space="preserve"> ADDIN ZOTERO_ITEM CSL_CITATION {"citationID":"a1t85jb25j6","properties":{"unsorted":false,"formattedCitation":"\\super [23]\\nosupersub{}","plainCitation":"[23]","noteIndex":0},"citationItems":[{"id":314,"uris":["http://zotero.org/users/local/h1SzDwOO/items/KCESTTET"],"itemData":{"id":314,"type":"article-journal","abstract":"High-efficient electromagnetic interference (EMI) shielding films were successfully fabricated by electroless deposition of silver nanoparticles (AgNPs) on polydopamine (PDA) functionalized cellulose nanofibrils (CNFs) as building blocks according to a pressured-extrusion film-forming process. PDA was first functionalized on CNFs by oxidative self-polymerization of dopamine (DA) to synthesize CNFs@PDA, on which AgNPs were electrolessly deposited. The obtained CNFs@PDA@AgNPs composite films served as tightly-connected conductive network, so as to significantly improve the whole electrical conductivity of the EMI shielding films. Utilizing CNFs as green and soft matrix, the fabricated </w:instrText>
      </w:r>
      <w:r>
        <w:rPr>
          <w:rFonts w:ascii="Times New Roman" w:hAnsi="Times New Roman" w:eastAsia="SimHei" w:cs="Times New Roman"/>
          <w:sz w:val="21"/>
        </w:rPr>
        <w:instrText xml:space="preserve">CNFs@PDA@AgNPs EMI films show an outstanding mechanical enduring performance. The CNFs@PDA@AgNPs films with weight ratios of CNFs:AgNO3 = 1:24 exhibited superb electrical conductivity of 1,000,000 S m</w:instrText>
      </w:r>
      <w:r>
        <w:rPr>
          <w:rFonts w:ascii="Times New Roman" w:hAnsi="Times New Roman" w:cs="Times New Roman" w:eastAsia="SimHei"/>
          <w:sz w:val="21"/>
        </w:rPr>
        <w:instrText xml:space="preserve">−</w:instrText>
      </w:r>
      <w:r>
        <w:rPr>
          <w:rFonts w:ascii="Times New Roman" w:hAnsi="Times New Roman" w:eastAsia="SimHei" w:cs="Times New Roman"/>
          <w:sz w:val="21"/>
        </w:rPr>
        <w:instrText xml:space="preserve">1 and remarkable EMI shielding effectiveness of 93.8 d</w:instrText>
      </w:r>
      <w:r>
        <w:rPr>
          <w:rFonts w:hint="eastAsia" w:ascii="Times New Roman" w:hAnsi="Times New Roman" w:eastAsia="SimHei" w:cs="Times New Roman"/>
          <w:sz w:val="21"/>
        </w:rPr>
        <w:instrText xml:space="preserve">B at 8.2 GHz in X band. This work provides a simple methodology to achieve surface metallization of insulating fibers to supersede traditional metals for highly efficient EMI shielding applications.","container-title":"Carbohydrate Polymers","DOI":"10.1016/j.carbpol.2020.116915","ISSN":"0144-8617","journalAbbreviation":"Carbohydr. Polym.","language":"en","page":"116915","source":"ScienceDirect","title":"Electroless deposition of silver nanoparticles on cellulose nanofibrils for electromagnetic interference shielding films","volume":"250","author":[{"family":"Xu","given":"Yanfang"},{"family":"Qian","given":"Kunpeng"},{"family":"Deng","given":"Dongmei"},{"family":"Luo","given":"Liqiang"},{"family":"Ye","given":"Jinhong"},{"family":"Wu","given":"Hongmin"},{"family":"Miao","given":"Miao"},{"family":"Feng","given":"Xin"}],"issued":{"date-parts":[["2020",12,15]]}}}],"schema":"https://github.com/citation-style-language/schema/raw/master/csl-citation.json"} </w:instrText>
      </w:r>
      <w:r>
        <w:rPr>
          <w:rFonts w:hint="eastAsia" w:ascii="Times New Roman" w:hAnsi="Times New Roman" w:eastAsia="SimHei" w:cs="Times New Roman"/>
          <w:sz w:val="21"/>
        </w:rPr>
        <w:fldChar w:fldCharType="separate"/>
      </w:r>
      <w:r>
        <w:rPr>
          <w:rFonts w:ascii="Times New Roman" w:hAnsi="Times New Roman" w:eastAsia="SimHei" w:cs="Times New Roman"/>
          <w:kern w:val="0"/>
          <w:sz w:val="21"/>
          <w:vertAlign w:val="superscript"/>
        </w:rPr>
        <w:t>[23]</w:t>
      </w:r>
      <w:r>
        <w:rPr>
          <w:rFonts w:hint="eastAsia" w:ascii="Times New Roman" w:hAnsi="Times New Roman" w:eastAsia="SimHei" w:cs="Times New Roman"/>
          <w:sz w:val="21"/>
        </w:rPr>
        <w:fldChar w:fldCharType="end"/>
      </w:r>
    </w:p>
    <w:p w14:paraId="12A54FAE">
      <w:pPr>
        <w:pStyle w:val="3"/>
        <w:rPr>
          <w:rFonts w:hint="eastAsia"/>
        </w:rPr>
      </w:pPr>
      <w:bookmarkStart w:id="12" w:name="_Toc229493693"/>
      <w:r>
        <w:rPr>
          <w:rFonts w:hint="eastAsia" w:ascii="Times New Roman" w:hAnsi="Times New Roman" w:eastAsia="宋体" w:cs="Times New Roman"/>
        </w:rPr>
        <w:t>本课题的提出</w:t>
      </w:r>
      <w:bookmarkEnd w:id="12"/>
    </w:p>
    <w:p w14:paraId="22480CE2">
      <w:pPr>
        <w:spacing w:line="300" w:lineRule="auto"/>
        <w:ind w:firstLine="420"/>
        <w:jc w:val="both"/>
        <w:rPr>
          <w:rFonts w:hint="eastAsia" w:ascii="宋体" w:hAnsi="宋体"/>
          <w:color w:val="FF0000"/>
        </w:rPr>
      </w:pPr>
      <w:r>
        <w:rPr>
          <w:rFonts w:hint="eastAsia" w:ascii="Times New Roman" w:hAnsi="Times New Roman" w:eastAsia="宋体" w:cs="Times New Roman"/>
          <w:color w:val="FF0000"/>
        </w:rPr>
        <w:t>随着柔性电子器件与可穿戴技术的快速发展，对轻质、柔性且导电性能良好的功能材料需求日益增长。纤维素作为一种来源广泛、可再生且成膜性能优异的天然高分子材料，在柔性导电材料领域展现出广阔的应用前景。然而，单一纤维素材料导电性较差，难以满足实际应用需求。因此，通过引入导电填料来构建高效导电网络，并对复合结构进行合理调控，已成为当前研究的重点。</w:t>
      </w:r>
    </w:p>
    <w:p w14:paraId="78B5823F">
      <w:pPr>
        <w:spacing w:line="300" w:lineRule="auto"/>
        <w:ind w:firstLine="420"/>
        <w:jc w:val="both"/>
        <w:rPr>
          <w:rFonts w:hint="eastAsia" w:ascii="宋体" w:hAnsi="宋体"/>
          <w:color w:val="FF0000"/>
        </w:rPr>
      </w:pPr>
      <w:r>
        <w:rPr>
          <w:rFonts w:hint="eastAsia" w:ascii="Times New Roman" w:hAnsi="Times New Roman" w:eastAsia="宋体" w:cs="Times New Roman"/>
          <w:color w:val="FF0000"/>
        </w:rPr>
        <w:t>本课题以纳米纤维素为基体，引入醇醚类试剂作为结构调节组分，调控纳米纤维素与醇醚类试剂之间的界面相互作用及分散状态，从而优化复合体系的微观结构并提高其结构稳定性。同时，选用碳纳米管(</w:t>
      </w:r>
      <w:r>
        <w:rPr>
          <w:rFonts w:ascii="Times New Roman" w:hAnsi="Times New Roman" w:eastAsia="宋体" w:cs="Times New Roman"/>
          <w:color w:val="FF0000"/>
        </w:rPr>
        <w:t>CNTs</w:t>
      </w:r>
      <w:r>
        <w:rPr>
          <w:rFonts w:hint="eastAsia" w:ascii="Times New Roman" w:hAnsi="Times New Roman" w:eastAsia="宋体" w:cs="Times New Roman"/>
          <w:color w:val="FF0000"/>
        </w:rPr>
        <w:t>)作为导电填料，采用溶液共混与成膜工艺制备纤维素基导电薄膜，并在此基础上进一步设计导电浆料体系，探索其在柔性基材上的应用性能。</w:t>
      </w:r>
    </w:p>
    <w:p w14:paraId="110385BB">
      <w:pPr>
        <w:spacing w:line="300" w:lineRule="auto"/>
        <w:ind w:firstLine="420"/>
        <w:jc w:val="both"/>
        <w:rPr>
          <w:rFonts w:hint="eastAsia" w:ascii="宋体" w:hAnsi="宋体"/>
          <w:color w:val="FF0000"/>
        </w:rPr>
      </w:pPr>
      <w:r>
        <w:rPr>
          <w:rFonts w:hint="eastAsia" w:ascii="Times New Roman" w:hAnsi="Times New Roman" w:eastAsia="宋体" w:cs="Times New Roman"/>
          <w:color w:val="FF0000"/>
        </w:rPr>
        <w:t>具体而言，首先通过醇醚类试剂调控体系结构，探究其对材料微观形貌与性能的影响规律，并筛选出最优试剂种类及配比；随后，采用分散与共混方法制备CNTs/CNF复合薄膜，研究CNTs含量对薄膜结构及导电性能的影响；最后，对所得导电薄膜进行结构与性能表征，分析浆料的表面张力以及薄膜的表面方阻和电磁屏蔽性能。通过对复合材料制备工艺、结构调控与性能关系的系统研究，旨在为纤维素基柔性导电材料的设计与应用提供理论依据和技术参考。</w:t>
      </w:r>
    </w:p>
    <w:p w14:paraId="3C9F17DF">
      <w:pPr>
        <w:widowControl/>
        <w:jc w:val="both"/>
        <w:rPr>
          <w:rFonts w:hint="eastAsia" w:ascii="宋体" w:hAnsi="宋体"/>
          <w:color w:val="FF0000"/>
        </w:rPr>
      </w:pPr>
      <w:r>
        <w:rPr>
          <w:rFonts w:hint="eastAsia" w:ascii="Times New Roman" w:hAnsi="Times New Roman" w:eastAsia="宋体" w:cs="Times New Roman"/>
          <w:color w:val="FF0000"/>
        </w:rPr>
        <w:br w:type="page"/>
      </w:r>
    </w:p>
    <w:p w14:paraId="0E91E7FB">
      <w:pPr>
        <w:pStyle w:val="2"/>
      </w:pPr>
      <w:bookmarkStart w:id="13" w:name="_Toc198503059"/>
      <w:bookmarkStart w:id="14" w:name="_Toc229493694"/>
      <w:bookmarkStart w:id="15" w:name="_Toc195717267"/>
      <w:r>
        <w:rPr>
          <w:rFonts w:ascii="Times New Roman" w:hAnsi="Times New Roman" w:eastAsia="宋体" w:cs="Times New Roman"/>
        </w:rPr>
        <w:t>实验部分</w:t>
      </w:r>
      <w:bookmarkEnd w:id="13"/>
      <w:bookmarkEnd w:id="14"/>
      <w:bookmarkEnd w:id="15"/>
    </w:p>
    <w:p w14:paraId="0E7D4C12">
      <w:pPr>
        <w:pStyle w:val="3"/>
        <w:rPr>
          <w:rFonts w:hint="eastAsia"/>
        </w:rPr>
      </w:pPr>
      <w:bookmarkStart w:id="16" w:name="_Toc195717268"/>
      <w:bookmarkStart w:id="17" w:name="_Toc198503060"/>
      <w:r>
        <w:rPr>
          <w:rFonts w:hint="eastAsia" w:ascii="Times New Roman" w:hAnsi="Times New Roman" w:eastAsia="宋体" w:cs="Times New Roman"/>
        </w:rPr>
        <w:t xml:space="preserve"> </w:t>
      </w:r>
      <w:bookmarkStart w:id="18" w:name="_Toc229493695"/>
      <w:r>
        <w:rPr>
          <w:rFonts w:hint="eastAsia" w:ascii="Times New Roman" w:hAnsi="Times New Roman" w:eastAsia="宋体" w:cs="Times New Roman"/>
        </w:rPr>
        <w:t>实验原料与</w:t>
      </w:r>
      <w:bookmarkEnd w:id="16"/>
      <w:r>
        <w:rPr>
          <w:rFonts w:hint="eastAsia" w:ascii="Times New Roman" w:hAnsi="Times New Roman" w:eastAsia="宋体" w:cs="Times New Roman"/>
        </w:rPr>
        <w:t>仪器</w:t>
      </w:r>
      <w:bookmarkEnd w:id="17"/>
      <w:bookmarkEnd w:id="18"/>
    </w:p>
    <w:p w14:paraId="65B59FCE">
      <w:pPr>
        <w:ind w:firstLine="480"/>
        <w:jc w:val="both"/>
        <w:rPr>
          <w:color w:val="000000" w:themeColor="text1"/>
          <w14:textFill>
            <w14:solidFill>
              <w14:schemeClr w14:val="tx1"/>
            </w14:solidFill>
          </w14:textFill>
        </w:rPr>
      </w:pPr>
      <w:r>
        <w:rPr>
          <w:rFonts w:hint="eastAsia" w:ascii="Times New Roman" w:hAnsi="Times New Roman" w:eastAsia="宋体" w:cs="Times New Roman"/>
          <w:color w:val="000000" w:themeColor="text1"/>
          <w:szCs w:val="32"/>
          <w14:textFill>
            <w14:solidFill>
              <w14:schemeClr w14:val="tx1"/>
            </w14:solidFill>
          </w14:textFill>
        </w:rPr>
        <w:t>本实验所用实验原料与试剂见下表</w:t>
      </w:r>
      <w:r>
        <w:rPr>
          <w:rFonts w:hint="eastAsia" w:ascii="Times New Roman" w:hAnsi="Times New Roman" w:eastAsia="宋体" w:cs="Times New Roman"/>
          <w:color w:val="000000" w:themeColor="text1"/>
          <w14:textFill>
            <w14:solidFill>
              <w14:schemeClr w14:val="tx1"/>
            </w14:solidFill>
          </w14:textFill>
        </w:rPr>
        <w:t>。</w:t>
      </w:r>
    </w:p>
    <w:p w14:paraId="03C0A1F8">
      <w:pPr>
        <w:pStyle w:val="11"/>
        <w:jc w:val="center"/>
        <w:rPr>
          <w:rFonts w:hint="eastAsia"/>
          <w:color w:val="000000" w:themeColor="text1"/>
          <w:sz w:val="21"/>
          <w:szCs w:val="21"/>
          <w14:textFill>
            <w14:solidFill>
              <w14:schemeClr w14:val="tx1"/>
            </w14:solidFill>
          </w14:textFill>
        </w:rPr>
      </w:pPr>
      <w:r>
        <w:rPr>
          <w:rFonts w:hint="eastAsia" w:ascii="Times New Roman" w:hAnsi="Times New Roman" w:eastAsia="SimHei" w:cs="Times New Roman"/>
          <w:sz w:val="21"/>
          <w:szCs w:val="21"/>
        </w:rPr>
        <w:t>表</w:t>
      </w:r>
      <w:r>
        <w:rPr>
          <w:rFonts w:ascii="Times New Roman" w:hAnsi="Times New Roman" w:cs="Times New Roman" w:eastAsia="SimHei"/>
          <w:color w:val="FF0000"/>
          <w:sz w:val="21"/>
          <w:szCs w:val="21"/>
        </w:rPr>
        <w:fldChar w:fldCharType="begin"/>
      </w:r>
      <w:r>
        <w:rPr>
          <w:rFonts w:ascii="Times New Roman" w:hAnsi="Times New Roman" w:cs="Times New Roman" w:eastAsia="SimHei"/>
          <w:color w:val="FF0000"/>
          <w:sz w:val="21"/>
          <w:szCs w:val="21"/>
        </w:rPr>
        <w:instrText xml:space="preserve"> STYLEREF 1 \s </w:instrText>
      </w:r>
      <w:r>
        <w:rPr>
          <w:rFonts w:ascii="Times New Roman" w:hAnsi="Times New Roman" w:cs="Times New Roman" w:eastAsia="SimHei"/>
          <w:color w:val="FF0000"/>
          <w:sz w:val="21"/>
          <w:szCs w:val="21"/>
        </w:rPr>
        <w:fldChar w:fldCharType="separate"/>
      </w:r>
      <w:r>
        <w:rPr>
          <w:rFonts w:ascii="Times New Roman" w:hAnsi="Times New Roman" w:cs="Times New Roman" w:eastAsia="SimHei"/>
          <w:color w:val="FF0000"/>
          <w:sz w:val="21"/>
          <w:szCs w:val="21"/>
        </w:rPr>
        <w:t>2</w:t>
      </w:r>
      <w:r>
        <w:rPr>
          <w:rFonts w:ascii="Times New Roman" w:hAnsi="Times New Roman" w:cs="Times New Roman" w:eastAsia="SimHei"/>
          <w:color w:val="FF0000"/>
          <w:sz w:val="21"/>
          <w:szCs w:val="21"/>
        </w:rPr>
        <w:fldChar w:fldCharType="end"/>
      </w:r>
      <w:r>
        <w:rPr>
          <w:rFonts w:ascii="Times New Roman" w:hAnsi="Times New Roman" w:cs="Times New Roman" w:eastAsia="SimHei"/>
          <w:color w:val="FF0000"/>
          <w:sz w:val="21"/>
          <w:szCs w:val="21"/>
        </w:rPr>
        <w:noBreakHyphen/>
      </w:r>
      <w:r>
        <w:rPr>
          <w:rFonts w:ascii="Times New Roman" w:hAnsi="Times New Roman" w:cs="Times New Roman" w:eastAsia="SimHei"/>
          <w:color w:val="FF0000"/>
          <w:sz w:val="21"/>
          <w:szCs w:val="21"/>
        </w:rPr>
        <w:fldChar w:fldCharType="begin"/>
      </w:r>
      <w:r>
        <w:rPr>
          <w:rFonts w:ascii="Times New Roman" w:hAnsi="Times New Roman" w:cs="Times New Roman" w:eastAsia="SimHei"/>
          <w:color w:val="FF0000"/>
          <w:sz w:val="21"/>
          <w:szCs w:val="21"/>
        </w:rPr>
        <w:instrText xml:space="preserve"> SEQ 表 \* ARABIC \s 1 </w:instrText>
      </w:r>
      <w:r>
        <w:rPr>
          <w:rFonts w:ascii="Times New Roman" w:hAnsi="Times New Roman" w:cs="Times New Roman" w:eastAsia="SimHei"/>
          <w:color w:val="FF0000"/>
          <w:sz w:val="21"/>
          <w:szCs w:val="21"/>
        </w:rPr>
        <w:fldChar w:fldCharType="separate"/>
      </w:r>
      <w:r>
        <w:rPr>
          <w:rFonts w:ascii="Times New Roman" w:hAnsi="Times New Roman" w:cs="Times New Roman" w:eastAsia="SimHei"/>
          <w:color w:val="FF0000"/>
          <w:sz w:val="21"/>
          <w:szCs w:val="21"/>
        </w:rPr>
        <w:t>1</w:t>
      </w:r>
      <w:r>
        <w:rPr>
          <w:rFonts w:ascii="Times New Roman" w:hAnsi="Times New Roman" w:cs="Times New Roman" w:eastAsia="SimHei"/>
          <w:color w:val="FF0000"/>
          <w:sz w:val="21"/>
          <w:szCs w:val="21"/>
        </w:rPr>
        <w:fldChar w:fldCharType="end"/>
      </w:r>
      <w:r>
        <w:rPr>
          <w:rFonts w:ascii="Times New Roman" w:hAnsi="Times New Roman" w:cs="Times New Roman" w:eastAsia="SimHei"/>
          <w:color w:val="FF0000"/>
          <w:sz w:val="21"/>
          <w:szCs w:val="21"/>
        </w:rPr>
        <w:t xml:space="preserve"> </w:t>
      </w:r>
      <w:r>
        <w:rPr>
          <w:rFonts w:hint="eastAsia" w:ascii="Times New Roman" w:hAnsi="Times New Roman" w:cs="Times New Roman" w:eastAsia="SimHei"/>
          <w:color w:val="FF0000"/>
          <w:sz w:val="21"/>
          <w:szCs w:val="21"/>
        </w:rPr>
        <w:t xml:space="preserve"> </w:t>
      </w:r>
      <w:r>
        <w:rPr>
          <w:rFonts w:hint="eastAsia" w:ascii="Times New Roman" w:hAnsi="Times New Roman" w:eastAsia="SimHei" w:cs="Times New Roman"/>
          <w:color w:val="000000" w:themeColor="text1"/>
          <w:sz w:val="21"/>
          <w:szCs w:val="21"/>
          <w14:textFill>
            <w14:solidFill>
              <w14:schemeClr w14:val="tx1"/>
            </w14:solidFill>
          </w14:textFill>
        </w:rPr>
        <w:t>实验原料与试剂</w:t>
      </w:r>
    </w:p>
    <w:tbl>
      <w:tblPr>
        <w:tblStyle w:val="4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41"/>
        <w:gridCol w:w="2224"/>
        <w:gridCol w:w="2941"/>
      </w:tblGrid>
      <w:tr w14:paraId="6169C77E">
        <w:tc>
          <w:tcPr>
            <w:tcW w:w="3141" w:type="dxa"/>
            <w:tcBorders>
              <w:top w:val="single" w:color="auto" w:sz="12" w:space="0"/>
              <w:left w:val="nil"/>
              <w:bottom w:val="single" w:color="auto" w:sz="6" w:space="0"/>
              <w:right w:val="nil"/>
              <w:insideH w:val="single" w:sz="6" w:space="0"/>
              <w:insideV w:val="nil"/>
              <w:tl2br w:val="nil"/>
              <w:tr2bl w:val="nil"/>
            </w:tcBorders>
          </w:tcPr>
          <w:p w14:paraId="10124B70">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ascii="Times New Roman" w:hAnsi="Times New Roman" w:eastAsia="宋体" w:cs="Times New Roman"/>
                <w:b w:val="0"/>
                <w:i w:val="0"/>
                <w:color w:val="000000" w:themeColor="text1"/>
                <w:kern w:val="0"/>
                <w:sz w:val="18"/>
                <w:szCs w:val="18"/>
                <w14:textFill>
                  <w14:solidFill>
                    <w14:schemeClr w14:val="tx1"/>
                  </w14:solidFill>
                </w14:textFill>
              </w:rPr>
              <w:t>原料和试剂</w:t>
            </w:r>
          </w:p>
        </w:tc>
        <w:tc>
          <w:tcPr>
            <w:tcW w:w="2224" w:type="dxa"/>
            <w:tcBorders>
              <w:top w:val="single" w:color="auto" w:sz="12" w:space="0"/>
              <w:bottom w:val="single" w:color="auto" w:sz="6" w:space="0"/>
              <w:right w:val="nil"/>
              <w:insideH w:val="single" w:sz="6" w:space="0"/>
              <w:insideV w:val="nil"/>
              <w:tl2br w:val="nil"/>
              <w:tr2bl w:val="nil"/>
            </w:tcBorders>
          </w:tcPr>
          <w:p w14:paraId="28E4BED6">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ascii="Times New Roman" w:hAnsi="Times New Roman" w:eastAsia="宋体" w:cs="Times New Roman"/>
                <w:b w:val="0"/>
                <w:i w:val="0"/>
                <w:color w:val="000000" w:themeColor="text1"/>
                <w:kern w:val="0"/>
                <w:sz w:val="18"/>
                <w:szCs w:val="18"/>
                <w14:textFill>
                  <w14:solidFill>
                    <w14:schemeClr w14:val="tx1"/>
                  </w14:solidFill>
                </w14:textFill>
              </w:rPr>
              <w:t>规格</w:t>
            </w:r>
          </w:p>
        </w:tc>
        <w:tc>
          <w:tcPr>
            <w:tcW w:w="2941" w:type="dxa"/>
            <w:tcBorders>
              <w:top w:val="single" w:color="auto" w:sz="12" w:space="0"/>
              <w:bottom w:val="single" w:color="auto" w:sz="6" w:space="0"/>
              <w:right w:val="nil"/>
              <w:insideH w:val="single" w:sz="6" w:space="0"/>
              <w:insideV w:val="nil"/>
              <w:tl2br w:val="nil"/>
              <w:tr2bl w:val="nil"/>
            </w:tcBorders>
          </w:tcPr>
          <w:p w14:paraId="6A79E597">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ascii="Times New Roman" w:hAnsi="Times New Roman" w:eastAsia="宋体" w:cs="Times New Roman"/>
                <w:b w:val="0"/>
                <w:i w:val="0"/>
                <w:color w:val="000000" w:themeColor="text1"/>
                <w:kern w:val="0"/>
                <w:sz w:val="18"/>
                <w:szCs w:val="18"/>
                <w14:textFill>
                  <w14:solidFill>
                    <w14:schemeClr w14:val="tx1"/>
                  </w14:solidFill>
                </w14:textFill>
              </w:rPr>
              <w:t>生产厂家</w:t>
            </w:r>
          </w:p>
        </w:tc>
      </w:tr>
      <w:tr w14:paraId="460636EA">
        <w:tc>
          <w:tcPr>
            <w:tcW w:w="3141" w:type="dxa"/>
          </w:tcPr>
          <w:p w14:paraId="32170D5B">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纤维素纳米晶水分散液</w:t>
            </w:r>
          </w:p>
        </w:tc>
        <w:tc>
          <w:tcPr>
            <w:tcW w:w="2224" w:type="dxa"/>
          </w:tcPr>
          <w:p w14:paraId="39683B12">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5.0 wt%</w:t>
            </w:r>
          </w:p>
        </w:tc>
        <w:tc>
          <w:tcPr>
            <w:tcW w:w="2941" w:type="dxa"/>
          </w:tcPr>
          <w:p w14:paraId="6EAEE14D">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绍兴跃维新材料科技有限公司</w:t>
            </w:r>
          </w:p>
        </w:tc>
      </w:tr>
      <w:tr w14:paraId="378FC3DD">
        <w:tc>
          <w:tcPr>
            <w:tcW w:w="3141" w:type="dxa"/>
          </w:tcPr>
          <w:p w14:paraId="6E1126B7">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纳米纤维素水分散液</w:t>
            </w:r>
          </w:p>
        </w:tc>
        <w:tc>
          <w:tcPr>
            <w:tcW w:w="2224" w:type="dxa"/>
          </w:tcPr>
          <w:p w14:paraId="6D6AD209">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10 wt%</w:t>
            </w:r>
          </w:p>
        </w:tc>
        <w:tc>
          <w:tcPr>
            <w:tcW w:w="2941" w:type="dxa"/>
          </w:tcPr>
          <w:p w14:paraId="45D28045">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绍兴跃维新材料科技有限公司</w:t>
            </w:r>
          </w:p>
        </w:tc>
      </w:tr>
      <w:tr w14:paraId="16B9751F">
        <w:tc>
          <w:tcPr>
            <w:tcW w:w="3141" w:type="dxa"/>
          </w:tcPr>
          <w:p w14:paraId="3396F14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去离子水</w:t>
            </w:r>
          </w:p>
        </w:tc>
        <w:tc>
          <w:tcPr>
            <w:tcW w:w="2224" w:type="dxa"/>
          </w:tcPr>
          <w:p w14:paraId="40B23995">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w:t>
            </w:r>
          </w:p>
        </w:tc>
        <w:tc>
          <w:tcPr>
            <w:tcW w:w="2941" w:type="dxa"/>
          </w:tcPr>
          <w:p w14:paraId="1057E359">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自制</w:t>
            </w:r>
          </w:p>
        </w:tc>
      </w:tr>
      <w:tr w14:paraId="294691BC">
        <w:tc>
          <w:tcPr>
            <w:tcW w:w="3141" w:type="dxa"/>
          </w:tcPr>
          <w:p w14:paraId="7446EDB5">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乙醇</w:t>
            </w:r>
          </w:p>
        </w:tc>
        <w:tc>
          <w:tcPr>
            <w:tcW w:w="2224" w:type="dxa"/>
          </w:tcPr>
          <w:p w14:paraId="601A3BF4">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AR，95%</w:t>
            </w:r>
          </w:p>
        </w:tc>
        <w:tc>
          <w:tcPr>
            <w:tcW w:w="2941" w:type="dxa"/>
          </w:tcPr>
          <w:p w14:paraId="697ADB93">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上海阿拉丁生化科技股份有限公司</w:t>
            </w:r>
          </w:p>
        </w:tc>
      </w:tr>
      <w:tr w14:paraId="12BB57C2">
        <w:tc>
          <w:tcPr>
            <w:tcW w:w="3141" w:type="dxa"/>
          </w:tcPr>
          <w:p w14:paraId="2E8DBC2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丙二醇丙醚</w:t>
            </w:r>
          </w:p>
        </w:tc>
        <w:tc>
          <w:tcPr>
            <w:tcW w:w="2224" w:type="dxa"/>
          </w:tcPr>
          <w:p w14:paraId="0E772073">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≥99%</w:t>
            </w:r>
          </w:p>
        </w:tc>
        <w:tc>
          <w:tcPr>
            <w:tcW w:w="2941" w:type="dxa"/>
          </w:tcPr>
          <w:p w14:paraId="0B2482D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上海阿拉丁生化科技股份有限公司</w:t>
            </w:r>
          </w:p>
        </w:tc>
      </w:tr>
      <w:tr w14:paraId="021D0CD7">
        <w:tc>
          <w:tcPr>
            <w:tcW w:w="3141" w:type="dxa"/>
          </w:tcPr>
          <w:p w14:paraId="6E1CE6E8">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2-甲基-</w:t>
            </w:r>
            <w:r>
              <w:rPr>
                <w:rFonts w:hint="eastAsia" w:ascii="Times New Roman" w:hAnsi="Times New Roman" w:eastAsia="宋体" w:cs="Times New Roman"/>
                <w:color w:val="FF0000"/>
                <w:kern w:val="0"/>
                <w:sz w:val="18"/>
                <w:szCs w:val="18"/>
              </w:rPr>
              <w:t>2,</w:t>
            </w:r>
            <w:r>
              <w:rPr>
                <w:rFonts w:ascii="Times New Roman" w:hAnsi="Times New Roman" w:eastAsia="宋体" w:cs="Times New Roman"/>
                <w:color w:val="FF0000"/>
                <w:kern w:val="0"/>
                <w:sz w:val="18"/>
                <w:szCs w:val="18"/>
              </w:rPr>
              <w:t xml:space="preserve"> </w:t>
            </w:r>
            <w:r>
              <w:rPr>
                <w:rFonts w:hint="eastAsia" w:ascii="Times New Roman" w:hAnsi="Times New Roman" w:eastAsia="宋体" w:cs="Times New Roman"/>
                <w:color w:val="FF0000"/>
                <w:kern w:val="0"/>
                <w:sz w:val="18"/>
                <w:szCs w:val="18"/>
              </w:rPr>
              <w:t>4</w:t>
            </w:r>
            <w:r>
              <w:rPr>
                <w:rFonts w:hint="eastAsia" w:ascii="Times New Roman" w:hAnsi="Times New Roman" w:eastAsia="宋体" w:cs="Times New Roman"/>
                <w:color w:val="000000" w:themeColor="text1"/>
                <w:kern w:val="0"/>
                <w:sz w:val="18"/>
                <w:szCs w:val="18"/>
                <w14:textFill>
                  <w14:solidFill>
                    <w14:schemeClr w14:val="tx1"/>
                  </w14:solidFill>
                </w14:textFill>
              </w:rPr>
              <w:t>-戊二醇</w:t>
            </w:r>
          </w:p>
        </w:tc>
        <w:tc>
          <w:tcPr>
            <w:tcW w:w="2224" w:type="dxa"/>
          </w:tcPr>
          <w:p w14:paraId="65D35601">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≥99%</w:t>
            </w:r>
          </w:p>
        </w:tc>
        <w:tc>
          <w:tcPr>
            <w:tcW w:w="2941" w:type="dxa"/>
          </w:tcPr>
          <w:p w14:paraId="77974ACA">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上海阿拉丁生化科技股份有限公司</w:t>
            </w:r>
          </w:p>
        </w:tc>
      </w:tr>
      <w:tr w14:paraId="207C7337">
        <w:tc>
          <w:tcPr>
            <w:tcW w:w="3141" w:type="dxa"/>
          </w:tcPr>
          <w:p w14:paraId="6A018A67">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三丙二醇单甲醚</w:t>
            </w:r>
          </w:p>
        </w:tc>
        <w:tc>
          <w:tcPr>
            <w:tcW w:w="2224" w:type="dxa"/>
          </w:tcPr>
          <w:p w14:paraId="58276E54">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≥99%</w:t>
            </w:r>
          </w:p>
        </w:tc>
        <w:tc>
          <w:tcPr>
            <w:tcW w:w="2941" w:type="dxa"/>
          </w:tcPr>
          <w:p w14:paraId="7BC06F58">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上海麦克林生化科技股份有限公司</w:t>
            </w:r>
          </w:p>
        </w:tc>
      </w:tr>
      <w:tr w14:paraId="752A19D8">
        <w:tc>
          <w:tcPr>
            <w:tcW w:w="3141" w:type="dxa"/>
          </w:tcPr>
          <w:p w14:paraId="0DDC3FB7">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羧基化多壁碳纳米管</w:t>
            </w:r>
          </w:p>
        </w:tc>
        <w:tc>
          <w:tcPr>
            <w:tcW w:w="2224" w:type="dxa"/>
          </w:tcPr>
          <w:p w14:paraId="5585007C">
            <w:pPr>
              <w:spacing w:line="25" w:lineRule="atLeast"/>
              <w:ind w:left="360" w:hanging="360" w:hangingChars="200"/>
              <w:jc w:val="left"/>
              <w:rPr>
                <w:color w:val="000000" w:themeColor="text1"/>
                <w:kern w:val="0"/>
                <w:sz w:val="18"/>
                <w:szCs w:val="18"/>
                <w14:textFill>
                  <w14:solidFill>
                    <w14:schemeClr w14:val="tx1"/>
                  </w14:solidFill>
                </w14:textFill>
              </w:rPr>
            </w:pPr>
            <w:commentRangeStart w:id="0"/>
            <w:r>
              <w:rPr>
                <w:rFonts w:hint="eastAsia" w:ascii="Times New Roman" w:hAnsi="Times New Roman" w:eastAsia="宋体" w:cs="Times New Roman"/>
                <w:color w:val="000000" w:themeColor="text1"/>
                <w:kern w:val="0"/>
                <w:sz w:val="18"/>
                <w:szCs w:val="18"/>
                <w14:textFill>
                  <w14:solidFill>
                    <w14:schemeClr w14:val="tx1"/>
                  </w14:solidFill>
                </w14:textFill>
              </w:rPr>
              <w:t>95%</w:t>
            </w:r>
            <w:r>
              <w:rPr>
                <w:rFonts w:ascii="Times New Roman" w:hAnsi="Times New Roman" w:eastAsia="宋体" w:cs="Times New Roman"/>
                <w:color w:val="000000" w:themeColor="text1"/>
                <w:kern w:val="0"/>
                <w:sz w:val="18"/>
                <w:szCs w:val="18"/>
                <w14:textFill>
                  <w14:solidFill>
                    <w14:schemeClr w14:val="tx1"/>
                  </w14:solidFill>
                </w14:textFill>
              </w:rPr>
              <w:t xml:space="preserve">, </w:t>
            </w:r>
            <w:commentRangeEnd w:id="0"/>
            <w:r>
              <w:rPr>
                <w:rFonts w:ascii="Times New Roman" w:hAnsi="Times New Roman" w:eastAsia="宋体" w:cs="Times New Roman"/>
                <w:rStyle w:val="26"/>
                <w:color w:val="000000" w:themeColor="text1"/>
                <w:kern w:val="0"/>
                <w:sz w:val="18"/>
                <w:szCs w:val="18"/>
                <w14:textFill>
                  <w14:solidFill>
                    <w14:schemeClr w14:val="tx1"/>
                  </w14:solidFill>
                </w14:textFill>
              </w:rPr>
              <w:commentReference w:id="0"/>
            </w:r>
          </w:p>
        </w:tc>
        <w:tc>
          <w:tcPr>
            <w:tcW w:w="2941" w:type="dxa"/>
          </w:tcPr>
          <w:p w14:paraId="6A7066F1">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先丰纳米</w:t>
            </w:r>
          </w:p>
        </w:tc>
      </w:tr>
    </w:tbl>
    <w:p w14:paraId="2159C53C">
      <w:pPr>
        <w:ind w:firstLine="480"/>
        <w:jc w:val="both"/>
        <w:rPr>
          <w:color w:val="000000" w:themeColor="text1"/>
          <w:szCs w:val="32"/>
          <w14:textFill>
            <w14:solidFill>
              <w14:schemeClr w14:val="tx1"/>
            </w14:solidFill>
          </w14:textFill>
        </w:rPr>
      </w:pPr>
      <w:r>
        <w:rPr>
          <w:rFonts w:hint="eastAsia" w:ascii="Times New Roman" w:hAnsi="Times New Roman" w:eastAsia="宋体" w:cs="Times New Roman"/>
          <w:color w:val="000000" w:themeColor="text1"/>
          <w:szCs w:val="32"/>
          <w14:textFill>
            <w14:solidFill>
              <w14:schemeClr w14:val="tx1"/>
            </w14:solidFill>
          </w14:textFill>
        </w:rPr>
        <w:t>本实验所用实验仪器与设备如下表所示。</w:t>
      </w:r>
    </w:p>
    <w:p w14:paraId="0BF0615F">
      <w:pPr>
        <w:pStyle w:val="11"/>
        <w:jc w:val="center"/>
        <w:rPr>
          <w:rFonts w:hint="eastAsia"/>
          <w:color w:val="000000" w:themeColor="text1"/>
          <w14:textFill>
            <w14:solidFill>
              <w14:schemeClr w14:val="tx1"/>
            </w14:solidFill>
          </w14:textFill>
        </w:rPr>
      </w:pPr>
      <w:r>
        <w:rPr>
          <w:rFonts w:hint="eastAsia" w:ascii="Times New Roman" w:hAnsi="Times New Roman" w:eastAsia="SimHei" w:cs="Times New Roman"/>
          <w:sz w:val="21"/>
        </w:rPr>
        <w:t>表2-2  实验仪器与设备</w:t>
      </w:r>
      <w:r>
        <w:rPr>
          <w:rFonts w:ascii="Times New Roman" w:hAnsi="Times New Roman" w:cs="Times New Roman" w:eastAsia="SimHei"/>
          <w:color w:val="FF0000"/>
          <w:sz w:val="21"/>
        </w:rPr>
      </w:r>
      <w:r>
        <w:rPr>
          <w:rFonts w:ascii="Times New Roman" w:hAnsi="Times New Roman" w:cs="Times New Roman" w:eastAsia="SimHei"/>
          <w:color w:val="FF0000"/>
          <w:sz w:val="21"/>
        </w:rPr>
      </w:r>
      <w:r>
        <w:rPr>
          <w:rFonts w:ascii="Times New Roman" w:hAnsi="Times New Roman" w:cs="Times New Roman" w:eastAsia="SimHei"/>
          <w:color w:val="FF0000"/>
          <w:sz w:val="21"/>
        </w:rPr>
      </w:r>
      <w:r>
        <w:rPr>
          <w:rFonts w:ascii="Times New Roman" w:hAnsi="Times New Roman" w:cs="Times New Roman" w:eastAsia="SimHei"/>
          <w:color w:val="FF0000"/>
          <w:sz w:val="21"/>
        </w:rPr>
      </w:r>
      <w:r>
        <w:rPr>
          <w:rFonts w:ascii="Times New Roman" w:hAnsi="Times New Roman" w:cs="Times New Roman" w:eastAsia="SimHei"/>
          <w:color w:val="FF0000"/>
          <w:sz w:val="21"/>
        </w:rPr>
      </w:r>
      <w:r>
        <w:rPr>
          <w:rFonts w:ascii="Times New Roman" w:hAnsi="Times New Roman" w:cs="Times New Roman" w:eastAsia="SimHei"/>
          <w:color w:val="FF0000"/>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eastAsia="SimHei" w:cs="Times New Roman"/>
          <w:color w:val="000000" w:themeColor="text1"/>
          <w14:textFill>
            <w14:solidFill>
              <w14:schemeClr w14:val="tx1"/>
            </w14:solidFill>
          </w14:textFill>
          <w:sz w:val="21"/>
        </w:rPr>
      </w:r>
    </w:p>
    <w:tbl>
      <w:tblPr>
        <w:tblStyle w:val="48"/>
        <w:tblW w:w="852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7"/>
        <w:gridCol w:w="2268"/>
        <w:gridCol w:w="3027"/>
      </w:tblGrid>
      <w:tr w14:paraId="44A1B5FB">
        <w:tc>
          <w:tcPr>
            <w:tcW w:w="3227" w:type="dxa"/>
            <w:tcBorders>
              <w:top w:val="single" w:color="auto" w:sz="12" w:space="0"/>
              <w:left w:val="nil"/>
              <w:bottom w:val="single" w:color="auto" w:sz="6" w:space="0"/>
              <w:right w:val="nil"/>
              <w:insideH w:val="single" w:sz="6" w:space="0"/>
              <w:insideV w:val="nil"/>
              <w:tl2br w:val="nil"/>
              <w:tr2bl w:val="nil"/>
            </w:tcBorders>
          </w:tcPr>
          <w:p w14:paraId="1FD4336F">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ascii="Times New Roman" w:hAnsi="Times New Roman" w:eastAsia="宋体" w:cs="Times New Roman"/>
                <w:b w:val="0"/>
                <w:i w:val="0"/>
                <w:color w:val="000000" w:themeColor="text1"/>
                <w:kern w:val="0"/>
                <w:sz w:val="18"/>
                <w:szCs w:val="18"/>
                <w14:textFill>
                  <w14:solidFill>
                    <w14:schemeClr w14:val="tx1"/>
                  </w14:solidFill>
                </w14:textFill>
              </w:rPr>
              <w:t>仪器和设备</w:t>
            </w:r>
          </w:p>
        </w:tc>
        <w:tc>
          <w:tcPr>
            <w:tcW w:w="2268" w:type="dxa"/>
            <w:tcBorders>
              <w:top w:val="single" w:color="auto" w:sz="12" w:space="0"/>
              <w:bottom w:val="single" w:color="auto" w:sz="6" w:space="0"/>
              <w:right w:val="nil"/>
              <w:insideH w:val="single" w:sz="6" w:space="0"/>
              <w:insideV w:val="nil"/>
              <w:tl2br w:val="nil"/>
              <w:tr2bl w:val="nil"/>
            </w:tcBorders>
          </w:tcPr>
          <w:p w14:paraId="2AC5EC76">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ascii="Times New Roman" w:hAnsi="Times New Roman" w:eastAsia="宋体" w:cs="Times New Roman"/>
                <w:b w:val="0"/>
                <w:i w:val="0"/>
                <w:color w:val="000000" w:themeColor="text1"/>
                <w:kern w:val="0"/>
                <w:sz w:val="18"/>
                <w:szCs w:val="18"/>
                <w14:textFill>
                  <w14:solidFill>
                    <w14:schemeClr w14:val="tx1"/>
                  </w14:solidFill>
                </w14:textFill>
              </w:rPr>
              <w:t>型号</w:t>
            </w:r>
          </w:p>
        </w:tc>
        <w:tc>
          <w:tcPr>
            <w:tcW w:w="3027" w:type="dxa"/>
            <w:tcBorders>
              <w:top w:val="single" w:color="auto" w:sz="12" w:space="0"/>
              <w:bottom w:val="single" w:color="auto" w:sz="6" w:space="0"/>
              <w:right w:val="nil"/>
              <w:insideH w:val="single" w:sz="6" w:space="0"/>
              <w:insideV w:val="nil"/>
              <w:tl2br w:val="nil"/>
              <w:tr2bl w:val="nil"/>
            </w:tcBorders>
          </w:tcPr>
          <w:p w14:paraId="060D3B1F">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ascii="Times New Roman" w:hAnsi="Times New Roman" w:eastAsia="宋体" w:cs="Times New Roman"/>
                <w:b w:val="0"/>
                <w:i w:val="0"/>
                <w:color w:val="000000" w:themeColor="text1"/>
                <w:kern w:val="0"/>
                <w:sz w:val="18"/>
                <w:szCs w:val="18"/>
                <w14:textFill>
                  <w14:solidFill>
                    <w14:schemeClr w14:val="tx1"/>
                  </w14:solidFill>
                </w14:textFill>
              </w:rPr>
              <w:t>生产厂家</w:t>
            </w:r>
          </w:p>
        </w:tc>
      </w:tr>
      <w:tr w14:paraId="2AFE088C">
        <w:tc>
          <w:tcPr>
            <w:tcW w:w="3227" w:type="dxa"/>
          </w:tcPr>
          <w:p w14:paraId="0ACF2DFC">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电子天平</w:t>
            </w:r>
          </w:p>
        </w:tc>
        <w:tc>
          <w:tcPr>
            <w:tcW w:w="2268" w:type="dxa"/>
          </w:tcPr>
          <w:p w14:paraId="4923E12E">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MS204S</w:t>
            </w:r>
          </w:p>
        </w:tc>
        <w:tc>
          <w:tcPr>
            <w:tcW w:w="3027" w:type="dxa"/>
          </w:tcPr>
          <w:p w14:paraId="00828A3D">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瑞士梅特勒-托利多集团</w:t>
            </w:r>
          </w:p>
        </w:tc>
      </w:tr>
      <w:tr w14:paraId="25FC67F2">
        <w:tc>
          <w:tcPr>
            <w:tcW w:w="3227" w:type="dxa"/>
          </w:tcPr>
          <w:p w14:paraId="51C539DC">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超声波精洗器</w:t>
            </w:r>
          </w:p>
        </w:tc>
        <w:tc>
          <w:tcPr>
            <w:tcW w:w="2268" w:type="dxa"/>
          </w:tcPr>
          <w:p w14:paraId="1649809F">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SK3200H</w:t>
            </w:r>
          </w:p>
        </w:tc>
        <w:tc>
          <w:tcPr>
            <w:tcW w:w="3027" w:type="dxa"/>
          </w:tcPr>
          <w:p w14:paraId="1CD8031E">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上海科导超声仪器有限公司</w:t>
            </w:r>
          </w:p>
        </w:tc>
      </w:tr>
      <w:tr w14:paraId="345786BA">
        <w:tc>
          <w:tcPr>
            <w:tcW w:w="3227" w:type="dxa"/>
          </w:tcPr>
          <w:p w14:paraId="11FF4877">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磁力搅拌器</w:t>
            </w:r>
          </w:p>
        </w:tc>
        <w:tc>
          <w:tcPr>
            <w:tcW w:w="2268" w:type="dxa"/>
          </w:tcPr>
          <w:p w14:paraId="098BB86D">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S82-2</w:t>
            </w:r>
          </w:p>
        </w:tc>
        <w:tc>
          <w:tcPr>
            <w:tcW w:w="3027" w:type="dxa"/>
          </w:tcPr>
          <w:p w14:paraId="502EF41B">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上海志威电器有限公司</w:t>
            </w:r>
          </w:p>
        </w:tc>
      </w:tr>
      <w:tr w14:paraId="47C0A9F2">
        <w:tc>
          <w:tcPr>
            <w:tcW w:w="3227" w:type="dxa"/>
          </w:tcPr>
          <w:p w14:paraId="639DB695">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强制对流通用烘箱</w:t>
            </w:r>
          </w:p>
        </w:tc>
        <w:tc>
          <w:tcPr>
            <w:tcW w:w="2268" w:type="dxa"/>
          </w:tcPr>
          <w:p w14:paraId="34725F9A">
            <w:pPr>
              <w:spacing w:line="25" w:lineRule="atLeast"/>
              <w:ind w:left="360" w:hanging="360" w:hangingChars="200"/>
              <w:jc w:val="left"/>
              <w:rPr>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UF57</w:t>
            </w:r>
          </w:p>
        </w:tc>
        <w:tc>
          <w:tcPr>
            <w:tcW w:w="3027" w:type="dxa"/>
          </w:tcPr>
          <w:p w14:paraId="22CA58E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北京联合科力科技</w:t>
            </w:r>
          </w:p>
        </w:tc>
      </w:tr>
      <w:tr w14:paraId="7D3F0A5A">
        <w:tc>
          <w:tcPr>
            <w:tcW w:w="3227" w:type="dxa"/>
          </w:tcPr>
          <w:p w14:paraId="6E9ABA26">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扫描电子显微镜</w:t>
            </w:r>
          </w:p>
        </w:tc>
        <w:tc>
          <w:tcPr>
            <w:tcW w:w="2268" w:type="dxa"/>
          </w:tcPr>
          <w:p w14:paraId="40E44099">
            <w:pPr>
              <w:spacing w:line="25" w:lineRule="atLeast"/>
              <w:ind w:left="0" w:firstLine="0" w:firstLineChars="0"/>
              <w:jc w:val="left"/>
              <w:rPr>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SEM:SU380</w:t>
            </w:r>
            <w:r>
              <w:rPr>
                <w:rFonts w:hint="eastAsia" w:ascii="Times New Roman" w:hAnsi="Times New Roman" w:eastAsia="宋体" w:cs="Times New Roman"/>
                <w:color w:val="000000" w:themeColor="text1"/>
                <w:kern w:val="0"/>
                <w:sz w:val="18"/>
                <w:szCs w:val="18"/>
                <w14:textFill>
                  <w14:solidFill>
                    <w14:schemeClr w14:val="tx1"/>
                  </w14:solidFill>
                </w14:textFill>
              </w:rPr>
              <w:t>0</w:t>
            </w:r>
          </w:p>
        </w:tc>
        <w:tc>
          <w:tcPr>
            <w:tcW w:w="3027" w:type="dxa"/>
          </w:tcPr>
          <w:p w14:paraId="0F8F0853">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株式会社日立</w:t>
            </w:r>
          </w:p>
        </w:tc>
      </w:tr>
      <w:tr w14:paraId="6E2E8812">
        <w:tc>
          <w:tcPr>
            <w:tcW w:w="3227" w:type="dxa"/>
          </w:tcPr>
          <w:p w14:paraId="705EE31B">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四探针表面电阻分析仪</w:t>
            </w:r>
          </w:p>
        </w:tc>
        <w:tc>
          <w:tcPr>
            <w:tcW w:w="2268" w:type="dxa"/>
          </w:tcPr>
          <w:p w14:paraId="033B8676">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M-3</w:t>
            </w:r>
          </w:p>
        </w:tc>
        <w:tc>
          <w:tcPr>
            <w:tcW w:w="3027" w:type="dxa"/>
          </w:tcPr>
          <w:p w14:paraId="1DA215E4">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苏州晶格电子有限公司</w:t>
            </w:r>
          </w:p>
        </w:tc>
      </w:tr>
      <w:tr w14:paraId="18B590A1">
        <w:tc>
          <w:tcPr>
            <w:tcW w:w="3227" w:type="dxa"/>
          </w:tcPr>
          <w:p w14:paraId="767D135B">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马尔文激光粒度仪</w:t>
            </w:r>
          </w:p>
        </w:tc>
        <w:tc>
          <w:tcPr>
            <w:tcW w:w="2268" w:type="dxa"/>
          </w:tcPr>
          <w:p w14:paraId="375C8338">
            <w:pPr>
              <w:spacing w:line="25" w:lineRule="atLeast"/>
              <w:ind w:left="0" w:firstLine="0" w:firstLineChars="0"/>
              <w:jc w:val="left"/>
              <w:rPr>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MasterSizer 3000</w:t>
            </w:r>
          </w:p>
        </w:tc>
        <w:tc>
          <w:tcPr>
            <w:tcW w:w="3027" w:type="dxa"/>
          </w:tcPr>
          <w:p w14:paraId="7322CA3E">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英国马尔文仪器公司</w:t>
            </w:r>
          </w:p>
        </w:tc>
      </w:tr>
      <w:tr w14:paraId="41E9443E">
        <w:tc>
          <w:tcPr>
            <w:tcW w:w="3227" w:type="dxa"/>
          </w:tcPr>
          <w:p w14:paraId="1B9897A1">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全自动表面张力仪</w:t>
            </w:r>
          </w:p>
        </w:tc>
        <w:tc>
          <w:tcPr>
            <w:tcW w:w="2268" w:type="dxa"/>
          </w:tcPr>
          <w:p w14:paraId="47FDC5F8">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DCAT21</w:t>
            </w:r>
          </w:p>
        </w:tc>
        <w:tc>
          <w:tcPr>
            <w:tcW w:w="3027" w:type="dxa"/>
          </w:tcPr>
          <w:p w14:paraId="6DA083B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德国DataPhysico仪器公司</w:t>
            </w:r>
          </w:p>
        </w:tc>
      </w:tr>
    </w:tbl>
    <w:p w14:paraId="64A4CB91">
      <w:pPr>
        <w:pStyle w:val="3"/>
        <w:rPr>
          <w:rFonts w:hint="eastAsia"/>
        </w:rPr>
      </w:pPr>
      <w:bookmarkStart w:id="19" w:name="_Toc229493696"/>
      <w:r>
        <w:rPr>
          <w:rFonts w:hint="eastAsia" w:ascii="Times New Roman" w:hAnsi="Times New Roman" w:eastAsia="宋体" w:cs="Times New Roman"/>
        </w:rPr>
        <w:t>实验方案</w:t>
      </w:r>
      <w:bookmarkEnd w:id="19"/>
    </w:p>
    <w:p w14:paraId="414320D5">
      <w:pPr>
        <w:pStyle w:val="4"/>
      </w:pPr>
      <w:bookmarkStart w:id="20" w:name="_Toc229493697"/>
      <w:r>
        <w:rPr>
          <w:rFonts w:ascii="Times New Roman" w:hAnsi="Times New Roman" w:eastAsia="宋体" w:cs="Times New Roman"/>
        </w:rPr>
        <w:t>纳米纤维素薄膜的制备</w:t>
      </w:r>
      <w:bookmarkEnd w:id="20"/>
    </w:p>
    <w:p w14:paraId="6E7AC9C2">
      <w:pPr>
        <w:ind w:firstLine="420"/>
        <w:jc w:val="both"/>
        <w:rPr>
          <w:color w:val="FF0000"/>
        </w:rPr>
      </w:pPr>
      <w:r>
        <w:rPr>
          <w:rFonts w:hint="eastAsia" w:ascii="Times New Roman" w:hAnsi="Times New Roman" w:eastAsia="宋体" w:cs="Times New Roman"/>
          <w:color w:val="FF0000"/>
        </w:rPr>
        <w:t>将纳米纤维素（CNF）与纤维素纳米晶（CNC）悬浮液分别用去离子水稀释至1.2 wt%和0.6 wt%，然后按1:6的体积比混合。在超声辅助磁力搅拌条件下充分分散3小时，获得均匀稳定的纳米纤维素（</w:t>
      </w:r>
      <w:r>
        <w:rPr>
          <w:rFonts w:hint="eastAsia" w:ascii="Times New Roman" w:hAnsi="Times New Roman" w:eastAsia="宋体" w:cs="Times New Roman"/>
          <w:color w:val="FF0000"/>
          <w:highlight w:val="yellow"/>
        </w:rPr>
        <w:t>CNF</w:t>
      </w:r>
      <w:r>
        <w:rPr>
          <w:rFonts w:ascii="Times New Roman" w:hAnsi="Times New Roman" w:eastAsia="宋体" w:cs="Times New Roman"/>
          <w:color w:val="FF0000"/>
          <w:highlight w:val="yellow"/>
        </w:rPr>
        <w:t>/</w:t>
      </w:r>
      <w:r>
        <w:rPr>
          <w:rFonts w:hint="eastAsia" w:ascii="Times New Roman" w:hAnsi="Times New Roman" w:eastAsia="宋体" w:cs="Times New Roman"/>
          <w:color w:val="FF0000"/>
          <w:highlight w:val="yellow"/>
        </w:rPr>
        <w:t>CNC</w:t>
      </w:r>
      <w:r>
        <w:rPr>
          <w:rFonts w:hint="eastAsia" w:ascii="Times New Roman" w:hAnsi="Times New Roman" w:eastAsia="宋体" w:cs="Times New Roman"/>
          <w:color w:val="FF0000"/>
        </w:rPr>
        <w:t>）分散体系。随后，将该分散液倒入洁净的培养皿模具中，于室温、常压条件下静置约8小时，使水分缓慢挥发，形成凝胶态前驱体。最后，将所得湿膜置于80℃烘箱中进一步干燥，直至水分完全去除，最终得到</w:t>
      </w:r>
      <w:r>
        <w:rPr>
          <w:rFonts w:hint="eastAsia" w:ascii="Times New Roman" w:hAnsi="Times New Roman" w:eastAsia="宋体" w:cs="Times New Roman"/>
          <w:color w:val="FF0000"/>
          <w:highlight w:val="yellow"/>
        </w:rPr>
        <w:t>CNF</w:t>
      </w:r>
      <w:r>
        <w:rPr>
          <w:rFonts w:ascii="Times New Roman" w:hAnsi="Times New Roman" w:eastAsia="宋体" w:cs="Times New Roman"/>
          <w:color w:val="FF0000"/>
          <w:highlight w:val="yellow"/>
        </w:rPr>
        <w:t>/</w:t>
      </w:r>
      <w:r>
        <w:rPr>
          <w:rFonts w:hint="eastAsia" w:ascii="Times New Roman" w:hAnsi="Times New Roman" w:eastAsia="宋体" w:cs="Times New Roman"/>
          <w:color w:val="FF0000"/>
          <w:highlight w:val="yellow"/>
        </w:rPr>
        <w:t>CNC</w:t>
      </w:r>
      <w:r>
        <w:rPr>
          <w:rFonts w:hint="eastAsia" w:ascii="Times New Roman" w:hAnsi="Times New Roman" w:eastAsia="宋体" w:cs="Times New Roman"/>
          <w:color w:val="FF0000"/>
        </w:rPr>
        <w:t>薄膜。</w:t>
      </w:r>
    </w:p>
    <w:p w14:paraId="0F75F32D">
      <w:pPr>
        <w:ind w:firstLine="420"/>
        <w:jc w:val="both"/>
        <w:rPr>
          <w:color w:val="FF0000"/>
        </w:rPr>
      </w:pPr>
      <w:r>
        <w:rPr>
          <w:rFonts w:hint="eastAsia" w:ascii="Times New Roman" w:hAnsi="Times New Roman" w:eastAsia="宋体" w:cs="Times New Roman"/>
          <w:color w:val="FF0000"/>
        </w:rPr>
        <w:t>在上述</w:t>
      </w:r>
      <w:r>
        <w:rPr>
          <w:rFonts w:hint="eastAsia" w:ascii="Times New Roman" w:hAnsi="Times New Roman" w:eastAsia="宋体" w:cs="Times New Roman"/>
          <w:color w:val="FF0000"/>
          <w:highlight w:val="yellow"/>
        </w:rPr>
        <w:t>CNF</w:t>
      </w:r>
      <w:r>
        <w:rPr>
          <w:rFonts w:ascii="Times New Roman" w:hAnsi="Times New Roman" w:eastAsia="宋体" w:cs="Times New Roman"/>
          <w:color w:val="FF0000"/>
          <w:highlight w:val="yellow"/>
        </w:rPr>
        <w:t>/</w:t>
      </w:r>
      <w:r>
        <w:rPr>
          <w:rFonts w:hint="eastAsia" w:ascii="Times New Roman" w:hAnsi="Times New Roman" w:eastAsia="宋体" w:cs="Times New Roman"/>
          <w:color w:val="FF0000"/>
          <w:highlight w:val="yellow"/>
        </w:rPr>
        <w:t>CNC</w:t>
      </w:r>
      <w:r>
        <w:rPr>
          <w:rFonts w:hint="eastAsia" w:ascii="Times New Roman" w:hAnsi="Times New Roman" w:eastAsia="宋体" w:cs="Times New Roman"/>
          <w:color w:val="FF0000"/>
        </w:rPr>
        <w:t>分散体系的基础上，通过引入具有低表面能、高沸点的有机溶剂来调控薄膜的微观结构。其中，分别选用乙醇、丙二醇丙醚、2-甲基-2,4-戊二醇（MPD）和三丙二醇单甲醚（TPM）四种试剂，按照一定的质量比加入至上述CNF/CNC混合分散体系中，在磁力搅拌下充分混合。随后，采用上述相同的成膜工艺，制备出具有不同微孔结构的</w:t>
      </w:r>
      <w:r>
        <w:rPr>
          <w:rFonts w:hint="eastAsia" w:ascii="Times New Roman" w:hAnsi="Times New Roman" w:eastAsia="宋体" w:cs="Times New Roman"/>
          <w:color w:val="FF0000"/>
          <w:highlight w:val="yellow"/>
        </w:rPr>
        <w:t>CNF</w:t>
      </w:r>
      <w:r>
        <w:rPr>
          <w:rFonts w:ascii="Times New Roman" w:hAnsi="Times New Roman" w:eastAsia="宋体" w:cs="Times New Roman"/>
          <w:color w:val="FF0000"/>
          <w:highlight w:val="yellow"/>
        </w:rPr>
        <w:t>/</w:t>
      </w:r>
      <w:r>
        <w:rPr>
          <w:rFonts w:hint="eastAsia" w:ascii="Times New Roman" w:hAnsi="Times New Roman" w:eastAsia="宋体" w:cs="Times New Roman"/>
          <w:color w:val="FF0000"/>
          <w:highlight w:val="yellow"/>
        </w:rPr>
        <w:t>CNC</w:t>
      </w:r>
      <w:r>
        <w:rPr>
          <w:rFonts w:hint="eastAsia" w:ascii="Times New Roman" w:hAnsi="Times New Roman" w:eastAsia="宋体" w:cs="Times New Roman"/>
          <w:color w:val="FF0000"/>
        </w:rPr>
        <w:t>薄膜。</w:t>
      </w:r>
    </w:p>
    <w:p w14:paraId="3C6C844B">
      <w:pPr>
        <w:ind w:firstLine="420"/>
        <w:jc w:val="both"/>
        <w:rPr>
          <w:color w:val="FF0000"/>
        </w:rPr>
      </w:pPr>
      <w:r>
        <w:rPr>
          <w:rFonts w:hint="eastAsia" w:ascii="Times New Roman" w:hAnsi="Times New Roman" w:eastAsia="宋体" w:cs="Times New Roman"/>
          <w:color w:val="FF0000"/>
        </w:rPr>
        <w:t>进一步地，选择TPM作为代表性低表面能溶剂，考察其用量对</w:t>
      </w:r>
      <w:r>
        <w:rPr>
          <w:rFonts w:hint="eastAsia" w:ascii="Times New Roman" w:hAnsi="Times New Roman" w:eastAsia="宋体" w:cs="Times New Roman"/>
          <w:color w:val="FF0000"/>
          <w:highlight w:val="yellow"/>
        </w:rPr>
        <w:t>CNF</w:t>
      </w:r>
      <w:r>
        <w:rPr>
          <w:rFonts w:ascii="Times New Roman" w:hAnsi="Times New Roman" w:eastAsia="宋体" w:cs="Times New Roman"/>
          <w:color w:val="FF0000"/>
          <w:highlight w:val="yellow"/>
        </w:rPr>
        <w:t>/</w:t>
      </w:r>
      <w:r>
        <w:rPr>
          <w:rFonts w:hint="eastAsia" w:ascii="Times New Roman" w:hAnsi="Times New Roman" w:eastAsia="宋体" w:cs="Times New Roman"/>
          <w:color w:val="FF0000"/>
          <w:highlight w:val="yellow"/>
        </w:rPr>
        <w:t>CNC</w:t>
      </w:r>
      <w:r>
        <w:rPr>
          <w:rFonts w:hint="eastAsia" w:ascii="Times New Roman" w:hAnsi="Times New Roman" w:eastAsia="宋体" w:cs="Times New Roman"/>
          <w:color w:val="FF0000"/>
        </w:rPr>
        <w:t>薄膜表面微结构的影响。具体步骤如下：将CNF/CNC分散体系按既定比例（干重比3:1）配制，在磁力搅拌条件下充分分散。然后，向体系中分别加入不同质量的TPM，加入量分别为纳米纤维素干重的1倍、5倍、10倍、15倍和20倍（如表1所示）。继续搅拌至TPM在体系中均匀分布，得到不同TPM含量的纳米纤维素分散体系。最后，将其倒入成膜模具中，经室温静置和烘干工艺，制得一系列</w:t>
      </w:r>
      <w:r>
        <w:rPr>
          <w:rFonts w:hint="eastAsia" w:ascii="Times New Roman" w:hAnsi="Times New Roman" w:eastAsia="宋体" w:cs="Times New Roman"/>
          <w:color w:val="FF0000"/>
          <w:highlight w:val="yellow"/>
        </w:rPr>
        <w:t>CNF</w:t>
      </w:r>
      <w:r>
        <w:rPr>
          <w:rFonts w:ascii="Times New Roman" w:hAnsi="Times New Roman" w:eastAsia="宋体" w:cs="Times New Roman"/>
          <w:color w:val="FF0000"/>
          <w:highlight w:val="yellow"/>
        </w:rPr>
        <w:t>/</w:t>
      </w:r>
      <w:r>
        <w:rPr>
          <w:rFonts w:hint="eastAsia" w:ascii="Times New Roman" w:hAnsi="Times New Roman" w:eastAsia="宋体" w:cs="Times New Roman"/>
          <w:color w:val="FF0000"/>
          <w:highlight w:val="yellow"/>
        </w:rPr>
        <w:t>CNC</w:t>
      </w:r>
      <w:r>
        <w:rPr>
          <w:rFonts w:hint="eastAsia" w:ascii="Times New Roman" w:hAnsi="Times New Roman" w:eastAsia="宋体" w:cs="Times New Roman"/>
          <w:color w:val="FF0000"/>
        </w:rPr>
        <w:t>薄膜。</w:t>
      </w:r>
    </w:p>
    <w:p w14:paraId="55DE44B7">
      <w:pPr>
        <w:pStyle w:val="11"/>
        <w:jc w:val="center"/>
        <w:rPr>
          <w:rFonts w:hint="eastAsia" w:ascii="宋体" w:hAnsi="宋体"/>
          <w:sz w:val="24"/>
        </w:rPr>
      </w:pPr>
      <w:r>
        <w:rPr>
          <w:rFonts w:hint="eastAsia" w:ascii="Times New Roman" w:hAnsi="Times New Roman" w:eastAsia="SimHei" w:cs="Times New Roman"/>
          <w:sz w:val="21"/>
        </w:rPr>
        <w:t>表2-3  实验配方设计</w:t>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hint="eastAsia" w:ascii="Times New Roman" w:hAnsi="Times New Roman" w:cs="Times New Roman" w:eastAsia="SimHei"/>
          <w:sz w:val="21"/>
        </w:rPr>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1659"/>
        <w:gridCol w:w="1660"/>
      </w:tblGrid>
      <w:tr w14:paraId="72B3C79C">
        <w:tc>
          <w:tcPr>
            <w:tcW w:w="1659" w:type="dxa"/>
            <w:tcBorders>
              <w:top w:val="single" w:color="auto" w:sz="12" w:space="0"/>
              <w:bottom w:val="single" w:color="auto" w:sz="6" w:space="0"/>
            </w:tcBorders>
          </w:tcPr>
          <w:p w14:paraId="7E48FDE2">
            <w:pPr>
              <w:spacing w:line="300" w:lineRule="auto"/>
              <w:jc w:val="left"/>
              <w:rPr>
                <w:kern w:val="0"/>
                <w:sz w:val="18"/>
                <w:szCs w:val="18"/>
              </w:rPr>
            </w:pPr>
            <w:r>
              <w:rPr>
                <w:rFonts w:hint="eastAsia" w:ascii="Times New Roman" w:hAnsi="Times New Roman" w:eastAsia="宋体" w:cs="Times New Roman"/>
                <w:kern w:val="2"/>
                <w:sz w:val="18"/>
                <w:szCs w:val="18"/>
              </w:rPr>
              <w:t>1.2</w:t>
            </w:r>
            <w:r>
              <w:rPr>
                <w:rFonts w:ascii="Times New Roman" w:hAnsi="Times New Roman" w:eastAsia="宋体" w:cs="Times New Roman"/>
                <w:kern w:val="2"/>
                <w:sz w:val="18"/>
                <w:szCs w:val="18"/>
              </w:rPr>
              <w:t xml:space="preserve"> </w:t>
            </w:r>
            <w:commentRangeStart w:id="1"/>
            <w:r>
              <w:rPr>
                <w:rFonts w:hint="eastAsia" w:ascii="Times New Roman" w:hAnsi="Times New Roman" w:eastAsia="宋体" w:cs="Times New Roman"/>
                <w:color w:val="FF0000"/>
                <w:kern w:val="2"/>
                <w:sz w:val="18"/>
                <w:szCs w:val="18"/>
              </w:rPr>
              <w:t>wt</w:t>
            </w:r>
            <w:commentRangeEnd w:id="1"/>
            <w:r>
              <w:rPr>
                <w:rStyle w:val="26"/>
                <w:rFonts w:hint="eastAsia" w:ascii="Times New Roman" w:hAnsi="Times New Roman" w:eastAsia="宋体" w:cs="Times New Roman"/>
                <w:kern w:val="2"/>
                <w:sz w:val="18"/>
                <w:szCs w:val="18"/>
              </w:rPr>
              <w:commentReference w:id="1"/>
            </w:r>
            <w:r>
              <w:rPr>
                <w:rFonts w:hint="eastAsia" w:ascii="Times New Roman" w:hAnsi="Times New Roman" w:eastAsia="宋体" w:cs="Times New Roman"/>
                <w:kern w:val="2"/>
                <w:sz w:val="18"/>
                <w:szCs w:val="18"/>
              </w:rPr>
              <w:t>%</w:t>
            </w:r>
            <w:r>
              <w:rPr>
                <w:rFonts w:ascii="Times New Roman" w:hAnsi="Times New Roman" w:eastAsia="宋体" w:cs="Times New Roman"/>
                <w:kern w:val="2"/>
                <w:sz w:val="18"/>
                <w:szCs w:val="18"/>
              </w:rPr>
              <w:t xml:space="preserve"> </w:t>
            </w:r>
            <w:r>
              <w:rPr>
                <w:rFonts w:hint="eastAsia" w:ascii="Times New Roman" w:hAnsi="Times New Roman" w:eastAsia="宋体" w:cs="Times New Roman"/>
                <w:kern w:val="2"/>
                <w:sz w:val="18"/>
                <w:szCs w:val="18"/>
              </w:rPr>
              <w:t>CNF（g）</w:t>
            </w:r>
          </w:p>
        </w:tc>
        <w:tc>
          <w:tcPr>
            <w:tcW w:w="1659" w:type="dxa"/>
            <w:tcBorders>
              <w:top w:val="single" w:color="auto" w:sz="12" w:space="0"/>
              <w:bottom w:val="single" w:color="auto" w:sz="6" w:space="0"/>
            </w:tcBorders>
          </w:tcPr>
          <w:p w14:paraId="5140C19C">
            <w:pPr>
              <w:spacing w:line="300" w:lineRule="auto"/>
              <w:jc w:val="left"/>
              <w:rPr>
                <w:kern w:val="0"/>
                <w:sz w:val="18"/>
                <w:szCs w:val="18"/>
              </w:rPr>
            </w:pPr>
            <w:r>
              <w:rPr>
                <w:rFonts w:hint="eastAsia" w:ascii="Times New Roman" w:hAnsi="Times New Roman" w:eastAsia="宋体" w:cs="Times New Roman"/>
                <w:kern w:val="0"/>
                <w:sz w:val="18"/>
                <w:szCs w:val="18"/>
              </w:rPr>
              <w:t>0.6</w:t>
            </w:r>
            <w:r>
              <w:rPr>
                <w:rFonts w:ascii="Times New Roman" w:hAnsi="Times New Roman" w:eastAsia="宋体" w:cs="Times New Roman"/>
                <w:kern w:val="0"/>
                <w:sz w:val="18"/>
                <w:szCs w:val="18"/>
              </w:rPr>
              <w:t xml:space="preserve"> </w:t>
            </w:r>
            <w:r>
              <w:rPr>
                <w:rFonts w:ascii="Times New Roman" w:hAnsi="Times New Roman" w:eastAsia="宋体" w:cs="Times New Roman"/>
                <w:color w:val="FF0000"/>
                <w:kern w:val="0"/>
                <w:sz w:val="18"/>
                <w:szCs w:val="18"/>
              </w:rPr>
              <w:t>wt</w:t>
            </w:r>
            <w:r>
              <w:rPr>
                <w:rFonts w:hint="eastAsia" w:ascii="Times New Roman" w:hAnsi="Times New Roman" w:eastAsia="宋体" w:cs="Times New Roman"/>
                <w:color w:val="FF0000"/>
                <w:kern w:val="0"/>
                <w:sz w:val="18"/>
                <w:szCs w:val="18"/>
              </w:rPr>
              <w:t>%</w:t>
            </w:r>
            <w:r>
              <w:rPr>
                <w:rFonts w:ascii="Times New Roman" w:hAnsi="Times New Roman" w:eastAsia="宋体" w:cs="Times New Roman"/>
                <w:kern w:val="0"/>
                <w:sz w:val="18"/>
                <w:szCs w:val="18"/>
              </w:rPr>
              <w:t xml:space="preserve"> </w:t>
            </w:r>
            <w:r>
              <w:rPr>
                <w:rFonts w:hint="eastAsia" w:ascii="Times New Roman" w:hAnsi="Times New Roman" w:eastAsia="宋体" w:cs="Times New Roman"/>
                <w:kern w:val="0"/>
                <w:sz w:val="18"/>
                <w:szCs w:val="18"/>
              </w:rPr>
              <w:t>CNC（g）</w:t>
            </w:r>
          </w:p>
        </w:tc>
        <w:tc>
          <w:tcPr>
            <w:tcW w:w="1659" w:type="dxa"/>
            <w:tcBorders>
              <w:top w:val="single" w:color="auto" w:sz="12" w:space="0"/>
              <w:bottom w:val="single" w:color="auto" w:sz="6" w:space="0"/>
            </w:tcBorders>
          </w:tcPr>
          <w:p w14:paraId="3C5056E9">
            <w:pPr>
              <w:spacing w:line="300" w:lineRule="auto"/>
              <w:jc w:val="left"/>
              <w:rPr>
                <w:kern w:val="0"/>
                <w:sz w:val="18"/>
                <w:szCs w:val="18"/>
              </w:rPr>
            </w:pPr>
            <w:r>
              <w:rPr>
                <w:rFonts w:hint="eastAsia" w:ascii="Times New Roman" w:hAnsi="Times New Roman" w:eastAsia="宋体" w:cs="Times New Roman"/>
                <w:kern w:val="0"/>
                <w:sz w:val="18"/>
                <w:szCs w:val="18"/>
              </w:rPr>
              <w:t>纳米纤维素干重（g）</w:t>
            </w:r>
          </w:p>
        </w:tc>
        <w:tc>
          <w:tcPr>
            <w:tcW w:w="1659" w:type="dxa"/>
            <w:tcBorders>
              <w:top w:val="single" w:color="auto" w:sz="12" w:space="0"/>
              <w:bottom w:val="single" w:color="auto" w:sz="6" w:space="0"/>
            </w:tcBorders>
          </w:tcPr>
          <w:p w14:paraId="71230F4B">
            <w:pPr>
              <w:spacing w:line="300" w:lineRule="auto"/>
              <w:jc w:val="left"/>
              <w:rPr>
                <w:kern w:val="0"/>
                <w:sz w:val="18"/>
                <w:szCs w:val="18"/>
              </w:rPr>
            </w:pPr>
            <w:r>
              <w:rPr>
                <w:rFonts w:hint="eastAsia" w:ascii="Times New Roman" w:hAnsi="Times New Roman" w:eastAsia="宋体" w:cs="Times New Roman"/>
                <w:kern w:val="0"/>
                <w:sz w:val="18"/>
                <w:szCs w:val="18"/>
              </w:rPr>
              <w:t>TPM与纳米纤维素干重比</w:t>
            </w:r>
          </w:p>
        </w:tc>
        <w:tc>
          <w:tcPr>
            <w:tcW w:w="1660" w:type="dxa"/>
            <w:tcBorders>
              <w:top w:val="single" w:color="auto" w:sz="12" w:space="0"/>
              <w:bottom w:val="single" w:color="auto" w:sz="6" w:space="0"/>
            </w:tcBorders>
          </w:tcPr>
          <w:p w14:paraId="690EAA9A">
            <w:pPr>
              <w:spacing w:line="300" w:lineRule="auto"/>
              <w:jc w:val="left"/>
              <w:rPr>
                <w:kern w:val="0"/>
                <w:sz w:val="18"/>
                <w:szCs w:val="18"/>
              </w:rPr>
            </w:pPr>
            <w:r>
              <w:rPr>
                <w:rFonts w:hint="eastAsia" w:ascii="Times New Roman" w:hAnsi="Times New Roman" w:eastAsia="宋体" w:cs="Times New Roman"/>
                <w:kern w:val="0"/>
                <w:sz w:val="18"/>
                <w:szCs w:val="18"/>
              </w:rPr>
              <w:t>TPM用量（g）</w:t>
            </w:r>
          </w:p>
        </w:tc>
      </w:tr>
      <w:tr w14:paraId="0809C86E">
        <w:tc>
          <w:tcPr>
            <w:tcW w:w="1659" w:type="dxa"/>
            <w:vMerge w:val="restart"/>
            <w:tcBorders>
              <w:top w:val="single" w:color="auto" w:sz="6" w:space="0"/>
            </w:tcBorders>
          </w:tcPr>
          <w:p w14:paraId="1A7ED9B8">
            <w:pPr>
              <w:spacing w:line="300" w:lineRule="auto"/>
              <w:jc w:val="left"/>
              <w:rPr>
                <w:kern w:val="0"/>
                <w:sz w:val="18"/>
                <w:szCs w:val="18"/>
              </w:rPr>
            </w:pPr>
          </w:p>
          <w:p w14:paraId="51CE7DB7">
            <w:pPr>
              <w:spacing w:line="300" w:lineRule="auto"/>
              <w:jc w:val="left"/>
              <w:rPr>
                <w:kern w:val="0"/>
                <w:sz w:val="18"/>
                <w:szCs w:val="18"/>
              </w:rPr>
            </w:pPr>
          </w:p>
          <w:p w14:paraId="7A940140">
            <w:pPr>
              <w:spacing w:line="300" w:lineRule="auto"/>
              <w:jc w:val="left"/>
              <w:rPr>
                <w:kern w:val="0"/>
                <w:sz w:val="18"/>
                <w:szCs w:val="18"/>
              </w:rPr>
            </w:pPr>
            <w:r>
              <w:rPr>
                <w:rFonts w:hint="eastAsia" w:ascii="Times New Roman" w:hAnsi="Times New Roman" w:eastAsia="宋体" w:cs="Times New Roman"/>
                <w:kern w:val="0"/>
                <w:sz w:val="18"/>
                <w:szCs w:val="18"/>
              </w:rPr>
              <w:t>15</w:t>
            </w:r>
          </w:p>
        </w:tc>
        <w:tc>
          <w:tcPr>
            <w:tcW w:w="1659" w:type="dxa"/>
            <w:vMerge w:val="restart"/>
            <w:tcBorders>
              <w:top w:val="single" w:color="auto" w:sz="6" w:space="0"/>
            </w:tcBorders>
          </w:tcPr>
          <w:p w14:paraId="627F3A5B">
            <w:pPr>
              <w:spacing w:line="300" w:lineRule="auto"/>
              <w:jc w:val="left"/>
              <w:rPr>
                <w:kern w:val="0"/>
                <w:sz w:val="18"/>
                <w:szCs w:val="18"/>
              </w:rPr>
            </w:pPr>
          </w:p>
          <w:p w14:paraId="70F4A549">
            <w:pPr>
              <w:spacing w:line="300" w:lineRule="auto"/>
              <w:jc w:val="left"/>
              <w:rPr>
                <w:kern w:val="0"/>
                <w:sz w:val="18"/>
                <w:szCs w:val="18"/>
              </w:rPr>
            </w:pPr>
          </w:p>
          <w:p w14:paraId="1B00E3F8">
            <w:pPr>
              <w:spacing w:line="300" w:lineRule="auto"/>
              <w:jc w:val="left"/>
              <w:rPr>
                <w:kern w:val="0"/>
                <w:sz w:val="18"/>
                <w:szCs w:val="18"/>
              </w:rPr>
            </w:pPr>
            <w:r>
              <w:rPr>
                <w:rFonts w:hint="eastAsia" w:ascii="Times New Roman" w:hAnsi="Times New Roman" w:eastAsia="宋体" w:cs="Times New Roman"/>
                <w:kern w:val="0"/>
                <w:sz w:val="18"/>
                <w:szCs w:val="18"/>
              </w:rPr>
              <w:t>5</w:t>
            </w:r>
          </w:p>
        </w:tc>
        <w:tc>
          <w:tcPr>
            <w:tcW w:w="1659" w:type="dxa"/>
            <w:vMerge w:val="restart"/>
            <w:tcBorders>
              <w:top w:val="single" w:color="auto" w:sz="6" w:space="0"/>
            </w:tcBorders>
          </w:tcPr>
          <w:p w14:paraId="68981101">
            <w:pPr>
              <w:spacing w:line="300" w:lineRule="auto"/>
              <w:jc w:val="left"/>
              <w:rPr>
                <w:kern w:val="0"/>
                <w:sz w:val="18"/>
                <w:szCs w:val="18"/>
              </w:rPr>
            </w:pPr>
          </w:p>
          <w:p w14:paraId="73B987C7">
            <w:pPr>
              <w:spacing w:line="300" w:lineRule="auto"/>
              <w:jc w:val="left"/>
              <w:rPr>
                <w:kern w:val="0"/>
                <w:sz w:val="18"/>
                <w:szCs w:val="18"/>
              </w:rPr>
            </w:pPr>
          </w:p>
          <w:p w14:paraId="0C367458">
            <w:pPr>
              <w:spacing w:line="300" w:lineRule="auto"/>
              <w:jc w:val="left"/>
              <w:rPr>
                <w:kern w:val="0"/>
                <w:sz w:val="18"/>
                <w:szCs w:val="18"/>
              </w:rPr>
            </w:pPr>
            <w:r>
              <w:rPr>
                <w:rFonts w:hint="eastAsia" w:ascii="Times New Roman" w:hAnsi="Times New Roman" w:eastAsia="宋体" w:cs="Times New Roman"/>
                <w:kern w:val="0"/>
                <w:sz w:val="18"/>
                <w:szCs w:val="18"/>
              </w:rPr>
              <w:t>0.21</w:t>
            </w:r>
          </w:p>
        </w:tc>
        <w:tc>
          <w:tcPr>
            <w:tcW w:w="1659" w:type="dxa"/>
            <w:tcBorders>
              <w:top w:val="single" w:color="auto" w:sz="6" w:space="0"/>
            </w:tcBorders>
          </w:tcPr>
          <w:p w14:paraId="2019FFE1">
            <w:pPr>
              <w:spacing w:line="300" w:lineRule="auto"/>
              <w:jc w:val="left"/>
              <w:rPr>
                <w:kern w:val="0"/>
                <w:sz w:val="18"/>
                <w:szCs w:val="18"/>
              </w:rPr>
            </w:pPr>
            <w:r>
              <w:rPr>
                <w:rFonts w:hint="eastAsia" w:ascii="Times New Roman" w:hAnsi="Times New Roman" w:eastAsia="宋体" w:cs="Times New Roman"/>
                <w:kern w:val="0"/>
                <w:sz w:val="18"/>
                <w:szCs w:val="18"/>
              </w:rPr>
              <w:t>1</w:t>
            </w:r>
          </w:p>
        </w:tc>
        <w:tc>
          <w:tcPr>
            <w:tcW w:w="1660" w:type="dxa"/>
            <w:tcBorders>
              <w:top w:val="single" w:color="auto" w:sz="6" w:space="0"/>
            </w:tcBorders>
          </w:tcPr>
          <w:p w14:paraId="207A1F26">
            <w:pPr>
              <w:spacing w:line="300" w:lineRule="auto"/>
              <w:jc w:val="left"/>
              <w:rPr>
                <w:kern w:val="0"/>
                <w:sz w:val="18"/>
                <w:szCs w:val="18"/>
              </w:rPr>
            </w:pPr>
            <w:r>
              <w:rPr>
                <w:rFonts w:hint="eastAsia" w:ascii="Times New Roman" w:hAnsi="Times New Roman" w:eastAsia="宋体" w:cs="Times New Roman"/>
                <w:kern w:val="0"/>
                <w:sz w:val="18"/>
                <w:szCs w:val="18"/>
              </w:rPr>
              <w:t>0.21</w:t>
            </w:r>
          </w:p>
        </w:tc>
      </w:tr>
      <w:tr w14:paraId="44B28432">
        <w:tc>
          <w:tcPr>
            <w:tcW w:w="1659" w:type="dxa"/>
            <w:vMerge w:val="continue"/>
          </w:tcPr>
          <w:p w14:paraId="75FD9A90">
            <w:pPr>
              <w:spacing w:line="300" w:lineRule="auto"/>
              <w:rPr>
                <w:kern w:val="0"/>
                <w:sz w:val="18"/>
                <w:szCs w:val="18"/>
              </w:rPr>
            </w:pPr>
          </w:p>
        </w:tc>
        <w:tc>
          <w:tcPr>
            <w:tcW w:w="1659" w:type="dxa"/>
            <w:vMerge w:val="continue"/>
          </w:tcPr>
          <w:p w14:paraId="1D1F7FEC">
            <w:pPr>
              <w:spacing w:line="300" w:lineRule="auto"/>
              <w:rPr>
                <w:kern w:val="0"/>
                <w:sz w:val="18"/>
                <w:szCs w:val="18"/>
              </w:rPr>
            </w:pPr>
          </w:p>
        </w:tc>
        <w:tc>
          <w:tcPr>
            <w:tcW w:w="1659" w:type="dxa"/>
            <w:vMerge w:val="continue"/>
          </w:tcPr>
          <w:p w14:paraId="5C7B5314">
            <w:pPr>
              <w:spacing w:line="300" w:lineRule="auto"/>
              <w:rPr>
                <w:kern w:val="0"/>
                <w:sz w:val="18"/>
                <w:szCs w:val="18"/>
              </w:rPr>
            </w:pPr>
          </w:p>
        </w:tc>
        <w:tc>
          <w:tcPr>
            <w:tcW w:w="1659" w:type="dxa"/>
          </w:tcPr>
          <w:p w14:paraId="022F1803">
            <w:pPr>
              <w:spacing w:line="300" w:lineRule="auto"/>
              <w:jc w:val="left"/>
              <w:rPr>
                <w:kern w:val="0"/>
                <w:sz w:val="18"/>
                <w:szCs w:val="18"/>
              </w:rPr>
            </w:pPr>
            <w:r>
              <w:rPr>
                <w:rFonts w:hint="eastAsia" w:ascii="Times New Roman" w:hAnsi="Times New Roman" w:eastAsia="宋体" w:cs="Times New Roman"/>
                <w:kern w:val="0"/>
                <w:sz w:val="18"/>
                <w:szCs w:val="18"/>
              </w:rPr>
              <w:t>5</w:t>
            </w:r>
          </w:p>
        </w:tc>
        <w:tc>
          <w:tcPr>
            <w:tcW w:w="1660" w:type="dxa"/>
          </w:tcPr>
          <w:p w14:paraId="63B8D439">
            <w:pPr>
              <w:spacing w:line="300" w:lineRule="auto"/>
              <w:jc w:val="left"/>
              <w:rPr>
                <w:kern w:val="0"/>
                <w:sz w:val="18"/>
                <w:szCs w:val="18"/>
              </w:rPr>
            </w:pPr>
            <w:r>
              <w:rPr>
                <w:rFonts w:hint="eastAsia" w:ascii="Times New Roman" w:hAnsi="Times New Roman" w:eastAsia="宋体" w:cs="Times New Roman"/>
                <w:kern w:val="0"/>
                <w:sz w:val="18"/>
                <w:szCs w:val="18"/>
              </w:rPr>
              <w:t>1.05</w:t>
            </w:r>
          </w:p>
        </w:tc>
      </w:tr>
      <w:tr w14:paraId="7A109B6A">
        <w:tc>
          <w:tcPr>
            <w:tcW w:w="1659" w:type="dxa"/>
            <w:vMerge w:val="continue"/>
          </w:tcPr>
          <w:p w14:paraId="085664AE">
            <w:pPr>
              <w:spacing w:line="300" w:lineRule="auto"/>
              <w:rPr>
                <w:kern w:val="0"/>
                <w:sz w:val="18"/>
                <w:szCs w:val="18"/>
              </w:rPr>
            </w:pPr>
          </w:p>
        </w:tc>
        <w:tc>
          <w:tcPr>
            <w:tcW w:w="1659" w:type="dxa"/>
            <w:vMerge w:val="continue"/>
          </w:tcPr>
          <w:p w14:paraId="75611331">
            <w:pPr>
              <w:spacing w:line="300" w:lineRule="auto"/>
              <w:rPr>
                <w:kern w:val="0"/>
                <w:sz w:val="18"/>
                <w:szCs w:val="18"/>
              </w:rPr>
            </w:pPr>
          </w:p>
        </w:tc>
        <w:tc>
          <w:tcPr>
            <w:tcW w:w="1659" w:type="dxa"/>
            <w:vMerge w:val="continue"/>
          </w:tcPr>
          <w:p w14:paraId="282A308B">
            <w:pPr>
              <w:spacing w:line="300" w:lineRule="auto"/>
              <w:rPr>
                <w:kern w:val="0"/>
                <w:sz w:val="18"/>
                <w:szCs w:val="18"/>
              </w:rPr>
            </w:pPr>
          </w:p>
        </w:tc>
        <w:tc>
          <w:tcPr>
            <w:tcW w:w="1659" w:type="dxa"/>
          </w:tcPr>
          <w:p w14:paraId="75951424">
            <w:pPr>
              <w:spacing w:line="300" w:lineRule="auto"/>
              <w:jc w:val="left"/>
              <w:rPr>
                <w:kern w:val="0"/>
                <w:sz w:val="18"/>
                <w:szCs w:val="18"/>
              </w:rPr>
            </w:pPr>
            <w:r>
              <w:rPr>
                <w:rFonts w:hint="eastAsia" w:ascii="Times New Roman" w:hAnsi="Times New Roman" w:eastAsia="宋体" w:cs="Times New Roman"/>
                <w:kern w:val="0"/>
                <w:sz w:val="18"/>
                <w:szCs w:val="18"/>
              </w:rPr>
              <w:t>10</w:t>
            </w:r>
          </w:p>
        </w:tc>
        <w:tc>
          <w:tcPr>
            <w:tcW w:w="1660" w:type="dxa"/>
          </w:tcPr>
          <w:p w14:paraId="7332AC80">
            <w:pPr>
              <w:spacing w:line="300" w:lineRule="auto"/>
              <w:jc w:val="left"/>
              <w:rPr>
                <w:kern w:val="0"/>
                <w:sz w:val="18"/>
                <w:szCs w:val="18"/>
              </w:rPr>
            </w:pPr>
            <w:r>
              <w:rPr>
                <w:rFonts w:hint="eastAsia" w:ascii="Times New Roman" w:hAnsi="Times New Roman" w:eastAsia="宋体" w:cs="Times New Roman"/>
                <w:kern w:val="0"/>
                <w:sz w:val="18"/>
                <w:szCs w:val="18"/>
              </w:rPr>
              <w:t>2.1</w:t>
            </w:r>
          </w:p>
        </w:tc>
      </w:tr>
      <w:tr w14:paraId="58B4C25F">
        <w:tc>
          <w:tcPr>
            <w:tcW w:w="1659" w:type="dxa"/>
            <w:vMerge w:val="continue"/>
          </w:tcPr>
          <w:p w14:paraId="6A272785">
            <w:pPr>
              <w:spacing w:line="300" w:lineRule="auto"/>
              <w:rPr>
                <w:kern w:val="0"/>
                <w:sz w:val="18"/>
                <w:szCs w:val="18"/>
              </w:rPr>
            </w:pPr>
          </w:p>
        </w:tc>
        <w:tc>
          <w:tcPr>
            <w:tcW w:w="1659" w:type="dxa"/>
            <w:vMerge w:val="continue"/>
          </w:tcPr>
          <w:p w14:paraId="7B23F673">
            <w:pPr>
              <w:spacing w:line="300" w:lineRule="auto"/>
              <w:rPr>
                <w:kern w:val="0"/>
                <w:sz w:val="18"/>
                <w:szCs w:val="18"/>
              </w:rPr>
            </w:pPr>
          </w:p>
        </w:tc>
        <w:tc>
          <w:tcPr>
            <w:tcW w:w="1659" w:type="dxa"/>
            <w:vMerge w:val="continue"/>
          </w:tcPr>
          <w:p w14:paraId="2DB29184">
            <w:pPr>
              <w:spacing w:line="300" w:lineRule="auto"/>
              <w:rPr>
                <w:kern w:val="0"/>
                <w:sz w:val="18"/>
                <w:szCs w:val="18"/>
              </w:rPr>
            </w:pPr>
          </w:p>
        </w:tc>
        <w:tc>
          <w:tcPr>
            <w:tcW w:w="1659" w:type="dxa"/>
          </w:tcPr>
          <w:p w14:paraId="3685329F">
            <w:pPr>
              <w:spacing w:line="300" w:lineRule="auto"/>
              <w:jc w:val="left"/>
              <w:rPr>
                <w:kern w:val="0"/>
                <w:sz w:val="18"/>
                <w:szCs w:val="18"/>
              </w:rPr>
            </w:pPr>
            <w:r>
              <w:rPr>
                <w:rFonts w:hint="eastAsia" w:ascii="Times New Roman" w:hAnsi="Times New Roman" w:eastAsia="宋体" w:cs="Times New Roman"/>
                <w:kern w:val="0"/>
                <w:sz w:val="18"/>
                <w:szCs w:val="18"/>
              </w:rPr>
              <w:t>15</w:t>
            </w:r>
          </w:p>
        </w:tc>
        <w:tc>
          <w:tcPr>
            <w:tcW w:w="1660" w:type="dxa"/>
          </w:tcPr>
          <w:p w14:paraId="2EF3C40C">
            <w:pPr>
              <w:spacing w:line="300" w:lineRule="auto"/>
              <w:jc w:val="left"/>
              <w:rPr>
                <w:kern w:val="0"/>
                <w:sz w:val="18"/>
                <w:szCs w:val="18"/>
              </w:rPr>
            </w:pPr>
            <w:r>
              <w:rPr>
                <w:rFonts w:hint="eastAsia" w:ascii="Times New Roman" w:hAnsi="Times New Roman" w:eastAsia="宋体" w:cs="Times New Roman"/>
                <w:kern w:val="0"/>
                <w:sz w:val="18"/>
                <w:szCs w:val="18"/>
              </w:rPr>
              <w:t>3.15</w:t>
            </w:r>
          </w:p>
        </w:tc>
      </w:tr>
      <w:tr w14:paraId="4EC39B49">
        <w:tc>
          <w:tcPr>
            <w:tcW w:w="1659" w:type="dxa"/>
            <w:vMerge w:val="continue"/>
            <w:tcBorders>
              <w:bottom w:val="single" w:color="auto" w:sz="12" w:space="0"/>
            </w:tcBorders>
          </w:tcPr>
          <w:p w14:paraId="4057762A">
            <w:pPr>
              <w:spacing w:line="300" w:lineRule="auto"/>
              <w:rPr>
                <w:kern w:val="0"/>
                <w:sz w:val="18"/>
                <w:szCs w:val="18"/>
              </w:rPr>
            </w:pPr>
          </w:p>
        </w:tc>
        <w:tc>
          <w:tcPr>
            <w:tcW w:w="1659" w:type="dxa"/>
            <w:vMerge w:val="continue"/>
            <w:tcBorders>
              <w:bottom w:val="single" w:color="auto" w:sz="12" w:space="0"/>
            </w:tcBorders>
          </w:tcPr>
          <w:p w14:paraId="765CF17C">
            <w:pPr>
              <w:spacing w:line="300" w:lineRule="auto"/>
              <w:rPr>
                <w:kern w:val="0"/>
                <w:sz w:val="18"/>
                <w:szCs w:val="18"/>
              </w:rPr>
            </w:pPr>
          </w:p>
        </w:tc>
        <w:tc>
          <w:tcPr>
            <w:tcW w:w="1659" w:type="dxa"/>
            <w:vMerge w:val="continue"/>
            <w:tcBorders>
              <w:bottom w:val="single" w:color="auto" w:sz="12" w:space="0"/>
            </w:tcBorders>
          </w:tcPr>
          <w:p w14:paraId="66A92625">
            <w:pPr>
              <w:spacing w:line="300" w:lineRule="auto"/>
              <w:rPr>
                <w:kern w:val="0"/>
                <w:sz w:val="18"/>
                <w:szCs w:val="18"/>
              </w:rPr>
            </w:pPr>
          </w:p>
        </w:tc>
        <w:tc>
          <w:tcPr>
            <w:tcW w:w="1659" w:type="dxa"/>
            <w:tcBorders>
              <w:bottom w:val="single" w:color="auto" w:sz="12" w:space="0"/>
            </w:tcBorders>
          </w:tcPr>
          <w:p w14:paraId="02293C47">
            <w:pPr>
              <w:spacing w:line="300" w:lineRule="auto"/>
              <w:jc w:val="left"/>
              <w:rPr>
                <w:kern w:val="0"/>
                <w:sz w:val="18"/>
                <w:szCs w:val="18"/>
              </w:rPr>
            </w:pPr>
            <w:r>
              <w:rPr>
                <w:rFonts w:hint="eastAsia" w:ascii="Times New Roman" w:hAnsi="Times New Roman" w:eastAsia="宋体" w:cs="Times New Roman"/>
                <w:kern w:val="0"/>
                <w:sz w:val="18"/>
                <w:szCs w:val="18"/>
              </w:rPr>
              <w:t>20</w:t>
            </w:r>
          </w:p>
        </w:tc>
        <w:tc>
          <w:tcPr>
            <w:tcW w:w="1660" w:type="dxa"/>
            <w:tcBorders>
              <w:bottom w:val="single" w:color="auto" w:sz="12" w:space="0"/>
            </w:tcBorders>
          </w:tcPr>
          <w:p w14:paraId="02FA1350">
            <w:pPr>
              <w:spacing w:line="300" w:lineRule="auto"/>
              <w:jc w:val="left"/>
              <w:rPr>
                <w:kern w:val="0"/>
                <w:sz w:val="18"/>
                <w:szCs w:val="18"/>
              </w:rPr>
            </w:pPr>
            <w:r>
              <w:rPr>
                <w:rFonts w:hint="eastAsia" w:ascii="Times New Roman" w:hAnsi="Times New Roman" w:eastAsia="宋体" w:cs="Times New Roman"/>
                <w:kern w:val="0"/>
                <w:sz w:val="18"/>
                <w:szCs w:val="18"/>
              </w:rPr>
              <w:t>4.2</w:t>
            </w:r>
          </w:p>
        </w:tc>
      </w:tr>
    </w:tbl>
    <w:p w14:paraId="603DE3E8">
      <w:pPr>
        <w:pStyle w:val="4"/>
      </w:pPr>
      <w:bookmarkStart w:id="21" w:name="_Toc229493700"/>
      <w:r>
        <w:rPr>
          <w:rFonts w:ascii="Times New Roman" w:hAnsi="Times New Roman" w:eastAsia="宋体" w:cs="Times New Roman"/>
        </w:rPr>
        <w:t>碳纳米管/纳米纤维素复合薄膜的制备</w:t>
      </w:r>
      <w:bookmarkEnd w:id="21"/>
    </w:p>
    <w:p w14:paraId="0E92C562">
      <w:pPr>
        <w:ind w:firstLine="420"/>
        <w:jc w:val="both"/>
      </w:pPr>
      <w:r>
        <w:rPr>
          <w:rFonts w:hint="eastAsia" w:ascii="Times New Roman" w:hAnsi="Times New Roman" w:eastAsia="宋体" w:cs="Times New Roman"/>
          <w:color w:val="FF0000"/>
        </w:rPr>
        <w:t>首先，配制不同浓度的碳纳米管（</w:t>
      </w:r>
      <w:r>
        <w:rPr>
          <w:rFonts w:hint="eastAsia" w:ascii="Times New Roman" w:hAnsi="Times New Roman" w:eastAsia="宋体" w:cs="Times New Roman"/>
          <w:color w:val="FF0000"/>
          <w:highlight w:val="yellow"/>
        </w:rPr>
        <w:t>CNTs</w:t>
      </w:r>
      <w:r>
        <w:rPr>
          <w:rFonts w:hint="eastAsia" w:ascii="Times New Roman" w:hAnsi="Times New Roman" w:eastAsia="宋体" w:cs="Times New Roman"/>
          <w:color w:val="FF0000"/>
        </w:rPr>
        <w:t>）分散液。分别称取一定量的CNTs和等质量的十二烷基苯磺酸钠（作为分散剂），加入去离子水，配制成质量浓度分别为5 mg/mL和10 mg/mL的CNTs分散液。经超声处理、细胞粉碎机处理以及磁力搅拌等操作，获得分散均匀、稳定的CNTs分散液。然后，按照表2设定的比例，将CNTs分散液加入至上述CNF/CNC分散体系中，在磁力搅拌条件下充分混合，使CNTs均匀分布于纳米纤维素网络结构中。随后，向体系中加入一定量的TPM，继续搅拌，得到均一稳定的多组分分散体系。最后，将所得分散体系倒入成膜模具中，经室温静置和烘干工艺，即可制得碳纳米管/纳米纤维素（CNTs/CNF/CNC）复合薄膜。</w:t>
      </w:r>
    </w:p>
    <w:p w14:paraId="499C6AB8">
      <w:pPr>
        <w:pStyle w:val="11"/>
        <w:jc w:val="center"/>
        <w:rPr>
          <w:rFonts w:hint="eastAsia" w:ascii="宋体" w:hAnsi="宋体"/>
          <w:sz w:val="24"/>
        </w:rPr>
      </w:pPr>
      <w:r>
        <w:rPr>
          <w:rFonts w:hint="eastAsia" w:ascii="Times New Roman" w:hAnsi="Times New Roman" w:eastAsia="SimHei" w:cs="Times New Roman"/>
          <w:sz w:val="21"/>
        </w:rPr>
        <w:t>表2-4  CNTs的用量设计</w:t>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hint="eastAsia" w:ascii="Times New Roman" w:hAnsi="Times New Roman" w:eastAsia="SimHei" w:cs="Times New Roman"/>
          <w:sz w:val="21"/>
        </w:rPr>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8"/>
        <w:gridCol w:w="1486"/>
        <w:gridCol w:w="1437"/>
        <w:gridCol w:w="1363"/>
        <w:gridCol w:w="1339"/>
        <w:gridCol w:w="1413"/>
      </w:tblGrid>
      <w:tr w14:paraId="21572B02">
        <w:tc>
          <w:tcPr>
            <w:tcW w:w="1268" w:type="dxa"/>
            <w:tcBorders>
              <w:top w:val="single" w:color="auto" w:sz="12" w:space="0"/>
              <w:bottom w:val="single" w:color="auto" w:sz="6" w:space="0"/>
            </w:tcBorders>
          </w:tcPr>
          <w:p w14:paraId="65690006">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组别</w:t>
            </w:r>
          </w:p>
        </w:tc>
        <w:tc>
          <w:tcPr>
            <w:tcW w:w="1486" w:type="dxa"/>
            <w:tcBorders>
              <w:top w:val="single" w:color="auto" w:sz="12" w:space="0"/>
              <w:bottom w:val="single" w:color="auto" w:sz="6" w:space="0"/>
            </w:tcBorders>
          </w:tcPr>
          <w:p w14:paraId="6041EE1C">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CNTs浓度</w:t>
            </w:r>
          </w:p>
        </w:tc>
        <w:tc>
          <w:tcPr>
            <w:tcW w:w="1437" w:type="dxa"/>
            <w:tcBorders>
              <w:top w:val="single" w:color="auto" w:sz="12" w:space="0"/>
              <w:bottom w:val="single" w:color="auto" w:sz="6" w:space="0"/>
            </w:tcBorders>
          </w:tcPr>
          <w:p w14:paraId="3AF1AE2D">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CNF&amp;CNC</w:t>
            </w:r>
          </w:p>
          <w:p w14:paraId="5C5891D2">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干重（g）</w:t>
            </w:r>
          </w:p>
        </w:tc>
        <w:tc>
          <w:tcPr>
            <w:tcW w:w="1363" w:type="dxa"/>
            <w:tcBorders>
              <w:top w:val="single" w:color="auto" w:sz="12" w:space="0"/>
              <w:bottom w:val="single" w:color="auto" w:sz="6" w:space="0"/>
            </w:tcBorders>
          </w:tcPr>
          <w:p w14:paraId="4CDF0379">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TPM用量（g）</w:t>
            </w:r>
          </w:p>
        </w:tc>
        <w:tc>
          <w:tcPr>
            <w:tcW w:w="1339" w:type="dxa"/>
            <w:tcBorders>
              <w:top w:val="single" w:color="auto" w:sz="12" w:space="0"/>
              <w:bottom w:val="single" w:color="auto" w:sz="6" w:space="0"/>
            </w:tcBorders>
          </w:tcPr>
          <w:p w14:paraId="22951F29">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CNT与纳米纤维素干重比</w:t>
            </w:r>
          </w:p>
        </w:tc>
        <w:tc>
          <w:tcPr>
            <w:tcW w:w="1413" w:type="dxa"/>
            <w:tcBorders>
              <w:top w:val="single" w:color="auto" w:sz="12" w:space="0"/>
              <w:bottom w:val="single" w:color="auto" w:sz="6" w:space="0"/>
            </w:tcBorders>
          </w:tcPr>
          <w:p w14:paraId="603F932F">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CNTs溶液</w:t>
            </w:r>
          </w:p>
          <w:p w14:paraId="4DD93871">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添加量（mL）</w:t>
            </w:r>
          </w:p>
        </w:tc>
      </w:tr>
      <w:tr w14:paraId="54BA3D41">
        <w:tc>
          <w:tcPr>
            <w:tcW w:w="1268" w:type="dxa"/>
            <w:tcBorders>
              <w:top w:val="single" w:color="auto" w:sz="6" w:space="0"/>
            </w:tcBorders>
          </w:tcPr>
          <w:p w14:paraId="1EE06746">
            <w:pPr>
              <w:spacing w:line="300" w:lineRule="auto"/>
              <w:jc w:val="left"/>
              <w:rPr>
                <w:color w:val="FF0000"/>
                <w:kern w:val="0"/>
                <w:sz w:val="18"/>
                <w:szCs w:val="18"/>
                <w:highlight w:val="yellow"/>
              </w:rPr>
            </w:pPr>
            <w:r>
              <w:rPr>
                <w:rFonts w:hint="eastAsia" w:ascii="Times New Roman" w:hAnsi="Times New Roman" w:eastAsia="宋体" w:cs="Times New Roman"/>
                <w:color w:val="FF0000"/>
                <w:kern w:val="0"/>
                <w:sz w:val="18"/>
                <w:szCs w:val="18"/>
                <w:highlight w:val="yellow"/>
              </w:rPr>
              <w:t>样品1</w:t>
            </w:r>
          </w:p>
        </w:tc>
        <w:tc>
          <w:tcPr>
            <w:tcW w:w="1486" w:type="dxa"/>
            <w:vMerge w:val="restart"/>
            <w:tcBorders>
              <w:top w:val="single" w:color="auto" w:sz="6" w:space="0"/>
            </w:tcBorders>
          </w:tcPr>
          <w:p w14:paraId="2819AB0B">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5 mg/mL</w:t>
            </w:r>
          </w:p>
        </w:tc>
        <w:tc>
          <w:tcPr>
            <w:tcW w:w="1437" w:type="dxa"/>
            <w:vMerge w:val="restart"/>
            <w:tcBorders>
              <w:top w:val="single" w:color="auto" w:sz="6" w:space="0"/>
            </w:tcBorders>
          </w:tcPr>
          <w:p w14:paraId="1CDB0D09">
            <w:pPr>
              <w:spacing w:line="300" w:lineRule="auto"/>
              <w:jc w:val="left"/>
              <w:rPr>
                <w:color w:val="FF0000"/>
                <w:kern w:val="0"/>
                <w:sz w:val="18"/>
                <w:szCs w:val="18"/>
              </w:rPr>
            </w:pPr>
          </w:p>
          <w:p w14:paraId="7BC38B20">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0.21</w:t>
            </w:r>
          </w:p>
        </w:tc>
        <w:tc>
          <w:tcPr>
            <w:tcW w:w="1363" w:type="dxa"/>
            <w:vMerge w:val="restart"/>
            <w:tcBorders>
              <w:top w:val="single" w:color="auto" w:sz="6" w:space="0"/>
            </w:tcBorders>
          </w:tcPr>
          <w:p w14:paraId="5BBB4B32">
            <w:pPr>
              <w:spacing w:line="300" w:lineRule="auto"/>
              <w:jc w:val="left"/>
              <w:rPr>
                <w:color w:val="FF0000"/>
                <w:kern w:val="0"/>
                <w:sz w:val="18"/>
                <w:szCs w:val="18"/>
              </w:rPr>
            </w:pPr>
          </w:p>
          <w:p w14:paraId="17BD4B6E">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1.05</w:t>
            </w:r>
          </w:p>
        </w:tc>
        <w:tc>
          <w:tcPr>
            <w:tcW w:w="1339" w:type="dxa"/>
            <w:tcBorders>
              <w:top w:val="single" w:color="auto" w:sz="6" w:space="0"/>
            </w:tcBorders>
          </w:tcPr>
          <w:p w14:paraId="540377BA">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1:4</w:t>
            </w:r>
          </w:p>
        </w:tc>
        <w:tc>
          <w:tcPr>
            <w:tcW w:w="1413" w:type="dxa"/>
            <w:tcBorders>
              <w:top w:val="single" w:color="auto" w:sz="6" w:space="0"/>
            </w:tcBorders>
          </w:tcPr>
          <w:p w14:paraId="24150053">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10.5</w:t>
            </w:r>
          </w:p>
        </w:tc>
      </w:tr>
      <w:tr w14:paraId="6B5107CA">
        <w:tc>
          <w:tcPr>
            <w:tcW w:w="1268" w:type="dxa"/>
          </w:tcPr>
          <w:p w14:paraId="29DAA3B8">
            <w:pPr>
              <w:spacing w:line="300" w:lineRule="auto"/>
              <w:jc w:val="left"/>
              <w:rPr>
                <w:color w:val="FF0000"/>
                <w:kern w:val="0"/>
                <w:sz w:val="18"/>
                <w:szCs w:val="18"/>
                <w:highlight w:val="yellow"/>
              </w:rPr>
            </w:pPr>
            <w:r>
              <w:rPr>
                <w:rFonts w:hint="eastAsia" w:ascii="Times New Roman" w:hAnsi="Times New Roman" w:eastAsia="宋体" w:cs="Times New Roman"/>
                <w:color w:val="FF0000"/>
                <w:kern w:val="0"/>
                <w:sz w:val="18"/>
                <w:szCs w:val="18"/>
                <w:highlight w:val="yellow"/>
              </w:rPr>
              <w:t>样品2</w:t>
            </w:r>
          </w:p>
        </w:tc>
        <w:tc>
          <w:tcPr>
            <w:tcW w:w="1486" w:type="dxa"/>
            <w:vMerge w:val="continue"/>
          </w:tcPr>
          <w:p w14:paraId="07CCBCEF">
            <w:pPr>
              <w:spacing w:line="300" w:lineRule="auto"/>
              <w:rPr>
                <w:color w:val="FF0000"/>
                <w:kern w:val="0"/>
                <w:sz w:val="18"/>
                <w:szCs w:val="18"/>
              </w:rPr>
            </w:pPr>
          </w:p>
        </w:tc>
        <w:tc>
          <w:tcPr>
            <w:tcW w:w="1437" w:type="dxa"/>
            <w:vMerge w:val="continue"/>
          </w:tcPr>
          <w:p w14:paraId="5478D9E4">
            <w:pPr>
              <w:spacing w:line="300" w:lineRule="auto"/>
              <w:rPr>
                <w:color w:val="FF0000"/>
                <w:kern w:val="0"/>
                <w:sz w:val="18"/>
                <w:szCs w:val="18"/>
              </w:rPr>
            </w:pPr>
          </w:p>
        </w:tc>
        <w:tc>
          <w:tcPr>
            <w:tcW w:w="1363" w:type="dxa"/>
            <w:vMerge w:val="continue"/>
          </w:tcPr>
          <w:p w14:paraId="3B4BDB17">
            <w:pPr>
              <w:spacing w:line="300" w:lineRule="auto"/>
              <w:rPr>
                <w:color w:val="FF0000"/>
                <w:kern w:val="0"/>
                <w:sz w:val="18"/>
                <w:szCs w:val="18"/>
              </w:rPr>
            </w:pPr>
          </w:p>
        </w:tc>
        <w:tc>
          <w:tcPr>
            <w:tcW w:w="1339" w:type="dxa"/>
          </w:tcPr>
          <w:p w14:paraId="6820E455">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1:2</w:t>
            </w:r>
          </w:p>
        </w:tc>
        <w:tc>
          <w:tcPr>
            <w:tcW w:w="1413" w:type="dxa"/>
          </w:tcPr>
          <w:p w14:paraId="50E48F0F">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21</w:t>
            </w:r>
          </w:p>
        </w:tc>
      </w:tr>
      <w:tr w14:paraId="0F9000F2">
        <w:tc>
          <w:tcPr>
            <w:tcW w:w="1268" w:type="dxa"/>
          </w:tcPr>
          <w:p w14:paraId="59500B3E">
            <w:pPr>
              <w:spacing w:line="300" w:lineRule="auto"/>
              <w:jc w:val="left"/>
              <w:rPr>
                <w:color w:val="FF0000"/>
                <w:kern w:val="0"/>
                <w:sz w:val="18"/>
                <w:szCs w:val="18"/>
                <w:highlight w:val="yellow"/>
              </w:rPr>
            </w:pPr>
            <w:r>
              <w:rPr>
                <w:rFonts w:hint="eastAsia" w:ascii="Times New Roman" w:hAnsi="Times New Roman" w:eastAsia="宋体" w:cs="Times New Roman"/>
                <w:color w:val="FF0000"/>
                <w:kern w:val="0"/>
                <w:sz w:val="18"/>
                <w:szCs w:val="18"/>
                <w:highlight w:val="yellow"/>
              </w:rPr>
              <w:t>样品3</w:t>
            </w:r>
          </w:p>
        </w:tc>
        <w:tc>
          <w:tcPr>
            <w:tcW w:w="1486" w:type="dxa"/>
            <w:vMerge w:val="restart"/>
          </w:tcPr>
          <w:p w14:paraId="1EA4CC51">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10 mg/mL</w:t>
            </w:r>
          </w:p>
        </w:tc>
        <w:tc>
          <w:tcPr>
            <w:tcW w:w="1437" w:type="dxa"/>
            <w:vMerge w:val="continue"/>
          </w:tcPr>
          <w:p w14:paraId="333F03B0">
            <w:pPr>
              <w:spacing w:line="300" w:lineRule="auto"/>
              <w:rPr>
                <w:color w:val="FF0000"/>
                <w:kern w:val="0"/>
                <w:sz w:val="18"/>
                <w:szCs w:val="18"/>
              </w:rPr>
            </w:pPr>
          </w:p>
        </w:tc>
        <w:tc>
          <w:tcPr>
            <w:tcW w:w="1363" w:type="dxa"/>
            <w:vMerge w:val="continue"/>
          </w:tcPr>
          <w:p w14:paraId="137D3CA0">
            <w:pPr>
              <w:spacing w:line="300" w:lineRule="auto"/>
              <w:rPr>
                <w:color w:val="FF0000"/>
                <w:kern w:val="0"/>
                <w:sz w:val="18"/>
                <w:szCs w:val="18"/>
              </w:rPr>
            </w:pPr>
          </w:p>
        </w:tc>
        <w:tc>
          <w:tcPr>
            <w:tcW w:w="1339" w:type="dxa"/>
          </w:tcPr>
          <w:p w14:paraId="468B76C1">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1:2</w:t>
            </w:r>
          </w:p>
        </w:tc>
        <w:tc>
          <w:tcPr>
            <w:tcW w:w="1413" w:type="dxa"/>
          </w:tcPr>
          <w:p w14:paraId="6F579F87">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10.5</w:t>
            </w:r>
          </w:p>
        </w:tc>
      </w:tr>
      <w:tr w14:paraId="118254DE">
        <w:tc>
          <w:tcPr>
            <w:tcW w:w="1268" w:type="dxa"/>
            <w:tcBorders>
              <w:bottom w:val="single" w:color="auto" w:sz="12" w:space="0"/>
            </w:tcBorders>
          </w:tcPr>
          <w:p w14:paraId="28B1D5BE">
            <w:pPr>
              <w:spacing w:line="300" w:lineRule="auto"/>
              <w:jc w:val="left"/>
              <w:rPr>
                <w:color w:val="FF0000"/>
                <w:kern w:val="0"/>
                <w:sz w:val="18"/>
                <w:szCs w:val="18"/>
                <w:highlight w:val="yellow"/>
              </w:rPr>
            </w:pPr>
            <w:r>
              <w:rPr>
                <w:rFonts w:hint="eastAsia" w:ascii="Times New Roman" w:hAnsi="Times New Roman" w:eastAsia="宋体" w:cs="Times New Roman"/>
                <w:color w:val="FF0000"/>
                <w:kern w:val="0"/>
                <w:sz w:val="18"/>
                <w:szCs w:val="18"/>
                <w:highlight w:val="yellow"/>
              </w:rPr>
              <w:t>样品4</w:t>
            </w:r>
          </w:p>
        </w:tc>
        <w:tc>
          <w:tcPr>
            <w:tcW w:w="1486" w:type="dxa"/>
            <w:vMerge w:val="continue"/>
            <w:tcBorders>
              <w:bottom w:val="single" w:color="auto" w:sz="12" w:space="0"/>
            </w:tcBorders>
          </w:tcPr>
          <w:p w14:paraId="228103FB">
            <w:pPr>
              <w:spacing w:line="300" w:lineRule="auto"/>
              <w:rPr>
                <w:color w:val="FF0000"/>
                <w:kern w:val="0"/>
                <w:sz w:val="18"/>
                <w:szCs w:val="18"/>
              </w:rPr>
            </w:pPr>
          </w:p>
        </w:tc>
        <w:tc>
          <w:tcPr>
            <w:tcW w:w="1437" w:type="dxa"/>
            <w:vMerge w:val="continue"/>
            <w:tcBorders>
              <w:bottom w:val="single" w:color="auto" w:sz="12" w:space="0"/>
            </w:tcBorders>
          </w:tcPr>
          <w:p w14:paraId="4A827346">
            <w:pPr>
              <w:spacing w:line="300" w:lineRule="auto"/>
              <w:rPr>
                <w:color w:val="FF0000"/>
                <w:kern w:val="0"/>
                <w:sz w:val="18"/>
                <w:szCs w:val="18"/>
              </w:rPr>
            </w:pPr>
          </w:p>
        </w:tc>
        <w:tc>
          <w:tcPr>
            <w:tcW w:w="1363" w:type="dxa"/>
            <w:vMerge w:val="continue"/>
            <w:tcBorders>
              <w:bottom w:val="single" w:color="auto" w:sz="12" w:space="0"/>
            </w:tcBorders>
          </w:tcPr>
          <w:p w14:paraId="098D1C06">
            <w:pPr>
              <w:spacing w:line="300" w:lineRule="auto"/>
              <w:rPr>
                <w:color w:val="FF0000"/>
                <w:kern w:val="0"/>
                <w:sz w:val="18"/>
                <w:szCs w:val="18"/>
              </w:rPr>
            </w:pPr>
          </w:p>
        </w:tc>
        <w:tc>
          <w:tcPr>
            <w:tcW w:w="1339" w:type="dxa"/>
            <w:tcBorders>
              <w:bottom w:val="single" w:color="auto" w:sz="12" w:space="0"/>
            </w:tcBorders>
          </w:tcPr>
          <w:p w14:paraId="0578D29F">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1:1</w:t>
            </w:r>
          </w:p>
        </w:tc>
        <w:tc>
          <w:tcPr>
            <w:tcW w:w="1413" w:type="dxa"/>
            <w:tcBorders>
              <w:bottom w:val="single" w:color="auto" w:sz="12" w:space="0"/>
            </w:tcBorders>
          </w:tcPr>
          <w:p w14:paraId="0734D955">
            <w:pPr>
              <w:spacing w:line="300" w:lineRule="auto"/>
              <w:jc w:val="left"/>
              <w:rPr>
                <w:color w:val="FF0000"/>
                <w:kern w:val="0"/>
                <w:sz w:val="18"/>
                <w:szCs w:val="18"/>
              </w:rPr>
            </w:pPr>
            <w:r>
              <w:rPr>
                <w:rFonts w:hint="eastAsia" w:ascii="Times New Roman" w:hAnsi="Times New Roman" w:eastAsia="宋体" w:cs="Times New Roman"/>
                <w:color w:val="FF0000"/>
                <w:kern w:val="0"/>
                <w:sz w:val="18"/>
                <w:szCs w:val="18"/>
              </w:rPr>
              <w:t>21</w:t>
            </w:r>
          </w:p>
        </w:tc>
      </w:tr>
    </w:tbl>
    <w:p w14:paraId="233C6EB0">
      <w:pPr>
        <w:pStyle w:val="3"/>
        <w:rPr>
          <w:rFonts w:hint="eastAsia"/>
        </w:rPr>
      </w:pPr>
      <w:bookmarkStart w:id="22" w:name="_Toc229493701"/>
      <w:r>
        <w:rPr>
          <w:rFonts w:hint="eastAsia" w:ascii="Times New Roman" w:hAnsi="Times New Roman" w:eastAsia="宋体" w:cs="Times New Roman"/>
        </w:rPr>
        <w:t>测试与表征</w:t>
      </w:r>
      <w:bookmarkEnd w:id="22"/>
    </w:p>
    <w:p w14:paraId="3D18EEAF">
      <w:pPr>
        <w:pStyle w:val="4"/>
      </w:pPr>
      <w:bookmarkStart w:id="23" w:name="_Toc229493702"/>
      <w:r>
        <w:rPr>
          <w:rFonts w:ascii="Times New Roman" w:hAnsi="Times New Roman" w:eastAsia="宋体" w:cs="Times New Roman"/>
        </w:rPr>
        <w:t>表面张力测试</w:t>
      </w:r>
      <w:bookmarkEnd w:id="23"/>
    </w:p>
    <w:p w14:paraId="63881DA9">
      <w:pPr>
        <w:ind w:firstLine="420"/>
        <w:jc w:val="both"/>
      </w:pPr>
      <w:r>
        <w:rPr>
          <w:rFonts w:hint="eastAsia" w:ascii="Times New Roman" w:hAnsi="Times New Roman" w:eastAsia="宋体" w:cs="Times New Roman"/>
        </w:rPr>
        <w:t>使用全自动表面张力仪（</w:t>
      </w:r>
      <w:r>
        <w:rPr>
          <w:rFonts w:ascii="Times New Roman" w:hAnsi="Times New Roman" w:eastAsia="宋体" w:cs="Times New Roman"/>
        </w:rPr>
        <w:t>DCAT21</w:t>
      </w:r>
      <w:r>
        <w:rPr>
          <w:rFonts w:hint="eastAsia" w:ascii="Times New Roman" w:hAnsi="Times New Roman" w:eastAsia="宋体" w:cs="Times New Roman"/>
        </w:rPr>
        <w:t>）分别测定不同溶剂类型及TPM浓度下的</w:t>
      </w:r>
      <w:r>
        <w:rPr>
          <w:rFonts w:hint="eastAsia" w:ascii="Times New Roman" w:hAnsi="Times New Roman" w:eastAsia="宋体" w:cs="Times New Roman"/>
          <w:color w:val="FF0000"/>
          <w:highlight w:val="yellow"/>
        </w:rPr>
        <w:t>CNF</w:t>
      </w:r>
      <w:r>
        <w:rPr>
          <w:rFonts w:ascii="Times New Roman" w:hAnsi="Times New Roman" w:eastAsia="宋体" w:cs="Times New Roman"/>
          <w:color w:val="FF0000"/>
          <w:highlight w:val="yellow"/>
        </w:rPr>
        <w:t>/</w:t>
      </w:r>
      <w:r>
        <w:rPr>
          <w:rFonts w:hint="eastAsia" w:ascii="Times New Roman" w:hAnsi="Times New Roman" w:eastAsia="宋体" w:cs="Times New Roman"/>
          <w:color w:val="FF0000"/>
          <w:highlight w:val="yellow"/>
        </w:rPr>
        <w:t>CNC分散液</w:t>
      </w:r>
      <w:r>
        <w:rPr>
          <w:rFonts w:hint="eastAsia" w:ascii="Times New Roman" w:hAnsi="Times New Roman" w:eastAsia="宋体" w:cs="Times New Roman"/>
        </w:rPr>
        <w:t>的表面张力，以及不同CNTs含量的</w:t>
      </w:r>
      <w:r>
        <w:rPr>
          <w:rFonts w:hint="eastAsia" w:ascii="Times New Roman" w:hAnsi="Times New Roman" w:eastAsia="宋体" w:cs="Times New Roman"/>
          <w:color w:val="FF0000"/>
        </w:rPr>
        <w:t>CNTs/CNF/CNC分散液</w:t>
      </w:r>
      <w:r>
        <w:rPr>
          <w:rFonts w:hint="eastAsia" w:ascii="Times New Roman" w:hAnsi="Times New Roman" w:eastAsia="宋体" w:cs="Times New Roman"/>
        </w:rPr>
        <w:t>的表面张力，以评价其润湿性能和界面特性。</w:t>
      </w:r>
    </w:p>
    <w:p w14:paraId="136CF1CD">
      <w:pPr>
        <w:pStyle w:val="4"/>
        <w:jc w:val="both"/>
      </w:pPr>
      <w:bookmarkStart w:id="24" w:name="_Toc229493703"/>
      <w:r>
        <w:rPr>
          <w:rFonts w:ascii="Times New Roman" w:hAnsi="Times New Roman" w:eastAsia="宋体" w:cs="Times New Roman"/>
        </w:rPr>
        <w:t>粒径测试</w:t>
      </w:r>
      <w:bookmarkEnd w:id="24"/>
    </w:p>
    <w:p w14:paraId="69CA2361">
      <w:pPr>
        <w:ind w:firstLine="420"/>
        <w:jc w:val="both"/>
      </w:pPr>
      <w:r>
        <w:rPr>
          <w:rFonts w:hint="eastAsia" w:ascii="Times New Roman" w:hAnsi="Times New Roman" w:eastAsia="宋体" w:cs="Times New Roman"/>
        </w:rPr>
        <w:t>将</w:t>
      </w:r>
      <w:r>
        <w:rPr>
          <w:rFonts w:hint="eastAsia" w:ascii="Times New Roman" w:hAnsi="Times New Roman" w:eastAsia="宋体" w:cs="Times New Roman"/>
          <w:color w:val="FF0000"/>
        </w:rPr>
        <w:t>CNTs/CNF/CNC分散液</w:t>
      </w:r>
      <w:r>
        <w:rPr>
          <w:rFonts w:hint="eastAsia" w:ascii="Times New Roman" w:hAnsi="Times New Roman" w:eastAsia="宋体" w:cs="Times New Roman"/>
        </w:rPr>
        <w:t>稀释并超声分散，注入样品池，使用马尔文激光粒度仪分别测试其粒径，并记录结果。</w:t>
      </w:r>
    </w:p>
    <w:p w14:paraId="32CCD3BA">
      <w:pPr>
        <w:pStyle w:val="4"/>
        <w:jc w:val="both"/>
      </w:pPr>
      <w:bookmarkStart w:id="25" w:name="_Toc229493704"/>
      <w:r>
        <w:rPr>
          <w:rFonts w:ascii="Times New Roman" w:hAnsi="Times New Roman" w:eastAsia="宋体" w:cs="Times New Roman"/>
        </w:rPr>
        <w:t>表面形貌测试</w:t>
      </w:r>
      <w:bookmarkEnd w:id="25"/>
    </w:p>
    <w:p w14:paraId="202664BF">
      <w:pPr>
        <w:ind w:firstLine="420"/>
        <w:jc w:val="both"/>
      </w:pPr>
      <w:r>
        <w:rPr>
          <w:rFonts w:hint="eastAsia" w:ascii="Times New Roman" w:hAnsi="Times New Roman" w:eastAsia="宋体" w:cs="Times New Roman"/>
        </w:rPr>
        <w:t>利用扫描电子显微镜（SEM，SU3800）观察薄膜的表面微观形貌。测试前，需要对样品进行喷金处理（40 s）。</w:t>
      </w:r>
    </w:p>
    <w:p w14:paraId="33CA5DEC">
      <w:pPr>
        <w:pStyle w:val="4"/>
        <w:jc w:val="both"/>
      </w:pPr>
      <w:bookmarkStart w:id="26" w:name="_Toc229493705"/>
      <w:r>
        <w:rPr>
          <w:rFonts w:hint="eastAsia" w:ascii="Times New Roman" w:hAnsi="Times New Roman" w:eastAsia="宋体" w:cs="Times New Roman"/>
        </w:rPr>
        <w:t>导电性能测试</w:t>
      </w:r>
      <w:bookmarkEnd w:id="26"/>
    </w:p>
    <w:p w14:paraId="50B429FF">
      <w:pPr>
        <w:ind w:firstLine="420"/>
        <w:jc w:val="both"/>
      </w:pPr>
      <w:r>
        <w:rPr>
          <w:rFonts w:hint="eastAsia" w:ascii="Times New Roman" w:hAnsi="Times New Roman" w:eastAsia="宋体" w:cs="Times New Roman"/>
        </w:rPr>
        <w:t>使用四探针表面电阻分析仪（M-3</w:t>
      </w:r>
      <w:r>
        <w:rPr>
          <w:rFonts w:ascii="Times New Roman" w:hAnsi="Times New Roman" w:eastAsia="宋体" w:cs="Times New Roman"/>
        </w:rPr>
        <w:t>）</w:t>
      </w:r>
      <w:r>
        <w:rPr>
          <w:rFonts w:hint="eastAsia" w:ascii="Times New Roman" w:hAnsi="Times New Roman" w:eastAsia="宋体" w:cs="Times New Roman"/>
        </w:rPr>
        <w:t>测试薄膜的表面方阻，并计算其表面电导率，每个样品测试</w:t>
      </w:r>
      <w:r>
        <w:rPr>
          <w:rFonts w:ascii="Times New Roman" w:hAnsi="Times New Roman" w:eastAsia="宋体" w:cs="Times New Roman"/>
        </w:rPr>
        <w:t>5</w:t>
      </w:r>
      <w:r>
        <w:rPr>
          <w:rFonts w:hint="eastAsia" w:ascii="Times New Roman" w:hAnsi="Times New Roman" w:eastAsia="宋体" w:cs="Times New Roman"/>
        </w:rPr>
        <w:t>次，测试结果取平均值。</w:t>
      </w:r>
    </w:p>
    <w:p w14:paraId="552CB333">
      <w:pPr>
        <w:pStyle w:val="4"/>
        <w:jc w:val="both"/>
      </w:pPr>
      <w:bookmarkStart w:id="27" w:name="_Toc229493707"/>
      <w:r>
        <w:rPr>
          <w:rFonts w:ascii="Times New Roman" w:hAnsi="Times New Roman" w:eastAsia="宋体" w:cs="Times New Roman"/>
        </w:rPr>
        <w:t>电磁屏蔽</w:t>
      </w:r>
      <w:r>
        <w:rPr>
          <w:rFonts w:hint="eastAsia" w:ascii="Times New Roman" w:hAnsi="Times New Roman" w:eastAsia="宋体" w:cs="Times New Roman"/>
        </w:rPr>
        <w:t>性能</w:t>
      </w:r>
      <w:r>
        <w:rPr>
          <w:rFonts w:ascii="Times New Roman" w:hAnsi="Times New Roman" w:eastAsia="宋体" w:cs="Times New Roman"/>
        </w:rPr>
        <w:t>测试</w:t>
      </w:r>
      <w:bookmarkEnd w:id="27"/>
    </w:p>
    <w:p w14:paraId="786FE6CC">
      <w:pPr>
        <w:ind w:firstLine="360"/>
        <w:jc w:val="both"/>
      </w:pPr>
      <w:r>
        <w:rPr>
          <w:rFonts w:hint="eastAsia" w:ascii="Times New Roman" w:hAnsi="Times New Roman" w:eastAsia="宋体" w:cs="Times New Roman"/>
        </w:rPr>
        <w:t>使用矢量网络分析仪（安捷伦, N5224B）测试薄膜在</w:t>
      </w:r>
      <w:r>
        <w:rPr>
          <w:rFonts w:hint="eastAsia" w:ascii="Times New Roman" w:hAnsi="Times New Roman" w:eastAsia="宋体" w:cs="Times New Roman"/>
          <w:color w:val="FF0000"/>
        </w:rPr>
        <w:t>8</w:t>
      </w:r>
      <w:r>
        <w:rPr>
          <w:rFonts w:ascii="Times New Roman" w:hAnsi="Times New Roman" w:eastAsia="宋体" w:cs="Times New Roman"/>
          <w:color w:val="FF0000"/>
        </w:rPr>
        <w:t>.2</w:t>
      </w:r>
      <w:r>
        <w:rPr>
          <w:rFonts w:hint="eastAsia" w:ascii="Times New Roman" w:hAnsi="Times New Roman" w:eastAsia="宋体" w:cs="Times New Roman"/>
          <w:color w:val="FF0000"/>
        </w:rPr>
        <w:t>-</w:t>
      </w:r>
      <w:r>
        <w:rPr>
          <w:rFonts w:ascii="Times New Roman" w:hAnsi="Times New Roman" w:eastAsia="宋体" w:cs="Times New Roman"/>
          <w:color w:val="FF0000"/>
        </w:rPr>
        <w:t xml:space="preserve">12.4 </w:t>
      </w:r>
      <w:r>
        <w:rPr>
          <w:rFonts w:hint="eastAsia" w:ascii="Times New Roman" w:hAnsi="Times New Roman" w:eastAsia="宋体" w:cs="Times New Roman"/>
          <w:color w:val="FF0000"/>
        </w:rPr>
        <w:t>GHz以及1</w:t>
      </w:r>
      <w:r>
        <w:rPr>
          <w:rFonts w:ascii="Times New Roman" w:hAnsi="Times New Roman" w:eastAsia="宋体" w:cs="Times New Roman"/>
          <w:color w:val="FF0000"/>
        </w:rPr>
        <w:t>2.4-18</w:t>
      </w:r>
      <w:r>
        <w:rPr>
          <w:rFonts w:hint="eastAsia" w:ascii="Times New Roman" w:hAnsi="Times New Roman" w:eastAsia="宋体" w:cs="Times New Roman"/>
          <w:color w:val="FF0000"/>
        </w:rPr>
        <w:t xml:space="preserve"> GHz</w:t>
      </w:r>
      <w:r>
        <w:rPr>
          <w:rFonts w:hint="eastAsia" w:ascii="Times New Roman" w:hAnsi="Times New Roman" w:eastAsia="宋体" w:cs="Times New Roman"/>
        </w:rPr>
        <w:t>频率范围内的电磁参数（S参数），测试方法为波导法，并根据经验公式计算薄膜的电磁屏蔽效能（S</w:t>
      </w:r>
      <w:r>
        <w:rPr>
          <w:rFonts w:ascii="Times New Roman" w:hAnsi="Times New Roman" w:eastAsia="宋体" w:cs="Times New Roman"/>
        </w:rPr>
        <w:t>E</w:t>
      </w:r>
      <w:r>
        <w:rPr>
          <w:rFonts w:hint="eastAsia" w:ascii="Times New Roman" w:hAnsi="Times New Roman" w:eastAsia="宋体" w:cs="Times New Roman"/>
        </w:rPr>
        <w:t>值）与功率系数。</w:t>
      </w:r>
    </w:p>
    <w:p w14:paraId="63624877">
      <w:pPr>
        <w:widowControl/>
        <w:jc w:val="both"/>
        <w:rPr>
          <w:rFonts w:hint="eastAsia" w:ascii="宋体" w:hAnsi="宋体"/>
        </w:rPr>
      </w:pPr>
      <w:r>
        <w:rPr>
          <w:rFonts w:hint="eastAsia" w:ascii="Times New Roman" w:hAnsi="Times New Roman" w:eastAsia="宋体" w:cs="Times New Roman"/>
        </w:rPr>
        <w:br w:type="page"/>
      </w:r>
    </w:p>
    <w:p w14:paraId="4E94603E">
      <w:pPr>
        <w:pStyle w:val="2"/>
      </w:pPr>
      <w:bookmarkStart w:id="28" w:name="_Toc229493708"/>
      <w:r>
        <w:rPr>
          <w:rFonts w:ascii="Times New Roman" w:hAnsi="Times New Roman" w:eastAsia="宋体" w:cs="Times New Roman"/>
        </w:rPr>
        <w:t>结果与讨论</w:t>
      </w:r>
      <w:bookmarkEnd w:id="28"/>
    </w:p>
    <w:p w14:paraId="20C268B3">
      <w:pPr>
        <w:pStyle w:val="3"/>
        <w:rPr>
          <w:rFonts w:hint="eastAsia"/>
        </w:rPr>
      </w:pPr>
      <w:bookmarkStart w:id="29" w:name="_Toc229493709"/>
      <w:r>
        <w:rPr>
          <w:rFonts w:hint="eastAsia" w:ascii="Times New Roman" w:hAnsi="Times New Roman" w:eastAsia="宋体" w:cs="Times New Roman"/>
        </w:rPr>
        <w:t>溶剂体系对纳米纤维素薄膜表面形貌的影响</w:t>
      </w:r>
      <w:bookmarkEnd w:id="29"/>
    </w:p>
    <w:p w14:paraId="7CEC78FD">
      <w:pPr>
        <w:ind w:firstLine="480" w:firstLineChars="200"/>
        <w:jc w:val="both"/>
      </w:pPr>
      <w:r>
        <w:rPr>
          <w:rFonts w:hint="eastAsia" w:ascii="Times New Roman" w:hAnsi="Times New Roman" w:eastAsia="宋体" w:cs="Times New Roman"/>
        </w:rPr>
        <w:t>为研究不同纳米纤维素组分对成膜性能的影响，首先制备了仅含CNF的对比样品。研究表明，在相同工艺条件下，单一CNF体系干燥后所得薄膜难以完整剥离，无法形成稳定的自支撑膜结构。而引入刚性棒状结构的CNC后，可在CNF构建的柔性网络中起到支撑与调节作用，从而显著改善薄膜的完整性与可剥离性（图3</w:t>
      </w:r>
      <w:r>
        <w:rPr>
          <w:rFonts w:ascii="Times New Roman" w:hAnsi="Times New Roman" w:eastAsia="宋体" w:cs="Times New Roman"/>
        </w:rPr>
        <w:t>-</w:t>
      </w:r>
      <w:r>
        <w:rPr>
          <w:rFonts w:hint="eastAsia" w:ascii="Times New Roman" w:hAnsi="Times New Roman" w:eastAsia="宋体" w:cs="Times New Roman"/>
        </w:rPr>
        <w:t>1）。此外，由于该体系仅以水为分散介质，溶剂挥发过程中不存在明显的相分离或挥发速率差异，所得</w:t>
      </w:r>
      <w:r>
        <w:rPr>
          <w:rFonts w:hint="eastAsia" w:ascii="Times New Roman" w:hAnsi="Times New Roman" w:eastAsia="宋体" w:cs="Times New Roman"/>
          <w:highlight w:val="yellow"/>
        </w:rPr>
        <w:t>纳米纤维素薄膜</w:t>
      </w:r>
      <w:r>
        <w:rPr>
          <w:rFonts w:hint="eastAsia" w:ascii="Times New Roman" w:hAnsi="Times New Roman" w:eastAsia="宋体" w:cs="Times New Roman"/>
        </w:rPr>
        <w:t>整体结构较为致密，未观察到明显的微孔结构，这为后续通过引入不同挥发特性的醇醚类试剂调控薄膜微观结构提供了对照基础。</w:t>
      </w:r>
    </w:p>
    <w:p w14:paraId="4198AA2A">
      <w:pPr>
        <w:jc w:val="both"/>
      </w:pPr>
    </w:p>
    <w:p w14:paraId="42153F79">
      <w:pPr>
        <w:jc w:val="both"/>
      </w:pPr>
      <w:r>
        <w:rPr>
          <w:rFonts w:hint="eastAsia" w:ascii="Times New Roman" w:hAnsi="Times New Roman" w:eastAsia="宋体" w:cs="Times New Roman"/>
          <w:highlight w:val="yellow"/>
        </w:rPr>
        <w:t>图3</w:t>
      </w:r>
      <w:r>
        <w:rPr>
          <w:rFonts w:ascii="Times New Roman" w:hAnsi="Times New Roman" w:eastAsia="宋体" w:cs="Times New Roman"/>
          <w:highlight w:val="yellow"/>
        </w:rPr>
        <w:t>-1</w:t>
      </w:r>
    </w:p>
    <w:p w14:paraId="24815E2F">
      <w:pPr>
        <w:ind w:firstLine="480" w:firstLineChars="200"/>
        <w:jc w:val="both"/>
        <w:rPr>
          <w:rFonts w:hint="eastAsia" w:ascii="宋体" w:hAnsi="宋体"/>
        </w:rPr>
      </w:pPr>
      <w:r>
        <w:rPr>
          <w:rFonts w:hint="eastAsia" w:ascii="Times New Roman" w:hAnsi="Times New Roman" w:eastAsia="宋体" w:cs="Times New Roman"/>
          <w:color w:val="FF0000"/>
        </w:rPr>
        <w:t>在此基础上，通过引入具有低表面能、高沸点的有机溶剂来调控薄膜的微观结构。实验中，选用乙醇、丙二醇丙醚、MPD和TPM四种</w:t>
      </w:r>
      <w:r>
        <w:rPr>
          <w:rFonts w:hint="eastAsia" w:ascii="Times New Roman" w:hAnsi="Times New Roman" w:eastAsia="宋体" w:cs="Times New Roman"/>
        </w:rPr>
        <w:t>醇醚类</w:t>
      </w:r>
      <w:r>
        <w:rPr>
          <w:rFonts w:hint="eastAsia" w:ascii="Times New Roman" w:hAnsi="Times New Roman" w:eastAsia="宋体" w:cs="Times New Roman"/>
          <w:color w:val="FF0000"/>
        </w:rPr>
        <w:t>试剂来制备复合溶剂体系，其表面张力与沸点如表3</w:t>
      </w:r>
      <w:r>
        <w:rPr>
          <w:rFonts w:ascii="Times New Roman" w:hAnsi="Times New Roman" w:eastAsia="宋体" w:cs="Times New Roman"/>
          <w:color w:val="FF0000"/>
        </w:rPr>
        <w:t>-1</w:t>
      </w:r>
      <w:r>
        <w:rPr>
          <w:rFonts w:hint="eastAsia" w:ascii="Times New Roman" w:hAnsi="Times New Roman" w:eastAsia="宋体" w:cs="Times New Roman"/>
          <w:color w:val="FF0000"/>
        </w:rPr>
        <w:t>所示。</w:t>
      </w:r>
      <w:r>
        <w:rPr>
          <w:rFonts w:hint="eastAsia" w:ascii="Times New Roman" w:hAnsi="Times New Roman" w:eastAsia="宋体" w:cs="Times New Roman"/>
        </w:rPr>
        <w:t>由于不同试剂在溶剂体系中的溶解性及挥发速率存在差异，从而影响成膜过程中纤维素纳米纤维的分散状态与堆积方式，最终导致薄膜形貌发生变化。</w:t>
      </w:r>
      <w:r>
        <w:rPr>
          <w:rFonts w:hint="eastAsia" w:ascii="Times New Roman" w:hAnsi="Times New Roman" w:eastAsia="宋体" w:cs="Times New Roman"/>
          <w:color w:val="FF0000"/>
        </w:rPr>
        <w:t>采用S</w:t>
      </w:r>
      <w:r>
        <w:rPr>
          <w:rFonts w:ascii="Times New Roman" w:hAnsi="Times New Roman" w:eastAsia="宋体" w:cs="Times New Roman"/>
          <w:color w:val="FF0000"/>
        </w:rPr>
        <w:t>EM</w:t>
      </w:r>
      <w:r>
        <w:rPr>
          <w:rFonts w:hint="eastAsia" w:ascii="Times New Roman" w:hAnsi="Times New Roman" w:eastAsia="宋体" w:cs="Times New Roman"/>
          <w:color w:val="FF0000"/>
        </w:rPr>
        <w:t>对样品的表面微观形貌进行表征，结果如图</w:t>
      </w:r>
      <w:r>
        <w:rPr>
          <w:rFonts w:ascii="Times New Roman" w:hAnsi="Times New Roman" w:eastAsia="宋体" w:cs="Times New Roman"/>
          <w:color w:val="FF0000"/>
        </w:rPr>
        <w:t>3-2</w:t>
      </w:r>
      <w:r>
        <w:rPr>
          <w:rFonts w:hint="eastAsia" w:ascii="Times New Roman" w:hAnsi="Times New Roman" w:eastAsia="宋体" w:cs="Times New Roman"/>
          <w:color w:val="FF0000"/>
        </w:rPr>
        <w:t>所示。</w:t>
      </w:r>
      <w:r>
        <w:rPr>
          <w:rFonts w:ascii="Times New Roman" w:hAnsi="Times New Roman" w:eastAsia="宋体" w:cs="Times New Roman"/>
          <w:color w:val="FF0000"/>
        </w:rPr>
        <w:t>从图3-2（a）可以明显观察到，在乙醇</w:t>
      </w:r>
      <w:r>
        <w:rPr>
          <w:rFonts w:hint="eastAsia" w:ascii="Times New Roman" w:hAnsi="Times New Roman" w:eastAsia="宋体" w:cs="Times New Roman"/>
          <w:color w:val="FF0000"/>
        </w:rPr>
        <w:t>/水溶剂</w:t>
      </w:r>
      <w:r>
        <w:rPr>
          <w:rFonts w:ascii="Times New Roman" w:hAnsi="Times New Roman" w:eastAsia="宋体" w:cs="Times New Roman"/>
          <w:color w:val="FF0000"/>
        </w:rPr>
        <w:t>体系中，</w:t>
      </w:r>
      <w:r>
        <w:rPr>
          <w:rFonts w:hint="eastAsia" w:ascii="Times New Roman" w:hAnsi="Times New Roman" w:eastAsia="宋体" w:cs="Times New Roman"/>
          <w:color w:val="FF0000"/>
        </w:rPr>
        <w:t>所制备的</w:t>
      </w:r>
      <w:r>
        <w:rPr>
          <w:rFonts w:ascii="Times New Roman" w:hAnsi="Times New Roman" w:eastAsia="宋体" w:cs="Times New Roman"/>
          <w:color w:val="FF0000"/>
        </w:rPr>
        <w:t>薄膜整体结构较为致密，无明显微孔结构形成。</w:t>
      </w:r>
      <w:r>
        <w:rPr>
          <w:rFonts w:hint="eastAsia" w:ascii="Times New Roman" w:hAnsi="Times New Roman" w:eastAsia="宋体" w:cs="Times New Roman"/>
          <w:color w:val="FF0000"/>
        </w:rPr>
        <w:t>这是因为</w:t>
      </w:r>
      <w:r>
        <w:rPr>
          <w:rFonts w:ascii="Times New Roman" w:hAnsi="Times New Roman" w:eastAsia="宋体" w:cs="Times New Roman"/>
          <w:color w:val="FF0000"/>
        </w:rPr>
        <w:t>尽管乙醇能够降低表面张力，但其挥发速度过快，难以形成稳定的孔隙结构。</w:t>
      </w:r>
      <w:r>
        <w:rPr>
          <w:rFonts w:ascii="Times New Roman" w:hAnsi="Times New Roman" w:eastAsia="宋体" w:cs="Times New Roman"/>
        </w:rPr>
        <w:t>相比之下，加入</w:t>
      </w:r>
      <w:r>
        <w:rPr>
          <w:rFonts w:hint="eastAsia" w:ascii="Times New Roman" w:hAnsi="Times New Roman" w:eastAsia="宋体" w:cs="Times New Roman"/>
          <w:color w:val="FF0000"/>
        </w:rPr>
        <w:t>丙二醇丙醚</w:t>
      </w:r>
      <w:r>
        <w:rPr>
          <w:rFonts w:ascii="Times New Roman" w:hAnsi="Times New Roman" w:eastAsia="宋体" w:cs="Times New Roman"/>
        </w:rPr>
        <w:t>后，如图3-2（</w:t>
      </w:r>
      <w:r>
        <w:rPr>
          <w:rFonts w:hint="eastAsia" w:ascii="Times New Roman" w:hAnsi="Times New Roman" w:eastAsia="宋体" w:cs="Times New Roman"/>
        </w:rPr>
        <w:t>b</w:t>
      </w:r>
      <w:r>
        <w:rPr>
          <w:rFonts w:ascii="Times New Roman" w:hAnsi="Times New Roman" w:eastAsia="宋体" w:cs="Times New Roman"/>
        </w:rPr>
        <w:t>）所示，薄膜中开始出现少量微孔结构，但孔径较小且分布较为稀疏。这表明适度挥发速率有助于孔结构的初步形成。进一步提高溶剂沸点，薄膜内部出现更加明显且均匀的微孔结构。MPD和TPM体系均表现出较好的成孔能力，孔结构数量增加且</w:t>
      </w:r>
      <w:r>
        <w:rPr>
          <w:rFonts w:hint="eastAsia" w:ascii="Times New Roman" w:hAnsi="Times New Roman" w:eastAsia="宋体" w:cs="Times New Roman"/>
        </w:rPr>
        <w:t>微孔</w:t>
      </w:r>
      <w:r>
        <w:rPr>
          <w:rFonts w:ascii="Times New Roman" w:hAnsi="Times New Roman" w:eastAsia="宋体" w:cs="Times New Roman"/>
        </w:rPr>
        <w:t>尺寸更</w:t>
      </w:r>
      <w:r>
        <w:rPr>
          <w:rFonts w:hint="eastAsia" w:ascii="Times New Roman" w:hAnsi="Times New Roman" w:eastAsia="宋体" w:cs="Times New Roman"/>
        </w:rPr>
        <w:t>大</w:t>
      </w:r>
      <w:r>
        <w:rPr>
          <w:rFonts w:ascii="Times New Roman" w:hAnsi="Times New Roman" w:eastAsia="宋体" w:cs="Times New Roman"/>
        </w:rPr>
        <w:t>。</w:t>
      </w:r>
    </w:p>
    <w:p w14:paraId="275D1171">
      <w:pPr>
        <w:pStyle w:val="11"/>
        <w:jc w:val="center"/>
        <w:rPr>
          <w:rFonts w:hint="eastAsia" w:ascii="宋体" w:hAnsi="宋体"/>
          <w:sz w:val="24"/>
        </w:rPr>
      </w:pPr>
      <w:r>
        <w:rPr>
          <w:rFonts w:hint="eastAsia" w:ascii="Times New Roman" w:hAnsi="Times New Roman" w:eastAsia="SimHei" w:cs="Times New Roman"/>
          <w:sz w:val="21"/>
        </w:rPr>
        <w:t>表3-1  沸点和表面张力</w:t>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ascii="Times New Roman" w:hAnsi="Times New Roman" w:cs="Times New Roman" w:eastAsia="SimHei"/>
          <w:sz w:val="21"/>
        </w:rPr>
      </w:r>
      <w:r>
        <w:rPr>
          <w:rFonts w:hint="eastAsia" w:ascii="Times New Roman" w:hAnsi="Times New Roman" w:eastAsia="SimHei" w:cs="Times New Roman"/>
          <w:sz w:val="21"/>
        </w:rPr>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31F953B">
        <w:tc>
          <w:tcPr>
            <w:tcW w:w="2765" w:type="dxa"/>
            <w:tcBorders>
              <w:top w:val="single" w:color="auto" w:sz="12" w:space="0"/>
              <w:bottom w:val="single" w:color="auto" w:sz="6" w:space="0"/>
            </w:tcBorders>
          </w:tcPr>
          <w:p w14:paraId="4B08DD62">
            <w:pPr>
              <w:spacing w:line="300" w:lineRule="auto"/>
              <w:jc w:val="left"/>
              <w:rPr>
                <w:kern w:val="2"/>
                <w:sz w:val="18"/>
                <w:szCs w:val="18"/>
              </w:rPr>
            </w:pPr>
            <w:r>
              <w:rPr>
                <w:rFonts w:hint="eastAsia" w:ascii="Times New Roman" w:hAnsi="Times New Roman" w:eastAsia="宋体" w:cs="Times New Roman"/>
                <w:kern w:val="2"/>
                <w:sz w:val="18"/>
                <w:szCs w:val="18"/>
              </w:rPr>
              <w:t>溶剂</w:t>
            </w:r>
          </w:p>
        </w:tc>
        <w:tc>
          <w:tcPr>
            <w:tcW w:w="2765" w:type="dxa"/>
            <w:tcBorders>
              <w:top w:val="single" w:color="auto" w:sz="12" w:space="0"/>
              <w:bottom w:val="single" w:color="auto" w:sz="6" w:space="0"/>
            </w:tcBorders>
          </w:tcPr>
          <w:p w14:paraId="2E21C2EF">
            <w:pPr>
              <w:spacing w:line="300" w:lineRule="auto"/>
              <w:jc w:val="left"/>
              <w:rPr>
                <w:kern w:val="2"/>
                <w:sz w:val="18"/>
                <w:szCs w:val="18"/>
              </w:rPr>
            </w:pPr>
            <w:r>
              <w:rPr>
                <w:rFonts w:hint="eastAsia" w:ascii="Times New Roman" w:hAnsi="Times New Roman" w:eastAsia="宋体" w:cs="Times New Roman"/>
                <w:kern w:val="2"/>
                <w:sz w:val="18"/>
                <w:szCs w:val="18"/>
              </w:rPr>
              <w:t>沸点（</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rPr>
              <w:t>）</w:t>
            </w:r>
          </w:p>
        </w:tc>
        <w:tc>
          <w:tcPr>
            <w:tcW w:w="2766" w:type="dxa"/>
            <w:tcBorders>
              <w:top w:val="single" w:color="auto" w:sz="12" w:space="0"/>
              <w:bottom w:val="single" w:color="auto" w:sz="6" w:space="0"/>
            </w:tcBorders>
          </w:tcPr>
          <w:p w14:paraId="6040057E">
            <w:pPr>
              <w:spacing w:line="300" w:lineRule="auto"/>
              <w:jc w:val="left"/>
              <w:rPr>
                <w:kern w:val="2"/>
                <w:sz w:val="18"/>
                <w:szCs w:val="18"/>
              </w:rPr>
            </w:pPr>
            <w:r>
              <w:rPr>
                <w:rFonts w:hint="eastAsia" w:ascii="Times New Roman" w:hAnsi="Times New Roman" w:eastAsia="宋体" w:cs="Times New Roman"/>
                <w:kern w:val="2"/>
                <w:sz w:val="18"/>
                <w:szCs w:val="18"/>
              </w:rPr>
              <w:t>表面张力（mN/m,</w:t>
            </w:r>
            <w:r>
              <w:rPr>
                <w:rFonts w:ascii="Times New Roman" w:hAnsi="Times New Roman" w:eastAsia="宋体" w:cs="Times New Roman"/>
                <w:kern w:val="2"/>
                <w:sz w:val="18"/>
                <w:szCs w:val="18"/>
              </w:rPr>
              <w:t xml:space="preserve"> </w:t>
            </w:r>
            <w:r>
              <w:rPr>
                <w:rFonts w:hint="eastAsia" w:ascii="Times New Roman" w:hAnsi="Times New Roman" w:eastAsia="宋体" w:cs="Times New Roman"/>
                <w:kern w:val="2"/>
                <w:sz w:val="18"/>
                <w:szCs w:val="18"/>
              </w:rPr>
              <w:t>25</w:t>
            </w:r>
            <w:r>
              <w:rPr>
                <w:rFonts w:ascii="Times New Roman" w:hAnsi="Times New Roman" w:eastAsia="宋体" w:cs="Times New Roman"/>
                <w:kern w:val="2"/>
                <w:sz w:val="18"/>
                <w:szCs w:val="18"/>
              </w:rPr>
              <w:t>℃）</w:t>
            </w:r>
          </w:p>
        </w:tc>
      </w:tr>
      <w:tr w14:paraId="030A0550">
        <w:tc>
          <w:tcPr>
            <w:tcW w:w="2765" w:type="dxa"/>
            <w:tcBorders>
              <w:top w:val="single" w:color="auto" w:sz="6" w:space="0"/>
            </w:tcBorders>
          </w:tcPr>
          <w:p w14:paraId="3DACC5D6">
            <w:pPr>
              <w:spacing w:line="300" w:lineRule="auto"/>
              <w:jc w:val="left"/>
              <w:rPr>
                <w:kern w:val="2"/>
                <w:sz w:val="18"/>
                <w:szCs w:val="18"/>
              </w:rPr>
            </w:pPr>
            <w:r>
              <w:rPr>
                <w:rFonts w:hint="eastAsia" w:ascii="Times New Roman" w:hAnsi="Times New Roman" w:eastAsia="宋体" w:cs="Times New Roman"/>
                <w:kern w:val="2"/>
                <w:sz w:val="18"/>
                <w:szCs w:val="18"/>
              </w:rPr>
              <w:t>水</w:t>
            </w:r>
          </w:p>
        </w:tc>
        <w:tc>
          <w:tcPr>
            <w:tcW w:w="2765" w:type="dxa"/>
            <w:tcBorders>
              <w:top w:val="single" w:color="auto" w:sz="6" w:space="0"/>
            </w:tcBorders>
          </w:tcPr>
          <w:p w14:paraId="282E6E92">
            <w:pPr>
              <w:spacing w:line="300" w:lineRule="auto"/>
              <w:jc w:val="left"/>
              <w:rPr>
                <w:kern w:val="2"/>
                <w:sz w:val="18"/>
                <w:szCs w:val="18"/>
              </w:rPr>
            </w:pPr>
            <w:r>
              <w:rPr>
                <w:rFonts w:hint="eastAsia" w:ascii="Times New Roman" w:hAnsi="Times New Roman" w:eastAsia="宋体" w:cs="Times New Roman"/>
                <w:kern w:val="2"/>
                <w:sz w:val="18"/>
                <w:szCs w:val="18"/>
              </w:rPr>
              <w:t>100</w:t>
            </w:r>
          </w:p>
        </w:tc>
        <w:tc>
          <w:tcPr>
            <w:tcW w:w="2766" w:type="dxa"/>
            <w:tcBorders>
              <w:top w:val="single" w:color="auto" w:sz="6" w:space="0"/>
            </w:tcBorders>
          </w:tcPr>
          <w:p w14:paraId="1854A9FD">
            <w:pPr>
              <w:spacing w:line="300" w:lineRule="auto"/>
              <w:jc w:val="left"/>
              <w:rPr>
                <w:kern w:val="2"/>
                <w:sz w:val="18"/>
                <w:szCs w:val="18"/>
              </w:rPr>
            </w:pPr>
            <w:r>
              <w:rPr>
                <w:rFonts w:hint="eastAsia" w:ascii="Times New Roman" w:hAnsi="Times New Roman" w:eastAsia="宋体" w:cs="Times New Roman"/>
                <w:kern w:val="2"/>
                <w:sz w:val="18"/>
                <w:szCs w:val="18"/>
              </w:rPr>
              <w:t>72.8</w:t>
            </w:r>
          </w:p>
        </w:tc>
      </w:tr>
      <w:tr w14:paraId="6E495E35">
        <w:tc>
          <w:tcPr>
            <w:tcW w:w="2765" w:type="dxa"/>
          </w:tcPr>
          <w:p w14:paraId="327A7C98">
            <w:pPr>
              <w:spacing w:line="300" w:lineRule="auto"/>
              <w:jc w:val="left"/>
              <w:rPr>
                <w:kern w:val="2"/>
                <w:sz w:val="18"/>
                <w:szCs w:val="18"/>
              </w:rPr>
            </w:pPr>
            <w:r>
              <w:rPr>
                <w:rFonts w:hint="eastAsia" w:ascii="Times New Roman" w:hAnsi="Times New Roman" w:eastAsia="宋体" w:cs="Times New Roman"/>
                <w:kern w:val="2"/>
                <w:sz w:val="18"/>
                <w:szCs w:val="18"/>
              </w:rPr>
              <w:t>乙醇</w:t>
            </w:r>
          </w:p>
        </w:tc>
        <w:tc>
          <w:tcPr>
            <w:tcW w:w="2765" w:type="dxa"/>
          </w:tcPr>
          <w:p w14:paraId="200AA558">
            <w:pPr>
              <w:spacing w:line="300" w:lineRule="auto"/>
              <w:jc w:val="left"/>
              <w:rPr>
                <w:kern w:val="2"/>
                <w:sz w:val="18"/>
                <w:szCs w:val="18"/>
              </w:rPr>
            </w:pPr>
            <w:r>
              <w:rPr>
                <w:rFonts w:hint="eastAsia" w:ascii="Times New Roman" w:hAnsi="Times New Roman" w:eastAsia="宋体" w:cs="Times New Roman"/>
                <w:kern w:val="2"/>
                <w:sz w:val="18"/>
                <w:szCs w:val="18"/>
              </w:rPr>
              <w:t>78.4</w:t>
            </w:r>
          </w:p>
        </w:tc>
        <w:tc>
          <w:tcPr>
            <w:tcW w:w="2766" w:type="dxa"/>
          </w:tcPr>
          <w:p w14:paraId="5375EE72">
            <w:pPr>
              <w:spacing w:line="300" w:lineRule="auto"/>
              <w:jc w:val="left"/>
              <w:rPr>
                <w:kern w:val="2"/>
                <w:sz w:val="18"/>
                <w:szCs w:val="18"/>
              </w:rPr>
            </w:pPr>
            <w:r>
              <w:rPr>
                <w:rFonts w:hint="eastAsia" w:ascii="Times New Roman" w:hAnsi="Times New Roman" w:eastAsia="宋体" w:cs="Times New Roman"/>
                <w:kern w:val="2"/>
                <w:sz w:val="18"/>
                <w:szCs w:val="18"/>
              </w:rPr>
              <w:t>22.3</w:t>
            </w:r>
          </w:p>
        </w:tc>
      </w:tr>
      <w:tr w14:paraId="238E0B3B">
        <w:tc>
          <w:tcPr>
            <w:tcW w:w="2765" w:type="dxa"/>
          </w:tcPr>
          <w:p w14:paraId="0FB00C72">
            <w:pPr>
              <w:spacing w:line="300" w:lineRule="auto"/>
              <w:jc w:val="left"/>
              <w:rPr>
                <w:kern w:val="2"/>
                <w:sz w:val="18"/>
                <w:szCs w:val="18"/>
              </w:rPr>
            </w:pPr>
            <w:r>
              <w:rPr>
                <w:rFonts w:hint="eastAsia" w:ascii="Times New Roman" w:hAnsi="Times New Roman" w:eastAsia="宋体" w:cs="Times New Roman"/>
                <w:kern w:val="2"/>
                <w:sz w:val="18"/>
                <w:szCs w:val="18"/>
              </w:rPr>
              <w:t>丙二醇丙醚</w:t>
            </w:r>
          </w:p>
        </w:tc>
        <w:tc>
          <w:tcPr>
            <w:tcW w:w="2765" w:type="dxa"/>
          </w:tcPr>
          <w:p w14:paraId="6FDA282F">
            <w:pPr>
              <w:spacing w:line="300" w:lineRule="auto"/>
              <w:jc w:val="left"/>
              <w:rPr>
                <w:kern w:val="2"/>
                <w:sz w:val="18"/>
                <w:szCs w:val="18"/>
              </w:rPr>
            </w:pPr>
            <w:r>
              <w:rPr>
                <w:rFonts w:hint="eastAsia" w:ascii="Times New Roman" w:hAnsi="Times New Roman" w:eastAsia="宋体" w:cs="Times New Roman"/>
                <w:kern w:val="2"/>
                <w:sz w:val="18"/>
                <w:szCs w:val="18"/>
              </w:rPr>
              <w:t>149-152</w:t>
            </w:r>
          </w:p>
        </w:tc>
        <w:tc>
          <w:tcPr>
            <w:tcW w:w="2766" w:type="dxa"/>
          </w:tcPr>
          <w:p w14:paraId="1F448AD0">
            <w:pPr>
              <w:spacing w:line="300" w:lineRule="auto"/>
              <w:jc w:val="left"/>
              <w:rPr>
                <w:kern w:val="2"/>
                <w:sz w:val="18"/>
                <w:szCs w:val="18"/>
              </w:rPr>
            </w:pPr>
            <w:r>
              <w:rPr>
                <w:rFonts w:hint="eastAsia" w:ascii="Times New Roman" w:hAnsi="Times New Roman" w:eastAsia="宋体" w:cs="Times New Roman"/>
                <w:kern w:val="2"/>
                <w:sz w:val="18"/>
                <w:szCs w:val="18"/>
              </w:rPr>
              <w:t>26-28</w:t>
            </w:r>
          </w:p>
        </w:tc>
      </w:tr>
      <w:tr w14:paraId="6560980B">
        <w:tc>
          <w:tcPr>
            <w:tcW w:w="2765" w:type="dxa"/>
          </w:tcPr>
          <w:p w14:paraId="1B519CB8">
            <w:pPr>
              <w:spacing w:line="300" w:lineRule="auto"/>
              <w:jc w:val="left"/>
              <w:rPr>
                <w:kern w:val="2"/>
                <w:sz w:val="18"/>
                <w:szCs w:val="18"/>
              </w:rPr>
            </w:pPr>
            <w:r>
              <w:rPr>
                <w:rFonts w:ascii="Times New Roman" w:hAnsi="Times New Roman" w:eastAsia="宋体" w:cs="Times New Roman"/>
                <w:kern w:val="2"/>
                <w:sz w:val="18"/>
                <w:szCs w:val="18"/>
              </w:rPr>
              <w:t>2-甲基-2,4-戊二醇</w:t>
            </w:r>
          </w:p>
        </w:tc>
        <w:tc>
          <w:tcPr>
            <w:tcW w:w="2765" w:type="dxa"/>
          </w:tcPr>
          <w:p w14:paraId="24F600DC">
            <w:pPr>
              <w:spacing w:line="300" w:lineRule="auto"/>
              <w:jc w:val="left"/>
              <w:rPr>
                <w:kern w:val="2"/>
                <w:sz w:val="18"/>
                <w:szCs w:val="18"/>
              </w:rPr>
            </w:pPr>
            <w:r>
              <w:rPr>
                <w:rFonts w:hint="eastAsia" w:ascii="Times New Roman" w:hAnsi="Times New Roman" w:eastAsia="宋体" w:cs="Times New Roman"/>
                <w:kern w:val="2"/>
                <w:sz w:val="18"/>
                <w:szCs w:val="18"/>
              </w:rPr>
              <w:t>197-198</w:t>
            </w:r>
          </w:p>
        </w:tc>
        <w:tc>
          <w:tcPr>
            <w:tcW w:w="2766" w:type="dxa"/>
          </w:tcPr>
          <w:p w14:paraId="0C8BAC60">
            <w:pPr>
              <w:spacing w:line="300" w:lineRule="auto"/>
              <w:jc w:val="left"/>
              <w:rPr>
                <w:kern w:val="2"/>
                <w:sz w:val="18"/>
                <w:szCs w:val="18"/>
              </w:rPr>
            </w:pPr>
            <w:r>
              <w:rPr>
                <w:rFonts w:hint="eastAsia" w:ascii="Times New Roman" w:hAnsi="Times New Roman" w:eastAsia="宋体" w:cs="Times New Roman"/>
                <w:kern w:val="2"/>
                <w:sz w:val="18"/>
                <w:szCs w:val="18"/>
              </w:rPr>
              <w:t>31-33</w:t>
            </w:r>
          </w:p>
        </w:tc>
      </w:tr>
      <w:tr w14:paraId="43B6D7FF">
        <w:tc>
          <w:tcPr>
            <w:tcW w:w="2765" w:type="dxa"/>
            <w:tcBorders>
              <w:bottom w:val="single" w:color="auto" w:sz="12" w:space="0"/>
            </w:tcBorders>
          </w:tcPr>
          <w:p w14:paraId="1A76250F">
            <w:pPr>
              <w:spacing w:line="300" w:lineRule="auto"/>
              <w:jc w:val="left"/>
              <w:rPr>
                <w:kern w:val="2"/>
                <w:sz w:val="18"/>
                <w:szCs w:val="18"/>
              </w:rPr>
            </w:pPr>
            <w:r>
              <w:rPr>
                <w:rFonts w:hint="eastAsia" w:ascii="Times New Roman" w:hAnsi="Times New Roman" w:eastAsia="宋体" w:cs="Times New Roman"/>
                <w:kern w:val="2"/>
                <w:sz w:val="18"/>
                <w:szCs w:val="18"/>
              </w:rPr>
              <w:t>三丙二醇单甲醚</w:t>
            </w:r>
          </w:p>
        </w:tc>
        <w:tc>
          <w:tcPr>
            <w:tcW w:w="2765" w:type="dxa"/>
            <w:tcBorders>
              <w:bottom w:val="single" w:color="auto" w:sz="12" w:space="0"/>
            </w:tcBorders>
          </w:tcPr>
          <w:p w14:paraId="417873A9">
            <w:pPr>
              <w:spacing w:line="300" w:lineRule="auto"/>
              <w:jc w:val="left"/>
              <w:rPr>
                <w:kern w:val="2"/>
                <w:sz w:val="18"/>
                <w:szCs w:val="18"/>
              </w:rPr>
            </w:pPr>
            <w:r>
              <w:rPr>
                <w:rFonts w:hint="eastAsia" w:ascii="Times New Roman" w:hAnsi="Times New Roman" w:eastAsia="宋体" w:cs="Times New Roman"/>
                <w:kern w:val="2"/>
                <w:sz w:val="18"/>
                <w:szCs w:val="18"/>
              </w:rPr>
              <w:t>240-245</w:t>
            </w:r>
          </w:p>
        </w:tc>
        <w:tc>
          <w:tcPr>
            <w:tcW w:w="2766" w:type="dxa"/>
            <w:tcBorders>
              <w:bottom w:val="single" w:color="auto" w:sz="12" w:space="0"/>
            </w:tcBorders>
          </w:tcPr>
          <w:p w14:paraId="44F9F19C">
            <w:pPr>
              <w:spacing w:line="300" w:lineRule="auto"/>
              <w:jc w:val="left"/>
              <w:rPr>
                <w:kern w:val="2"/>
                <w:sz w:val="18"/>
                <w:szCs w:val="18"/>
              </w:rPr>
            </w:pPr>
            <w:r>
              <w:rPr>
                <w:rFonts w:hint="eastAsia" w:ascii="Times New Roman" w:hAnsi="Times New Roman" w:eastAsia="宋体" w:cs="Times New Roman"/>
                <w:kern w:val="2"/>
                <w:sz w:val="18"/>
                <w:szCs w:val="18"/>
              </w:rPr>
              <w:t>28-30</w:t>
            </w:r>
          </w:p>
        </w:tc>
      </w:tr>
    </w:tbl>
    <w:p w14:paraId="715B3D3C">
      <w:pPr>
        <w:spacing w:line="300" w:lineRule="auto"/>
        <w:ind w:firstLine="420"/>
        <w:jc w:val="both"/>
        <w:rPr>
          <w:rFonts w:hint="eastAsia" w:ascii="宋体" w:hAnsi="宋体"/>
        </w:rPr>
      </w:pPr>
    </w:p>
    <w:p w14:paraId="3F57DBAE">
      <w:pPr>
        <w:pStyle w:val="11"/>
        <w:jc w:val="center"/>
        <w:rPr>
          <w:rFonts w:hint="eastAsia"/>
          <w:color w:val="FF0000"/>
        </w:rPr>
      </w:pPr>
      <w:r>
        <w:rPr>
          <w:rFonts w:hint="eastAsia" w:ascii="Times New Roman" w:hAnsi="Times New Roman" w:eastAsia="SimHei" w:cs="Times New Roman"/>
          <w:color w:val="FF0000"/>
          <w:sz w:val="21"/>
        </w:rPr>
        <w:t>图</w:t>
      </w:r>
      <w:r>
        <w:rPr>
          <w:rFonts w:hint="eastAsia" w:ascii="Times New Roman" w:hAnsi="Times New Roman" w:eastAsia="SimHei" w:cs="Times New Roman"/>
          <w:color w:val="FF0000"/>
          <w:sz w:val="21"/>
        </w:rPr>
        <w:fldChar w:fldCharType="begin"/>
      </w:r>
      <w:r>
        <w:rPr>
          <w:rFonts w:hint="eastAsia" w:ascii="Times New Roman" w:hAnsi="Times New Roman" w:eastAsia="SimHei" w:cs="Times New Roman"/>
          <w:color w:val="FF0000"/>
          <w:sz w:val="21"/>
        </w:rPr>
        <w:instrText xml:space="preserve"> STYLEREF 1 \s </w:instrText>
      </w:r>
      <w:r>
        <w:rPr>
          <w:rFonts w:hint="eastAsia" w:ascii="Times New Roman" w:hAnsi="Times New Roman" w:eastAsia="SimHei" w:cs="Times New Roman"/>
          <w:color w:val="FF0000"/>
          <w:sz w:val="21"/>
        </w:rPr>
        <w:fldChar w:fldCharType="separate"/>
      </w:r>
      <w:r>
        <w:rPr>
          <w:rFonts w:hint="eastAsia" w:ascii="Times New Roman" w:hAnsi="Times New Roman" w:eastAsia="SimHei" w:cs="Times New Roman"/>
          <w:color w:val="FF0000"/>
          <w:sz w:val="21"/>
        </w:rPr>
        <w:t>3</w:t>
      </w:r>
      <w:r>
        <w:rPr>
          <w:rFonts w:hint="eastAsia" w:ascii="Times New Roman" w:hAnsi="Times New Roman" w:eastAsia="SimHei" w:cs="Times New Roman"/>
          <w:color w:val="FF0000"/>
          <w:sz w:val="21"/>
        </w:rPr>
        <w:fldChar w:fldCharType="end"/>
      </w:r>
      <w:r>
        <w:rPr>
          <w:rFonts w:hint="eastAsia" w:ascii="Times New Roman" w:hAnsi="Times New Roman" w:eastAsia="SimHei" w:cs="Times New Roman"/>
          <w:color w:val="FF0000"/>
          <w:sz w:val="21"/>
        </w:rPr>
        <w:noBreakHyphen/>
      </w:r>
      <w:r>
        <w:rPr>
          <w:rFonts w:ascii="Times New Roman" w:hAnsi="Times New Roman" w:eastAsia="SimHei" w:cs="Times New Roman"/>
          <w:color w:val="FF0000"/>
          <w:sz w:val="21"/>
          <w:highlight w:val="yellow"/>
        </w:rPr>
        <w:t xml:space="preserve">2 </w:t>
      </w:r>
      <w:r>
        <w:rPr>
          <w:rFonts w:hint="eastAsia" w:ascii="Times New Roman" w:hAnsi="Times New Roman" w:eastAsia="SimHei" w:cs="Times New Roman"/>
          <w:color w:val="FF0000"/>
          <w:sz w:val="21"/>
          <w:highlight w:val="yellow"/>
        </w:rPr>
        <w:t>不同溶剂体系制备的C</w:t>
      </w:r>
      <w:r>
        <w:rPr>
          <w:rFonts w:ascii="Times New Roman" w:hAnsi="Times New Roman" w:eastAsia="SimHei" w:cs="Times New Roman"/>
          <w:color w:val="FF0000"/>
          <w:sz w:val="21"/>
          <w:highlight w:val="yellow"/>
        </w:rPr>
        <w:t>NF/CNC</w:t>
      </w:r>
      <w:r>
        <w:rPr>
          <w:rFonts w:hint="eastAsia" w:ascii="Times New Roman" w:hAnsi="Times New Roman" w:eastAsia="SimHei" w:cs="Times New Roman"/>
          <w:color w:val="FF0000"/>
          <w:sz w:val="21"/>
          <w:highlight w:val="yellow"/>
        </w:rPr>
        <w:t>薄膜的SEM图：（a）水；(c)丙二醇丙醚(d)MPD(e)TPM</w:t>
      </w:r>
    </w:p>
    <w:p w14:paraId="178D372C">
      <w:pPr>
        <w:spacing w:line="300" w:lineRule="auto"/>
        <w:ind w:firstLine="420"/>
        <w:jc w:val="both"/>
        <w:rPr>
          <w:rFonts w:hint="eastAsia" w:ascii="宋体" w:hAnsi="宋体"/>
        </w:rPr>
      </w:pPr>
      <w:r>
        <w:rPr>
          <w:rFonts w:hint="eastAsia" w:ascii="Times New Roman" w:hAnsi="Times New Roman" w:eastAsia="宋体" w:cs="Times New Roman"/>
        </w:rPr>
        <w:t>引入醇醚类溶剂可显著改变了CNF/CNC分散液的表面张力，进而对体系的润湿性、分散性及成膜行为产生重要影响（各体系表面张力测试结果如图3-3所示）。其中，纯水体系的表面张力最高，界面收缩能力较强，不利于浆料在纤维网络中的铺展，因此易形成了结构致密的薄膜；乙醇体系表面张力虽较水略有降低，但其挥发速率较快，导致体系在短时间内迅速固化，限制了纳米纤维素微孔结构的形成。相比之下，醚类溶剂的引入可显著降低体系的表面张力，加入丙二醇丙醚和TPM后，分散体的表面张力分别降至43.9 mN/m和47.0 mN/m。结合前述微观形貌分析可知，较高表面张力体系（如水和乙醇）难以形成明显孔结构，而表面张力降低后（如丙二醇丙醚、MPD和TPM体系），薄膜中逐渐出现微孔结构，且孔结构的数量和尺寸随表面张力降低而增加，其中MPD和TPM体系表现出更显著的成孔效果。综合考虑，溶剂挥发速率与表面张力在调控纳米纤维素复合薄膜微观结构方面具有协同作用，而TPM表现出最佳的成孔效果且来源广泛，因此在后续实验中选用TPM作为主要调控溶剂。</w:t>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p>
    <w:p w14:paraId="6BCF1FBA">
      <w:pPr>
        <w:ind w:firstLine="420"/>
        <w:jc w:val="both"/>
        <w:rPr>
          <w:rFonts w:hint="eastAsia" w:ascii="黑体" w:hAnsi="黑体" w:eastAsia="黑体"/>
          <w:szCs w:val="28"/>
        </w:rPr>
      </w:pPr>
      <w:r>
        <w:rPr>
          <w:rFonts w:hint="eastAsia" w:ascii="Times New Roman" w:hAnsi="Times New Roman" w:eastAsia="宋体" w:cs="Times New Roman"/>
        </w:rPr>
        <w:object>
          <v:shape id="_x0000_i1026" o:spt="75" type="#_x0000_t75" style="height:186pt;width:228.25pt;" o:ole="t" filled="f" o:preferrelative="t" stroked="f" coordsize="21600,21600">
            <v:path/>
            <v:fill on="f" focussize="0,0"/>
            <v:stroke on="f" joinstyle="miter"/>
            <v:imagedata r:id="rId14" cropleft="4730f" croptop="3584f" cropright="5326f" cropbottom="2901f" o:title=""/>
            <o:lock v:ext="edit" aspectratio="t"/>
            <w10:wrap type="none"/>
            <w10:anchorlock/>
          </v:shape>
          <o:OLEObject Type="Embed" ProgID="Origin95.Graph" ShapeID="_x0000_i1026" DrawAspect="Content" ObjectID="_1468075725" r:id="rId13">
            <o:LockedField>false</o:LockedField>
          </o:OLEObject>
        </w:object>
      </w:r>
    </w:p>
    <w:p w14:paraId="76954BB1">
      <w:pPr>
        <w:pStyle w:val="11"/>
        <w:jc w:val="center"/>
        <w:rPr>
          <w:rFonts w:hint="eastAsia" w:ascii="黑体" w:hAnsi="黑体"/>
          <w:sz w:val="24"/>
          <w:szCs w:val="28"/>
        </w:rPr>
      </w:pPr>
      <w:r>
        <w:rPr>
          <w:rFonts w:hint="eastAsia" w:ascii="Times New Roman" w:hAnsi="Times New Roman" w:eastAsia="SimHei" w:cs="Times New Roman"/>
          <w:sz w:val="21"/>
          <w:highlight w:val="yellow"/>
        </w:rPr>
        <w:t>图 3-3不同溶剂体系下CNF/CNC分散液的表面张力</w:t>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rPr>
      </w:r>
    </w:p>
    <w:p w14:paraId="23B54A41">
      <w:pPr>
        <w:pStyle w:val="3"/>
        <w:rPr>
          <w:rFonts w:hint="eastAsia"/>
        </w:rPr>
      </w:pPr>
      <w:bookmarkStart w:id="30" w:name="_Toc229493713"/>
      <w:r>
        <w:rPr>
          <w:rFonts w:hint="eastAsia" w:ascii="Times New Roman" w:hAnsi="Times New Roman" w:eastAsia="宋体" w:cs="Times New Roman"/>
        </w:rPr>
        <w:t>TPM含量对纳米纤维素薄膜表面形貌的</w:t>
      </w:r>
      <w:bookmarkEnd w:id="30"/>
      <w:r>
        <w:rPr>
          <w:rFonts w:hint="eastAsia" w:ascii="Times New Roman" w:hAnsi="Times New Roman" w:eastAsia="宋体" w:cs="Times New Roman"/>
        </w:rPr>
        <w:t>影响</w:t>
      </w:r>
    </w:p>
    <w:p w14:paraId="200AE525">
      <w:pPr>
        <w:ind w:firstLine="420"/>
        <w:jc w:val="both"/>
      </w:pPr>
      <w:r>
        <w:rPr>
          <w:rFonts w:hint="eastAsia" w:ascii="Times New Roman" w:hAnsi="Times New Roman" w:eastAsia="宋体" w:cs="Times New Roman"/>
        </w:rPr>
        <w:t>为进一步探究TPM含量对薄膜结构的调控作用，通过调节TPM添加量制备了一系列不同TPM含量的CNF复合薄膜，并对其微观形貌进行了表征（图3-</w:t>
      </w:r>
      <w:r>
        <w:rPr>
          <w:rFonts w:ascii="Times New Roman" w:hAnsi="Times New Roman" w:eastAsia="宋体" w:cs="Times New Roman"/>
        </w:rPr>
        <w:t>4</w:t>
      </w:r>
      <w:r>
        <w:rPr>
          <w:rFonts w:hint="eastAsia" w:ascii="Times New Roman" w:hAnsi="Times New Roman" w:eastAsia="宋体" w:cs="Times New Roman"/>
        </w:rPr>
        <w:t>）。结果表明，在较低TPM含量（1倍）条件下，薄膜整体结构较为致密，未见明显微孔结构；随着TPM含量增加，薄膜逐渐形成分布均匀且较为明显的微孔结构，说明适量的TPM可有效降低体系界面张力并延缓溶剂挥发速率，从而促进纳米纤维素网络在成膜过程中形成孔结构。进一步增加TPM含量，薄膜孔径有所增大；但当含量达到10倍和15倍时，虽仍保持多孔结构，但孔径及分布相较于5倍条件下无显著变化。当TPM含量达到20倍时，薄膜中孔结构更加丰富，孔隙数量进一步增加。</w:t>
      </w:r>
    </w:p>
    <w:p w14:paraId="73679572">
      <w:pPr>
        <w:jc w:val="both"/>
      </w:pPr>
    </w:p>
    <w:p w14:paraId="09B02361">
      <w:pPr>
        <w:pStyle w:val="11"/>
        <w:jc w:val="center"/>
        <w:rPr>
          <w:rFonts w:hint="eastAsia"/>
        </w:rPr>
      </w:pPr>
      <w:r>
        <w:rPr>
          <w:rFonts w:hint="eastAsia" w:ascii="Times New Roman" w:hAnsi="Times New Roman" w:eastAsia="SimHei" w:cs="Times New Roman"/>
          <w:sz w:val="21"/>
          <w:highlight w:val="yellow"/>
        </w:rPr>
        <w:t xml:space="preserve">图 </w:t>
      </w:r>
      <w:r>
        <w:rPr>
          <w:rFonts w:hint="eastAsia" w:ascii="Times New Roman" w:hAnsi="Times New Roman" w:eastAsia="SimHei" w:cs="Times New Roman"/>
          <w:sz w:val="21"/>
          <w:highlight w:val="yellow"/>
        </w:rPr>
        <w:fldChar w:fldCharType="begin"/>
      </w:r>
      <w:r>
        <w:rPr>
          <w:rFonts w:hint="eastAsia" w:ascii="Times New Roman" w:hAnsi="Times New Roman" w:eastAsia="SimHei" w:cs="Times New Roman"/>
          <w:sz w:val="21"/>
          <w:highlight w:val="yellow"/>
        </w:rPr>
        <w:instrText xml:space="preserve"> STYLEREF 1 \s </w:instrText>
      </w:r>
      <w:r>
        <w:rPr>
          <w:rFonts w:hint="eastAsia" w:ascii="Times New Roman" w:hAnsi="Times New Roman" w:eastAsia="SimHei" w:cs="Times New Roman"/>
          <w:sz w:val="21"/>
          <w:highlight w:val="yellow"/>
        </w:rPr>
        <w:fldChar w:fldCharType="separate"/>
      </w:r>
      <w:r>
        <w:rPr>
          <w:rFonts w:hint="eastAsia" w:ascii="Times New Roman" w:hAnsi="Times New Roman" w:eastAsia="SimHei" w:cs="Times New Roman"/>
          <w:sz w:val="21"/>
          <w:highlight w:val="yellow"/>
        </w:rPr>
        <w:t>3</w:t>
      </w:r>
      <w:r>
        <w:rPr>
          <w:rFonts w:hint="eastAsia" w:ascii="Times New Roman" w:hAnsi="Times New Roman" w:eastAsia="SimHei" w:cs="Times New Roman"/>
          <w:sz w:val="21"/>
          <w:highlight w:val="yellow"/>
        </w:rPr>
        <w:fldChar w:fldCharType="end"/>
      </w:r>
      <w:r>
        <w:rPr>
          <w:rFonts w:hint="eastAsia" w:ascii="Times New Roman" w:hAnsi="Times New Roman" w:eastAsia="SimHei" w:cs="Times New Roman"/>
          <w:sz w:val="21"/>
          <w:highlight w:val="yellow"/>
        </w:rPr>
        <w:noBreakHyphen/>
      </w:r>
      <w:r>
        <w:rPr>
          <w:rFonts w:hint="eastAsia" w:ascii="Times New Roman" w:hAnsi="Times New Roman" w:eastAsia="SimHei" w:cs="Times New Roman"/>
          <w:sz w:val="21"/>
          <w:highlight w:val="yellow"/>
        </w:rPr>
        <w:fldChar w:fldCharType="begin"/>
      </w:r>
      <w:r>
        <w:rPr>
          <w:rFonts w:hint="eastAsia" w:ascii="Times New Roman" w:hAnsi="Times New Roman" w:eastAsia="SimHei" w:cs="Times New Roman"/>
          <w:sz w:val="21"/>
          <w:highlight w:val="yellow"/>
        </w:rPr>
        <w:instrText xml:space="preserve"> SEQ 图 \* ARABIC \s 1 </w:instrText>
      </w:r>
      <w:r>
        <w:rPr>
          <w:rFonts w:hint="eastAsia" w:ascii="Times New Roman" w:hAnsi="Times New Roman" w:eastAsia="SimHei" w:cs="Times New Roman"/>
          <w:sz w:val="21"/>
          <w:highlight w:val="yellow"/>
        </w:rPr>
        <w:fldChar w:fldCharType="separate"/>
      </w:r>
      <w:r>
        <w:rPr>
          <w:rFonts w:hint="eastAsia" w:ascii="Times New Roman" w:hAnsi="Times New Roman" w:eastAsia="SimHei" w:cs="Times New Roman"/>
          <w:sz w:val="21"/>
          <w:highlight w:val="yellow"/>
        </w:rPr>
        <w:t>3</w:t>
      </w:r>
      <w:r>
        <w:rPr>
          <w:rFonts w:hint="eastAsia" w:ascii="Times New Roman" w:hAnsi="Times New Roman" w:eastAsia="SimHei" w:cs="Times New Roman"/>
          <w:sz w:val="21"/>
          <w:highlight w:val="yellow"/>
        </w:rPr>
        <w:fldChar w:fldCharType="end"/>
      </w:r>
      <w:r>
        <w:rPr>
          <w:rFonts w:hint="eastAsia" w:ascii="Times New Roman" w:hAnsi="Times New Roman" w:eastAsia="SimHei" w:cs="Times New Roman"/>
          <w:sz w:val="21"/>
          <w:highlight w:val="yellow"/>
        </w:rPr>
        <w:t>不同TPM添加量下</w:t>
      </w:r>
      <w:r>
        <w:rPr>
          <w:rFonts w:ascii="Times New Roman" w:hAnsi="Times New Roman" w:eastAsia="SimHei" w:cs="Times New Roman"/>
          <w:sz w:val="21"/>
          <w:highlight w:val="yellow"/>
        </w:rPr>
        <w:t>…….</w:t>
      </w:r>
      <w:r>
        <w:rPr>
          <w:rFonts w:hint="eastAsia" w:ascii="Times New Roman" w:hAnsi="Times New Roman" w:eastAsia="SimHei" w:cs="Times New Roman"/>
          <w:sz w:val="21"/>
          <w:highlight w:val="yellow"/>
        </w:rPr>
        <w:t>薄膜的SEM图：(a)1倍(b)5倍(c)10倍(d)15倍(e)20倍</w:t>
      </w:r>
    </w:p>
    <w:p w14:paraId="2DAEBDD4">
      <w:pPr>
        <w:spacing w:line="300" w:lineRule="auto"/>
        <w:ind w:firstLine="420"/>
        <w:jc w:val="both"/>
      </w:pPr>
      <w:r>
        <w:rPr>
          <w:rFonts w:hint="eastAsia" w:ascii="Times New Roman" w:hAnsi="Times New Roman" w:eastAsia="宋体" w:cs="Times New Roman"/>
        </w:rPr>
        <w:t>根据图3-4可知，表面张力的变化趋势与薄膜微孔结构的演变规律具有良好的一致性。在TPM含量为1倍时，体系表面张力较高（55.37 mN/m），因此干燥过程中毛细收缩作用较强，从而抑制了微孔结构的形成；当TPM含量增至5倍时，表面张力降低至46.89 mN/m，此时体系既能有效减弱收缩效应，又可维持结构稳定性，因而形成了均匀且完整的微孔结构。进一步提高TPM含量至10倍及以上时，表面张力虽继续下降，但降幅逐渐收窄，对应的薄膜孔结构变化也不再明显，表明表面张力降低至一定范围后，其对孔结构形成的促进作用趋于饱和，体系结构进入相对稳定状态。当TPM含量达到20倍时，表面张力降至最低值（41.03 mN/m），但对结构的优化提升有限。综上所述，TPM含量通过调控体系表面张力进而影响薄膜的成膜行为与微观结构，其中适中的表面张力范围更有利于形成均匀稳定的多孔结构。综合考虑表面张力调控效果与结构表现，5倍TPM已能够实现较优的界面调控与结构构建，是较为理想的添加量。</w:t>
      </w:r>
    </w:p>
    <w:p w14:paraId="1CE0A2EF">
      <w:pPr>
        <w:keepNext/>
        <w:jc w:val="both"/>
      </w:pPr>
      <w:r>
        <w:rPr>
          <w:rFonts w:hint="eastAsia" w:ascii="Times New Roman" w:hAnsi="Times New Roman" w:eastAsia="宋体" w:cs="Times New Roman"/>
        </w:rPr>
        <w:object>
          <v:shape id="_x0000_i1027" o:spt="75" type="#_x0000_t75" style="height:201.4pt;width:262.1pt;" o:ole="t" filled="f" o:preferrelative="t" stroked="f" coordsize="21600,21600">
            <v:path/>
            <v:fill on="f" focussize="0,0"/>
            <v:stroke on="f" joinstyle="miter"/>
            <v:imagedata r:id="rId16" o:title=""/>
            <o:lock v:ext="edit" aspectratio="t"/>
            <w10:wrap type="none"/>
            <w10:anchorlock/>
          </v:shape>
          <o:OLEObject Type="Embed" ProgID="Origin95.Graph" ShapeID="_x0000_i1027" DrawAspect="Content" ObjectID="_1468075726" r:id="rId15">
            <o:LockedField>false</o:LockedField>
          </o:OLEObject>
        </w:object>
      </w:r>
    </w:p>
    <w:p w14:paraId="7FA246F5">
      <w:pPr>
        <w:pStyle w:val="11"/>
        <w:jc w:val="center"/>
        <w:rPr>
          <w:rFonts w:hint="eastAsia"/>
        </w:rPr>
      </w:pPr>
      <w:r>
        <w:rPr>
          <w:rFonts w:hint="eastAsia" w:ascii="Times New Roman" w:hAnsi="Times New Roman" w:eastAsia="SimHei" w:cs="Times New Roman"/>
          <w:sz w:val="21"/>
        </w:rPr>
        <w:t xml:space="preserve">图 </w:t>
      </w:r>
      <w:r>
        <w:rPr>
          <w:rFonts w:hint="eastAsia" w:ascii="Times New Roman" w:hAnsi="Times New Roman" w:eastAsia="SimHei" w:cs="Times New Roman"/>
          <w:sz w:val="21"/>
        </w:rPr>
        <w:fldChar w:fldCharType="begin"/>
      </w:r>
      <w:r>
        <w:rPr>
          <w:rFonts w:hint="eastAsia" w:ascii="Times New Roman" w:hAnsi="Times New Roman" w:eastAsia="SimHei" w:cs="Times New Roman"/>
          <w:sz w:val="21"/>
        </w:rPr>
        <w:instrText xml:space="preserve"> STYLEREF 1 \s </w:instrText>
      </w:r>
      <w:r>
        <w:rPr>
          <w:rFonts w:hint="eastAsia" w:ascii="Times New Roman" w:hAnsi="Times New Roman" w:eastAsia="SimHei" w:cs="Times New Roman"/>
          <w:sz w:val="21"/>
        </w:rPr>
        <w:fldChar w:fldCharType="separate"/>
      </w:r>
      <w:r>
        <w:rPr>
          <w:rFonts w:hint="eastAsia" w:ascii="Times New Roman" w:hAnsi="Times New Roman" w:eastAsia="SimHei" w:cs="Times New Roman"/>
          <w:sz w:val="21"/>
        </w:rPr>
        <w:t>3</w:t>
      </w:r>
      <w:r>
        <w:rPr>
          <w:rFonts w:hint="eastAsia" w:ascii="Times New Roman" w:hAnsi="Times New Roman" w:eastAsia="SimHei" w:cs="Times New Roman"/>
          <w:sz w:val="21"/>
        </w:rPr>
        <w:fldChar w:fldCharType="end"/>
      </w:r>
      <w:r>
        <w:rPr>
          <w:rFonts w:hint="eastAsia" w:ascii="Times New Roman" w:hAnsi="Times New Roman" w:eastAsia="SimHei" w:cs="Times New Roman"/>
          <w:sz w:val="21"/>
        </w:rPr>
        <w:noBreakHyphen/>
      </w:r>
      <w:r>
        <w:rPr>
          <w:rFonts w:hint="eastAsia" w:ascii="Times New Roman" w:hAnsi="Times New Roman" w:eastAsia="SimHei" w:cs="Times New Roman"/>
          <w:sz w:val="21"/>
        </w:rPr>
        <w:fldChar w:fldCharType="begin"/>
      </w:r>
      <w:r>
        <w:rPr>
          <w:rFonts w:hint="eastAsia" w:ascii="Times New Roman" w:hAnsi="Times New Roman" w:eastAsia="SimHei" w:cs="Times New Roman"/>
          <w:sz w:val="21"/>
        </w:rPr>
        <w:instrText xml:space="preserve"> SEQ 图 \* ARABIC \s 1 </w:instrText>
      </w:r>
      <w:r>
        <w:rPr>
          <w:rFonts w:hint="eastAsia" w:ascii="Times New Roman" w:hAnsi="Times New Roman" w:eastAsia="SimHei" w:cs="Times New Roman"/>
          <w:sz w:val="21"/>
        </w:rPr>
        <w:fldChar w:fldCharType="separate"/>
      </w:r>
      <w:r>
        <w:rPr>
          <w:rFonts w:hint="eastAsia" w:ascii="Times New Roman" w:hAnsi="Times New Roman" w:eastAsia="SimHei" w:cs="Times New Roman"/>
          <w:sz w:val="21"/>
        </w:rPr>
        <w:t>4</w:t>
      </w:r>
      <w:r>
        <w:rPr>
          <w:rFonts w:hint="eastAsia" w:ascii="Times New Roman" w:hAnsi="Times New Roman" w:eastAsia="SimHei" w:cs="Times New Roman"/>
          <w:sz w:val="21"/>
        </w:rPr>
        <w:fldChar w:fldCharType="end"/>
      </w:r>
      <w:r>
        <w:rPr>
          <w:rFonts w:hint="eastAsia" w:ascii="Times New Roman" w:hAnsi="Times New Roman" w:eastAsia="SimHei" w:cs="Times New Roman"/>
          <w:sz w:val="21"/>
        </w:rPr>
        <w:t>不同倍数下CNF复合</w:t>
      </w:r>
      <w:r>
        <w:rPr>
          <w:rFonts w:hint="eastAsia" w:ascii="Times New Roman" w:hAnsi="Times New Roman" w:eastAsia="SimHei" w:cs="Times New Roman"/>
          <w:sz w:val="21"/>
          <w:highlight w:val="yellow"/>
        </w:rPr>
        <w:t>浆料</w:t>
      </w:r>
      <w:r>
        <w:rPr>
          <w:rFonts w:hint="eastAsia" w:ascii="Times New Roman" w:hAnsi="Times New Roman" w:eastAsia="SimHei" w:cs="Times New Roman"/>
          <w:sz w:val="21"/>
        </w:rPr>
        <w:t>的表面张力</w:t>
      </w:r>
    </w:p>
    <w:p w14:paraId="03E1F13C">
      <w:pPr>
        <w:pStyle w:val="3"/>
        <w:rPr>
          <w:rFonts w:hint="eastAsia"/>
        </w:rPr>
      </w:pPr>
      <w:r>
        <w:rPr>
          <w:rFonts w:hint="eastAsia" w:ascii="Times New Roman" w:hAnsi="Times New Roman" w:eastAsia="宋体" w:cs="Times New Roman"/>
        </w:rPr>
        <w:t>碳纳米管/纳米纤维素复合薄膜的结构与性能研究</w:t>
      </w:r>
    </w:p>
    <w:p w14:paraId="587A1F5C">
      <w:pPr>
        <w:pStyle w:val="4"/>
      </w:pPr>
      <w:bookmarkStart w:id="31" w:name="_Toc229493717"/>
      <w:r>
        <w:rPr>
          <w:rFonts w:hint="eastAsia" w:ascii="Times New Roman" w:hAnsi="Times New Roman" w:eastAsia="宋体" w:cs="Times New Roman"/>
        </w:rPr>
        <w:t>CNTs填充量对CNTs/CNF/CNC薄膜微观形貌的影响</w:t>
      </w:r>
      <w:r>
        <w:rPr>
          <w:rFonts w:ascii="Times New Roman" w:hAnsi="Times New Roman" w:eastAsia="宋体" w:cs="Times New Roman"/>
        </w:rPr>
      </w:r>
      <w:r>
        <w:rPr>
          <w:rFonts w:hint="eastAsia" w:ascii="Times New Roman" w:hAnsi="Times New Roman" w:eastAsia="宋体" w:cs="Times New Roman"/>
        </w:rPr>
      </w:r>
      <w:bookmarkEnd w:id="31"/>
    </w:p>
    <w:p w14:paraId="043A1B3B">
      <w:pPr>
        <w:jc w:val="both"/>
      </w:pPr>
    </w:p>
    <w:p w14:paraId="16BB8BDC">
      <w:pPr>
        <w:pStyle w:val="11"/>
        <w:jc w:val="center"/>
        <w:rPr>
          <w:rFonts w:hint="eastAsia"/>
        </w:rPr>
      </w:pPr>
      <w:r>
        <w:rPr>
          <w:rFonts w:hint="eastAsia" w:ascii="Times New Roman" w:hAnsi="Times New Roman" w:eastAsia="SimHei" w:cs="Times New Roman"/>
          <w:sz w:val="21"/>
        </w:rPr>
        <w:t>图 3-5不同CNTs用量下CNTs/CNF/CNC薄膜的SEM图像：对应2.2.4中样品abcd</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color w:val="FF0000"/>
          <w:sz w:val="21"/>
        </w:rPr>
      </w:r>
      <w:r>
        <w:rPr>
          <w:rFonts w:hint="eastAsia" w:ascii="Times New Roman" w:hAnsi="Times New Roman" w:eastAsia="SimHei" w:cs="Times New Roman"/>
          <w:sz w:val="21"/>
        </w:rPr>
      </w:r>
    </w:p>
    <w:p w14:paraId="18461E1E">
      <w:pPr>
        <w:ind w:firstLine="420"/>
        <w:jc w:val="both"/>
        <w:rPr>
          <w:color w:val="FF0000"/>
        </w:rPr>
      </w:pPr>
      <w:bookmarkStart w:id="32" w:name="_Toc229493718"/>
      <w:r>
        <w:rPr>
          <w:rFonts w:hint="eastAsia" w:ascii="Times New Roman" w:hAnsi="Times New Roman" w:eastAsia="宋体" w:cs="Times New Roman"/>
          <w:color w:val="FF0000"/>
        </w:rPr>
        <w:t>图（a-d）展示了不同CNTs填充量下CNTs/CNF/CNC薄膜的微观形貌特征。可以看出，各样品表面整体较为均匀致密，未观察到明显裂纹或大尺度颗粒团聚，表明CNTs能够较稳定地分散于CNF基体中。其中，具有两亲特性的CNF对CNTs起到了良好的分散与支撑作用，有助于抑制CNTs团聚并促进导电通路的构建。随着CNTs填充量的增加，薄膜内部CNTs之间的接触更加充分，导电网络趋于完善，然而不同样品间的表面形貌差异并不显著，这可能是由于CNTs在体系中分散较为均匀，导致微观结构变化有限。尽管SEM图像未表现出明显的形貌差异，但CNTs导电网络的逐渐完善，可能对复合薄膜的导电性能及电磁屏蔽性能的提升产生重要影响。</w:t>
      </w:r>
      <w:r>
        <w:rPr>
          <w:rFonts w:hint="eastAsia" w:ascii="Times New Roman" w:hAnsi="Times New Roman" w:eastAsia="宋体" w:cs="Times New Roman"/>
          <w:color w:val="FF0000"/>
          <w:highlight w:val="yellow"/>
        </w:rPr>
      </w:r>
      <w:r>
        <w:rPr>
          <w:rFonts w:hint="eastAsia" w:ascii="Times New Roman" w:hAnsi="Times New Roman" w:eastAsia="宋体" w:cs="Times New Roman"/>
          <w:color w:val="FF0000"/>
        </w:rPr>
      </w:r>
    </w:p>
    <w:p w14:paraId="4561FD02">
      <w:pPr>
        <w:ind w:firstLine="480" w:firstLineChars="200"/>
        <w:jc w:val="both"/>
        <w:rPr>
          <w:color w:val="FF0000"/>
        </w:rPr>
      </w:pPr>
      <w:r>
        <w:rPr>
          <w:rFonts w:hint="eastAsia" w:ascii="Times New Roman" w:hAnsi="Times New Roman" w:eastAsia="宋体" w:cs="Times New Roman"/>
          <w:color w:val="FF0000"/>
        </w:rPr>
        <w:t>CNTs/CNF/CNC分散液的粒径分布是影响其分散稳定性、成膜均匀性及最终导电网络的关键因素，四个样品的粒径分布如图3-7（a-d）所示。由图3-7（d）可知，样品4的粒径分布最为均匀且集中，主峰位于200-400 μm范围内，分布宽度窄，几乎无明显的大颗粒团聚体；这种窄分布特性有利于浆料在纤维素基体中的均匀分布，从而形成致密、连续且稳定的导电网络。相比之下，样品1的粒径分布最宽，主峰虽在100-1000 μm区间，但存在较多大尺寸颗粒（&gt;1000 μm），易形成团聚，导致导电通路不连续。样品2和样品3的粒径分布介于两者之间，虽主峰位置与样品4接近，但均匀性仍逊于样品4。</w:t>
      </w:r>
      <w:r>
        <w:rPr>
          <w:rFonts w:ascii="Times New Roman" w:hAnsi="Times New Roman" w:eastAsia="宋体" w:cs="Times New Roman"/>
          <w:color w:val="FF0000"/>
        </w:rPr>
      </w:r>
      <w:r>
        <w:rPr>
          <w:rFonts w:hint="eastAsia" w:ascii="Times New Roman" w:hAnsi="Times New Roman" w:eastAsia="宋体" w:cs="Times New Roman"/>
          <w:color w:val="FF0000"/>
        </w:rPr>
      </w:r>
    </w:p>
    <w:p w14:paraId="1FB9E63F">
      <w:pPr>
        <w:keepNext/>
        <w:ind w:firstLine="420"/>
        <w:jc w:val="both"/>
      </w:pPr>
    </w:p>
    <w:p w14:paraId="203FA9CE">
      <w:pPr>
        <w:pStyle w:val="11"/>
        <w:jc w:val="center"/>
        <w:rPr>
          <w:rFonts w:hint="eastAsia"/>
        </w:rPr>
      </w:pPr>
      <w:r>
        <w:rPr>
          <w:rFonts w:hint="eastAsia" w:ascii="Times New Roman" w:hAnsi="Times New Roman" w:eastAsia="SimHei" w:cs="Times New Roman"/>
          <w:sz w:val="21"/>
          <w:highlight w:val="yellow"/>
        </w:rPr>
        <w:t>图 3-7CNTs/CNF/CNC分散液粒径分布图 (a)样品1 (b)样品2 (c)样品3 (d)样品4</w:t>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r>
        <w:rPr>
          <w:rFonts w:hint="eastAsia" w:ascii="Times New Roman" w:hAnsi="Times New Roman" w:eastAsia="SimHei" w:cs="Times New Roman"/>
          <w:sz w:val="21"/>
          <w:highlight w:val="yellow"/>
        </w:rPr>
      </w:r>
    </w:p>
    <w:bookmarkEnd w:id="32"/>
    <w:p w14:paraId="598F4DDB">
      <w:pPr>
        <w:ind w:firstLine="420"/>
        <w:jc w:val="both"/>
      </w:pPr>
      <w:r>
        <w:rPr>
          <w:rFonts w:hint="eastAsia" w:ascii="Times New Roman" w:hAnsi="Times New Roman" w:eastAsia="宋体" w:cs="Times New Roman"/>
        </w:rPr>
        <w:t>为研究CNTs填充量对CNTs/CNF/CNC分散液性能的影响，对不同CNTs添加比例下浆料的表面张力进行了测试（图3-6）。结果表明，随着CNTs添加量的增加，浆料表面张力整体呈下降趋势；当CNTs与纳米纤维素干重比由1:4增至1:1时，表面张力由约35 mN/m降低至约32 mN/m，说明CNTs的加入在一定程度上降低了体系界面自由能，改善了浆料对基底的润湿能力。在CNTs与纳米纤维素干重比均为1:2的条件下，不同CNTs分散液浓度对应的浆料表面张力存在一定差异，这可能与体系中水含量不同有关，自由水比例升高会影响浆料内部颗粒间的相互作用及界面状态。此外，浆料含水量的变化还可能进一步影响复合薄膜的成膜过程：较高的含水量有利于浆料流动与铺展，但过多的自由水可能导致溶剂挥发不均匀，从而影响CNTs在CNF网络中的分布状态及导电网络的构建。</w:t>
      </w:r>
    </w:p>
    <w:p w14:paraId="3E0B9C90">
      <w:pPr>
        <w:ind w:firstLine="420"/>
        <w:jc w:val="both"/>
      </w:pPr>
    </w:p>
    <w:p w14:paraId="0D3C0152">
      <w:pPr>
        <w:pStyle w:val="11"/>
        <w:jc w:val="center"/>
        <w:rPr>
          <w:rFonts w:hint="eastAsia"/>
        </w:rPr>
      </w:pPr>
      <w:r>
        <w:rPr>
          <w:rFonts w:hint="eastAsia" w:ascii="Times New Roman" w:hAnsi="Times New Roman" w:eastAsia="SimHei" w:cs="Times New Roman"/>
          <w:sz w:val="21"/>
        </w:rPr>
        <w:t>图 3-6加入不同浓度CNTs溶液CNTs/CNF/CNC分散液的表面张力</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ascii="Times New Roman" w:hAnsi="Times New Roman" w:eastAsia="SimHei" w:cs="Times New Roman"/>
          <w:sz w:val="21"/>
        </w:rPr>
      </w:r>
      <w:r>
        <w:rPr>
          <w:rFonts w:hint="eastAsia" w:ascii="Times New Roman" w:hAnsi="Times New Roman" w:eastAsia="SimHei" w:cs="Times New Roman"/>
          <w:sz w:val="21"/>
        </w:rPr>
      </w:r>
      <w:r>
        <w:rPr>
          <w:rFonts w:ascii="Times New Roman" w:hAnsi="Times New Roman" w:eastAsia="SimHei" w:cs="Times New Roman"/>
          <w:sz w:val="21"/>
        </w:rPr>
      </w:r>
    </w:p>
    <w:p w14:paraId="19534BB6">
      <w:pPr>
        <w:pStyle w:val="4"/>
      </w:pPr>
      <w:r>
        <w:rPr>
          <w:rFonts w:hint="eastAsia" w:ascii="Times New Roman" w:hAnsi="Times New Roman" w:eastAsia="宋体" w:cs="Times New Roman"/>
        </w:rPr>
        <w:t>CNTs填充量对CNTs/CNF/CNC薄膜导电性能的影响</w:t>
      </w:r>
      <w:r>
        <w:rPr>
          <w:rFonts w:ascii="Times New Roman" w:hAnsi="Times New Roman" w:eastAsia="宋体" w:cs="Times New Roman"/>
          <w:highlight w:val="yellow"/>
        </w:rPr>
      </w:r>
      <w:r>
        <w:rPr>
          <w:rFonts w:hint="eastAsia" w:ascii="Times New Roman" w:hAnsi="Times New Roman" w:eastAsia="宋体" w:cs="Times New Roman"/>
        </w:rPr>
      </w:r>
    </w:p>
    <w:p w14:paraId="7855383B">
      <w:pPr>
        <w:ind w:firstLine="420"/>
        <w:jc w:val="both"/>
      </w:pPr>
      <w:r>
        <w:rPr>
          <w:rFonts w:hint="eastAsia" w:ascii="Times New Roman" w:hAnsi="Times New Roman" w:eastAsia="宋体" w:cs="Times New Roman"/>
        </w:rPr>
        <w:t>图3-8为不同CNTs填充量下CNTs/CNF/CNC薄膜表面方阻的变化情况。随着CNTs含量的增加，复合薄膜表面方阻整体呈下降趋势，表明薄膜导电性能逐渐提高。</w:t>
      </w:r>
    </w:p>
    <w:p w14:paraId="217B7DF7">
      <w:pPr>
        <w:ind w:firstLine="420"/>
        <w:jc w:val="both"/>
      </w:pPr>
      <w:r>
        <w:rPr>
          <w:rFonts w:hint="eastAsia" w:ascii="Times New Roman" w:hAnsi="Times New Roman" w:eastAsia="宋体" w:cs="Times New Roman"/>
        </w:rPr>
        <w:t>当CNTs添加量较低时，体系中CNTs之间接触较少，难以形成连续导电通路，因此薄膜方阻相对较高。随着CNTs含量增加，CNTs在CNF基体中的搭接与接触概率增大，逐渐形成较完善的导电网络，从而使薄膜方阻明显降低。其中，第4组样品方阻下降最为显著，其表面方阻约为0.15 kΩ/□说明较高CNTs填充量下体系内部已形成较稳定的导电通路。这可能与体系逐渐接近或超过渗流阈值有关。当导电填料达到一定含量后，CNTs之间能够形成贯通网络，从而显著提升电子传输能力。此外，第2组与第3组样品方阻其平均值分别为0.47 kΩ/□和0.65 kΩ/□，虽然两组CNTs与纳米纤维素干重比相同，但由于所采用CNTs分散液浓度不同，体系中实际含水量存在差异，可能进一步影响CNTs在浆料中的分散状态及成膜过程。较高自由水含量可能导致溶剂挥发过程中CNTs局部迁移或分布不均，从而影响导电网络连续性，最终造成方阻差异。</w:t>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p>
    <w:p w14:paraId="3E08E0F9">
      <w:pPr>
        <w:ind w:firstLine="420"/>
        <w:jc w:val="both"/>
      </w:pPr>
      <w:r>
        <w:rPr>
          <w:rFonts w:hint="eastAsia" w:ascii="Times New Roman" w:hAnsi="Times New Roman" w:eastAsia="宋体" w:cs="Times New Roman"/>
        </w:rPr>
        <w:t>综合来看，CNTs填充量是影响CNTs/CNF/CNC薄膜导电性能的重要因素，适当提高CNTs含量有利于构建连续导电网络并降低薄膜方阻。</w:t>
      </w:r>
    </w:p>
    <w:p w14:paraId="30BFA7D1">
      <w:pPr>
        <w:ind w:firstLine="420"/>
        <w:jc w:val="both"/>
      </w:pPr>
      <w:r>
        <w:rPr>
          <w:rFonts w:hint="eastAsia" w:ascii="Times New Roman" w:hAnsi="Times New Roman" w:eastAsia="宋体" w:cs="Times New Roman"/>
        </w:rPr>
        <w:t>图3-8展示了不同CNTs填充量下CNTs/CNF/CNC薄膜的表面方阻变化情况。研究表明，随着CNTs含量的增加，薄膜表面方阻整体呈下降趋势，导电性能逐渐提高。在CNTs添加量较低时，体系中CNTs之间接触界面较少，难以形成连续导电通路，因此方阻相对较高；随着CNTs含量增加，CNTs在CNF基体中的搭接与接触概率增大，逐渐形成完善的导电网络，方阻明显降低。其中，当CNTs的填充量达到CNTs/CNF/CNC薄膜时，所制备薄膜的表面方阻下降最为显著，约为0.15 kΩ/□，说明较高CNTs填充量下体系内部已形成较稳定的导电通路，这可能与体系接近或超过渗流阈值有关，此时CNTs能够彼此贯通，显著提升电子传输能力。相比之下，第2组与第3组样品的平均方阻分别为0.47 kΩ/□和0.65 kΩ/□，尽管两组中CNTs与纳米纤维素的干重比相同，但由于所采用的CNTs分散液浓度不同，体系实际含水量存在差异，这可能影响CNTs在浆料中的分散状态及成膜过程；较高的自由水含量易导致溶剂挥发过程中CNTs局部迁移或分布不均，从而影响导电网络的连续性，最终造成方阻差异。</w:t>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p>
    <w:p w14:paraId="178FE734">
      <w:pPr>
        <w:jc w:val="both"/>
      </w:pPr>
    </w:p>
    <w:p w14:paraId="04C586E5">
      <w:pPr>
        <w:pStyle w:val="11"/>
        <w:jc w:val="center"/>
        <w:rPr>
          <w:rFonts w:hint="eastAsia"/>
        </w:rPr>
      </w:pPr>
      <w:r>
        <w:rPr>
          <w:rFonts w:hint="eastAsia" w:ascii="Times New Roman" w:hAnsi="Times New Roman" w:eastAsia="SimHei" w:cs="Times New Roman"/>
          <w:sz w:val="21"/>
        </w:rPr>
        <w:t>图 3-8CNTs填充量对CNTs/CNF/CNC薄膜表面方阻的影响</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p>
    <w:p w14:paraId="454DF1C4">
      <w:pPr>
        <w:ind w:firstLine="420"/>
        <w:jc w:val="both"/>
      </w:pPr>
      <w:r>
        <w:rPr>
          <w:rFonts w:hint="eastAsia" w:ascii="Times New Roman" w:hAnsi="Times New Roman" w:eastAsia="宋体" w:cs="Times New Roman"/>
        </w:rPr>
        <w:t>进一步地，为评估CNTs/CNF/CNC薄膜在反复弯折过程中的导电稳定性，分别测试了样品在折叠20、40、60、80和100次后的表面方阻变化（图3-9）。结果显示，各样品方阻随折叠次数的变化存在显著差异。其中，样品1的CNTs添加量最低（5 mg/mL，CNTs:CNF=1:4），其方阻处于kΩ/□量级，明显高于样品2~4，表明其导电网络仍处于渗流阈值附近，导电通路尚未充分构建，整体导电性能较弱；但该样品在多次折叠过程中方阻变化较小，未出现明显劣化趋势。相比之下，样品2（约400-560 Ω/□）在折叠过程中方阻先下降后上升，说明其导电网络初期有所优化，但在高折叠次数下发生部分结构损伤；样品3（约800-1100 Ω/□）方阻最高且波动较大，反映出CNTs分散不均、导电通路不连续，网络稳定性较差；样品4（约70–130 Ω/□）整体方阻最低且变化最为平稳，表明其CNTs含量与分散状态较为合理，形成了稳定且连续的导电网络，并具有良好的抗折叠能力。</w:t>
      </w:r>
      <w:r>
        <w:rPr>
          <w:rFonts w:ascii="Times New Roman" w:hAnsi="Times New Roman" w:eastAsia="宋体" w:cs="Times New Roman"/>
          <w:highlight w:val="yellow"/>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highlight w:val="yellow"/>
        </w:rPr>
      </w:r>
      <w:r>
        <w:rPr>
          <w:rFonts w:hint="eastAsia" w:ascii="Times New Roman" w:hAnsi="Times New Roman" w:eastAsia="宋体" w:cs="Times New Roman"/>
        </w:rPr>
      </w:r>
    </w:p>
    <w:p w14:paraId="3169BF99">
      <w:pPr>
        <w:keepNext/>
        <w:ind w:firstLine="420"/>
        <w:jc w:val="both"/>
      </w:pPr>
    </w:p>
    <w:p w14:paraId="265C2BF5">
      <w:pPr>
        <w:pStyle w:val="11"/>
        <w:jc w:val="center"/>
        <w:rPr>
          <w:rFonts w:hint="eastAsia"/>
        </w:rPr>
      </w:pPr>
      <w:r>
        <w:rPr>
          <w:rFonts w:hint="eastAsia" w:ascii="Times New Roman" w:hAnsi="Times New Roman" w:eastAsia="SimHei" w:cs="Times New Roman"/>
          <w:sz w:val="21"/>
        </w:rPr>
        <w:t>图 3-9不同CNTs浓度的CNTs/CNF/CNC薄膜的折叠稳定性(a)样品1 (b)样品2 (c)样品3 (d)样品4</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p>
    <w:p w14:paraId="1D444AC5">
      <w:pPr>
        <w:ind w:firstLine="420"/>
        <w:jc w:val="both"/>
        <w:rPr>
          <w:rFonts w:hint="eastAsia" w:ascii="宋体" w:hAnsi="宋体"/>
        </w:rPr>
      </w:pPr>
    </w:p>
    <w:p w14:paraId="718CC2C1">
      <w:pPr>
        <w:ind w:firstLine="420"/>
        <w:jc w:val="both"/>
        <w:rPr>
          <w:rFonts w:hint="eastAsia" w:ascii="宋体" w:hAnsi="宋体"/>
        </w:rPr>
      </w:pPr>
    </w:p>
    <w:p w14:paraId="028A49A5">
      <w:pPr>
        <w:pStyle w:val="4"/>
        <w:rPr>
          <w:rFonts w:hint="eastAsia"/>
        </w:rPr>
      </w:pPr>
      <w:r>
        <w:rPr>
          <w:rFonts w:ascii="Times New Roman" w:hAnsi="Times New Roman" w:eastAsia="宋体" w:cs="Times New Roman"/>
        </w:rPr>
        <w:t>CNTs填充量对CNTs/CNF/CNC薄膜电磁屏蔽性能的影响</w:t>
      </w:r>
    </w:p>
    <w:p w14:paraId="10B842F1">
      <w:pPr>
        <w:ind w:firstLine="420"/>
        <w:jc w:val="both"/>
        <w:rPr>
          <w:rFonts w:hint="eastAsia" w:ascii="宋体" w:hAnsi="宋体"/>
        </w:rPr>
      </w:pPr>
    </w:p>
    <w:p w14:paraId="62EFF674">
      <w:pPr>
        <w:ind w:firstLine="420"/>
        <w:jc w:val="both"/>
      </w:pPr>
      <w:r>
        <w:rPr>
          <w:rFonts w:hint="eastAsia" w:ascii="Times New Roman" w:hAnsi="Times New Roman" w:eastAsia="宋体" w:cs="Times New Roman"/>
        </w:rPr>
        <w:t>在X波段（8.2-12.4 GHz）频率范围内，对四种CNTs/CNF/CNC薄膜（样品1-4）的电磁屏蔽效能进行了测试。总屏蔽效能（SET）、吸收损耗（SEA）和反射损耗（SER）的频率曲线分别如图3-10（a-c）所示，其平均值对比见图3-10（d）。电磁波的反射系数（R）和吸收系数（A）如图3-10(a,b)所示。由图3-10（a）可见，样品4在整个测试频段内表现出最高的总屏蔽效能（SET）,其值在22.0-24.5 dB之间波动，平均值约为22.9 dB，显著优于其他三个样品。样品3和样品2的SET较为接近，分别约为15.0-16.0 dB，而样品1的SET最低，在12.8-13.6 dB之间。四个样品的SET曲线在X波段内波动较小，显示出良好的频率稳定性。如图3-10(b)所示，样品4的吸收损耗（SEA）最高，在16.1-19.4 dB范围内；样品3、样品2和样品1的SEA依次降低，平均值分别约为13.4 dB、12.8 dB和11.5 dB。图3-10(c)中的反射损耗（SER）也呈现相似趋势，样品4最高，达到CNTs/CNF/CNC薄膜 dB。为进一步明确屏蔽机制，对吸收和反射系数进行了测试与分析。图3-11(a)所示的反射系数（R）与SER结果一致。样品4的R值最高，表明其表面导电性较强，对入射电磁波的初始反射能力最强；样品1的R值最低（0.22-0.32），样品2和样品3的R值介于0.35–0.45之间。图3-10(b)中的吸收系数（A）显示，样品1具有最高的吸收系数（平均约0.68），而样品4的A值最低（平均约0.27）。</w:t>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hint="eastAsia"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vertAlign w:val="subscript"/>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vertAlign w:val="subscript"/>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vertAlign w:val="subscript"/>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vertAlign w:val="subscript"/>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vertAlign w:val="subscript"/>
        </w:rPr>
      </w:r>
      <w:r>
        <w:rPr>
          <w:rFonts w:ascii="Times New Roman" w:hAnsi="Times New Roman" w:eastAsia="宋体" w:cs="Times New Roman"/>
          <w:highlight w:val="yellow"/>
        </w:rPr>
      </w:r>
      <w:r>
        <w:rPr>
          <w:rFonts w:hint="eastAsia"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hint="eastAsia" w:ascii="Times New Roman" w:hAnsi="Times New Roman" w:eastAsia="宋体" w:cs="Times New Roman"/>
          <w:highlight w:val="yellow"/>
        </w:rPr>
      </w:r>
      <w:r>
        <w:rPr>
          <w:rFonts w:ascii="Times New Roman" w:hAnsi="Times New Roman" w:eastAsia="宋体" w:cs="Times New Roman"/>
          <w:highlight w:val="yellow"/>
        </w:rPr>
      </w:r>
      <w:r>
        <w:rPr>
          <w:rFonts w:hint="eastAsia"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rPr>
      </w:r>
      <w:r>
        <w:rPr>
          <w:rFonts w:hint="eastAsia" w:ascii="Times New Roman" w:hAnsi="Times New Roman" w:eastAsia="宋体" w:cs="Times New Roman"/>
          <w:highlight w:val="yellow"/>
        </w:rPr>
      </w:r>
      <w:r>
        <w:rPr>
          <w:rFonts w:ascii="Times New Roman" w:hAnsi="Times New Roman" w:eastAsia="宋体" w:cs="Times New Roman"/>
          <w:highlight w:val="yellow"/>
        </w:rPr>
      </w:r>
      <w:r>
        <w:rPr>
          <w:rFonts w:ascii="Times New Roman" w:hAnsi="Times New Roman" w:eastAsia="宋体" w:cs="Times New Roman"/>
          <w:highlight w:val="yellow"/>
          <w:vertAlign w:val="subscript"/>
        </w:rPr>
      </w:r>
      <w:r>
        <w:rPr>
          <w:rFonts w:ascii="Times New Roman" w:hAnsi="Times New Roman" w:eastAsia="宋体" w:cs="Times New Roman"/>
          <w:highlight w:val="yellow"/>
        </w:rPr>
      </w:r>
      <w:r>
        <w:rPr>
          <w:rFonts w:hint="eastAsia" w:ascii="Times New Roman" w:hAnsi="Times New Roman" w:eastAsia="宋体" w:cs="Times New Roman"/>
          <w:highlight w:val="yellow"/>
        </w:rPr>
      </w:r>
      <w:r>
        <w:rPr>
          <w:rFonts w:ascii="Times New Roman" w:hAnsi="Times New Roman" w:eastAsia="宋体" w:cs="Times New Roman"/>
          <w:highlight w:val="yellow"/>
        </w:rPr>
      </w:r>
      <w:r>
        <w:rPr>
          <w:rFonts w:hint="eastAsia" w:ascii="Times New Roman" w:hAnsi="Times New Roman" w:eastAsia="宋体" w:cs="Times New Roman"/>
          <w:highlight w:val="yellow"/>
        </w:rPr>
      </w:r>
      <w:r>
        <w:rPr>
          <w:rFonts w:ascii="Times New Roman" w:hAnsi="Times New Roman" w:eastAsia="宋体" w:cs="Times New Roman"/>
          <w:highlight w:val="yellow"/>
        </w:rPr>
      </w:r>
    </w:p>
    <w:p w14:paraId="3C85F831">
      <w:pPr>
        <w:ind w:firstLine="420"/>
        <w:jc w:val="both"/>
        <w:rPr>
          <w:rFonts w:hint="eastAsia" w:ascii="宋体" w:hAnsi="宋体"/>
        </w:rPr>
      </w:pPr>
    </w:p>
    <w:p w14:paraId="12A3EBB1">
      <w:pPr>
        <w:ind w:firstLine="420"/>
        <w:jc w:val="both"/>
        <w:rPr>
          <w:rFonts w:hint="eastAsia" w:ascii="宋体" w:hAnsi="宋体"/>
        </w:rPr>
      </w:pPr>
    </w:p>
    <w:p w14:paraId="19C84201">
      <w:pPr>
        <w:jc w:val="both"/>
      </w:pPr>
    </w:p>
    <w:p w14:paraId="0AAF9B26">
      <w:pPr>
        <w:pStyle w:val="11"/>
        <w:jc w:val="center"/>
        <w:rPr>
          <w:rFonts w:hint="eastAsia"/>
        </w:rPr>
      </w:pPr>
      <w:r>
        <w:rPr>
          <w:rFonts w:hint="eastAsia" w:ascii="Times New Roman" w:hAnsi="Times New Roman" w:eastAsia="SimHei" w:cs="Times New Roman"/>
          <w:sz w:val="21"/>
        </w:rPr>
        <w:t>图 3-10 X波段下CNTs填充量对电磁屏蔽效能的影响 (a)SET (b)SEA (c)SER (d)电磁屏蔽效能平均值</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p>
    <w:p w14:paraId="12B79F64">
      <w:pPr>
        <w:jc w:val="both"/>
      </w:pPr>
    </w:p>
    <w:p w14:paraId="296A8B9B">
      <w:pPr>
        <w:pStyle w:val="11"/>
        <w:jc w:val="center"/>
        <w:rPr>
          <w:rFonts w:hint="eastAsia" w:ascii="宋体" w:hAnsi="宋体"/>
          <w:sz w:val="24"/>
        </w:rPr>
      </w:pPr>
      <w:r>
        <w:rPr>
          <w:rFonts w:hint="eastAsia" w:ascii="Times New Roman" w:hAnsi="Times New Roman" w:eastAsia="SimHei" w:cs="Times New Roman"/>
          <w:sz w:val="21"/>
        </w:rPr>
        <w:t>图 3-11 X波段CNTs填充量对反射系数和吸收系数的影响 （a）反射系数 （b）吸收系数</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p>
    <w:p w14:paraId="186DBAC6">
      <w:pPr>
        <w:ind w:firstLine="420"/>
        <w:jc w:val="both"/>
      </w:pPr>
      <w:r>
        <w:rPr>
          <w:rFonts w:hint="eastAsia" w:ascii="Times New Roman" w:hAnsi="Times New Roman" w:eastAsia="宋体" w:cs="Times New Roman"/>
        </w:rPr>
        <w:t>综合SET、SEA、SER以及R、A等参数可知，样品4的电磁屏蔽性能最为优异。其优异性能得益于优化的导电网络结构，既能有效反射电磁波，又能使透入的电磁波通过多重散射和介电损耗被强烈吸收。样品1虽然具有较高的吸收系数，但因导电性较弱导致总体屏蔽效能较低。样品2和样品3的各项指标均介于样品1与样品4之间，呈现出明显的梯度变化。</w:t>
      </w:r>
    </w:p>
    <w:p w14:paraId="4D0E5A1A">
      <w:pPr>
        <w:ind w:firstLine="420"/>
        <w:jc w:val="both"/>
      </w:pPr>
      <w:r>
        <w:rPr>
          <w:rFonts w:hint="eastAsia" w:ascii="Times New Roman" w:hAnsi="Times New Roman" w:eastAsia="宋体" w:cs="Times New Roman"/>
        </w:rPr>
        <w:t>综上所述，样品4的CNTs/CNF/CNC薄膜在X波段展现出优异的吸收主导型电磁屏蔽性能，具有轻质、环境友好和高效屏蔽的特点，在柔性电子设备、便携式装置及可穿戴设备的电磁防护领域展现出良好的应用潜力。</w:t>
      </w:r>
    </w:p>
    <w:p w14:paraId="3D066CF2">
      <w:pPr>
        <w:ind w:firstLine="420"/>
        <w:jc w:val="both"/>
      </w:pPr>
      <w:r>
        <w:rPr>
          <w:rFonts w:ascii="Times New Roman" w:hAnsi="Times New Roman" w:eastAsia="宋体" w:cs="Times New Roman"/>
        </w:rPr>
        <w:t>为全面评估四种CNTs/CNF/CNC薄膜在更高频率下的屏蔽性能，在Ku波段（12–18 GHz）内对其电磁屏蔽效能进行了测试。总屏蔽效能（SET）、吸收损耗（SEA）和反射损耗（SER）如图3-11(a-c)所示，平均值对比如图3-11(d)；电磁波的反射系数（R）和吸收系数（A）如图3-12(a,b)所示。</w:t>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vertAlign w:val="subscript"/>
        </w:rPr>
      </w:r>
      <w:r>
        <w:rPr>
          <w:rFonts w:ascii="Times New Roman" w:hAnsi="Times New Roman" w:eastAsia="宋体" w:cs="Times New Roman"/>
        </w:rPr>
      </w:r>
      <w:r>
        <w:rPr>
          <w:rFonts w:ascii="Times New Roman" w:hAnsi="Times New Roman" w:eastAsia="宋体" w:cs="Times New Roman"/>
          <w:vertAlign w:val="subscript"/>
        </w:rPr>
      </w:r>
      <w:r>
        <w:rPr>
          <w:rFonts w:ascii="Times New Roman" w:hAnsi="Times New Roman" w:eastAsia="宋体" w:cs="Times New Roman"/>
        </w:rPr>
      </w:r>
      <w:r>
        <w:rPr>
          <w:rFonts w:ascii="Times New Roman" w:hAnsi="Times New Roman" w:eastAsia="宋体" w:cs="Times New Roman"/>
          <w:vertAlign w:val="subscript"/>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p>
    <w:p w14:paraId="39A0335C">
      <w:pPr>
        <w:ind w:firstLine="420"/>
        <w:jc w:val="both"/>
      </w:pPr>
      <w:r>
        <w:rPr>
          <w:rFonts w:hint="eastAsia" w:ascii="Times New Roman" w:hAnsi="Times New Roman" w:eastAsia="宋体" w:cs="Times New Roman"/>
        </w:rPr>
        <w:t>由图3-12(a)可见，样品4在Ku波段仍表现出最为优异的总屏蔽效能（SE</w:t>
      </w:r>
      <w:r>
        <w:rPr>
          <w:rFonts w:hint="eastAsia" w:ascii="Times New Roman" w:hAnsi="Times New Roman" w:eastAsia="宋体" w:cs="Times New Roman"/>
          <w:vertAlign w:val="subscript"/>
        </w:rPr>
        <w:t>T</w:t>
      </w:r>
      <w:r>
        <w:rPr>
          <w:rFonts w:hint="eastAsia" w:ascii="Times New Roman" w:hAnsi="Times New Roman" w:eastAsia="宋体" w:cs="Times New Roman"/>
        </w:rPr>
        <w:t>）。其SE</w:t>
      </w:r>
      <w:r>
        <w:rPr>
          <w:rFonts w:hint="eastAsia" w:ascii="Times New Roman" w:hAnsi="Times New Roman" w:eastAsia="宋体" w:cs="Times New Roman"/>
          <w:vertAlign w:val="subscript"/>
        </w:rPr>
        <w:t>T</w:t>
      </w:r>
      <w:r>
        <w:rPr>
          <w:rFonts w:hint="eastAsia" w:ascii="Times New Roman" w:hAnsi="Times New Roman" w:eastAsia="宋体" w:cs="Times New Roman"/>
        </w:rPr>
        <w:t>值在26.6-31.9 dB之间，并随频率升高呈整体上升趋势，平均值显著高于其他样品。样品3的SE</w:t>
      </w:r>
      <w:r>
        <w:rPr>
          <w:rFonts w:hint="eastAsia" w:ascii="Times New Roman" w:hAnsi="Times New Roman" w:eastAsia="宋体" w:cs="Times New Roman"/>
          <w:vertAlign w:val="subscript"/>
        </w:rPr>
        <w:t>T</w:t>
      </w:r>
      <w:r>
        <w:rPr>
          <w:rFonts w:hint="eastAsia" w:ascii="Times New Roman" w:hAnsi="Times New Roman" w:eastAsia="宋体" w:cs="Times New Roman"/>
        </w:rPr>
        <w:t>次之，约为14.7-16.2 dB；样品2约为12.7-14.3 dB；样品1的SE</w:t>
      </w:r>
      <w:r>
        <w:rPr>
          <w:rFonts w:hint="eastAsia" w:ascii="Times New Roman" w:hAnsi="Times New Roman" w:eastAsia="宋体" w:cs="Times New Roman"/>
          <w:vertAlign w:val="subscript"/>
        </w:rPr>
        <w:t>T</w:t>
      </w:r>
      <w:r>
        <w:rPr>
          <w:rFonts w:hint="eastAsia" w:ascii="Times New Roman" w:hAnsi="Times New Roman" w:eastAsia="宋体" w:cs="Times New Roman"/>
        </w:rPr>
        <w:t>最低，基本稳定在11.1-11.5 dB左右。四个样品的SE</w:t>
      </w:r>
      <w:r>
        <w:rPr>
          <w:rFonts w:hint="eastAsia" w:ascii="Times New Roman" w:hAnsi="Times New Roman" w:eastAsia="宋体" w:cs="Times New Roman"/>
          <w:vertAlign w:val="subscript"/>
        </w:rPr>
        <w:t>T</w:t>
      </w:r>
      <w:r>
        <w:rPr>
          <w:rFonts w:hint="eastAsia" w:ascii="Times New Roman" w:hAnsi="Times New Roman" w:eastAsia="宋体" w:cs="Times New Roman"/>
        </w:rPr>
        <w:t>在Ku波段内均保持相对稳定，表明材料具有良好的宽频响应特性。</w:t>
      </w:r>
    </w:p>
    <w:p w14:paraId="050753B3">
      <w:pPr>
        <w:ind w:firstLine="420"/>
        <w:jc w:val="both"/>
      </w:pPr>
      <w:r>
        <w:rPr>
          <w:rFonts w:hint="eastAsia" w:ascii="Times New Roman" w:hAnsi="Times New Roman" w:eastAsia="宋体" w:cs="Times New Roman"/>
        </w:rPr>
        <w:t>屏蔽机制分析显示（图3-12(b,c)），样品4的SE</w:t>
      </w:r>
      <w:r>
        <w:rPr>
          <w:rFonts w:hint="eastAsia" w:ascii="Times New Roman" w:hAnsi="Times New Roman" w:eastAsia="宋体" w:cs="Times New Roman"/>
          <w:vertAlign w:val="subscript"/>
        </w:rPr>
        <w:t>R</w:t>
      </w:r>
      <w:r>
        <w:rPr>
          <w:rFonts w:hint="eastAsia" w:ascii="Times New Roman" w:hAnsi="Times New Roman" w:eastAsia="宋体" w:cs="Times New Roman"/>
        </w:rPr>
        <w:t>和SE</w:t>
      </w:r>
      <w:r>
        <w:rPr>
          <w:rFonts w:hint="eastAsia" w:ascii="Times New Roman" w:hAnsi="Times New Roman" w:eastAsia="宋体" w:cs="Times New Roman"/>
          <w:vertAlign w:val="subscript"/>
        </w:rPr>
        <w:t>A</w:t>
      </w:r>
      <w:r>
        <w:rPr>
          <w:rFonts w:hint="eastAsia" w:ascii="Times New Roman" w:hAnsi="Times New Roman" w:eastAsia="宋体" w:cs="Times New Roman"/>
        </w:rPr>
        <w:t>均显著高于其他样品。其中SE</w:t>
      </w:r>
      <w:r>
        <w:rPr>
          <w:rFonts w:hint="eastAsia" w:ascii="Times New Roman" w:hAnsi="Times New Roman" w:eastAsia="宋体" w:cs="Times New Roman"/>
          <w:vertAlign w:val="subscript"/>
        </w:rPr>
        <w:t>R</w:t>
      </w:r>
      <w:r>
        <w:rPr>
          <w:rFonts w:hint="eastAsia" w:ascii="Times New Roman" w:hAnsi="Times New Roman" w:eastAsia="宋体" w:cs="Times New Roman"/>
        </w:rPr>
        <w:t>呈现明显波动（最高可达7 dB），而SE</w:t>
      </w:r>
      <w:r>
        <w:rPr>
          <w:rFonts w:hint="eastAsia" w:ascii="Times New Roman" w:hAnsi="Times New Roman" w:eastAsia="宋体" w:cs="Times New Roman"/>
          <w:vertAlign w:val="subscript"/>
        </w:rPr>
        <w:t>A</w:t>
      </w:r>
      <w:r>
        <w:rPr>
          <w:rFonts w:hint="eastAsia" w:ascii="Times New Roman" w:hAnsi="Times New Roman" w:eastAsia="宋体" w:cs="Times New Roman"/>
        </w:rPr>
        <w:t>同样处于较高水平，说明样品4在Ku波段同时具有较强的反射和吸收能力，但整体仍以吸收损耗为主。样品3、样品2和样品1的SE</w:t>
      </w:r>
      <w:r>
        <w:rPr>
          <w:rFonts w:hint="eastAsia" w:ascii="Times New Roman" w:hAnsi="Times New Roman" w:eastAsia="宋体" w:cs="Times New Roman"/>
          <w:vertAlign w:val="subscript"/>
        </w:rPr>
        <w:t>A</w:t>
      </w:r>
      <w:r>
        <w:rPr>
          <w:rFonts w:hint="eastAsia" w:ascii="Times New Roman" w:hAnsi="Times New Roman" w:eastAsia="宋体" w:cs="Times New Roman"/>
        </w:rPr>
        <w:t>和SE</w:t>
      </w:r>
      <w:r>
        <w:rPr>
          <w:rFonts w:hint="eastAsia" w:ascii="Times New Roman" w:hAnsi="Times New Roman" w:eastAsia="宋体" w:cs="Times New Roman"/>
          <w:vertAlign w:val="subscript"/>
        </w:rPr>
        <w:t>R</w:t>
      </w:r>
      <w:r>
        <w:rPr>
          <w:rFonts w:hint="eastAsia" w:ascii="Times New Roman" w:hAnsi="Times New Roman" w:eastAsia="宋体" w:cs="Times New Roman"/>
        </w:rPr>
        <w:t>依次降低，吸收仍为其主要屏蔽机制。</w:t>
      </w:r>
    </w:p>
    <w:p w14:paraId="391A1F58">
      <w:pPr>
        <w:keepNext/>
        <w:jc w:val="both"/>
      </w:pPr>
    </w:p>
    <w:p w14:paraId="2B632D83">
      <w:pPr>
        <w:pStyle w:val="11"/>
        <w:jc w:val="center"/>
        <w:rPr>
          <w:rFonts w:hint="eastAsia" w:ascii="宋体" w:hAnsi="宋体"/>
          <w:sz w:val="24"/>
        </w:rPr>
      </w:pPr>
      <w:r>
        <w:rPr>
          <w:rFonts w:hint="eastAsia" w:ascii="Times New Roman" w:hAnsi="Times New Roman" w:eastAsia="SimHei" w:cs="Times New Roman"/>
          <w:sz w:val="21"/>
        </w:rPr>
        <w:t>图 3-12Ku波段下CNTs填充量对其电磁屏蔽效能的影响 (a)SET (b)SER (c)SEA (d)平均值</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p>
    <w:p w14:paraId="739B0946">
      <w:pPr>
        <w:ind w:firstLine="420"/>
        <w:jc w:val="both"/>
        <w:rPr>
          <w:rFonts w:hint="eastAsia" w:ascii="宋体" w:hAnsi="宋体"/>
        </w:rPr>
      </w:pPr>
      <w:r>
        <w:rPr>
          <w:rFonts w:ascii="Times New Roman" w:hAnsi="Times New Roman" w:eastAsia="宋体" w:cs="Times New Roman"/>
        </w:rPr>
        <w:t>图</w:t>
      </w:r>
      <w:r>
        <w:rPr>
          <w:rFonts w:hint="eastAsia" w:ascii="Times New Roman" w:hAnsi="Times New Roman" w:eastAsia="宋体" w:cs="Times New Roman"/>
        </w:rPr>
        <w:t>3-13</w:t>
      </w:r>
      <w:r>
        <w:rPr>
          <w:rFonts w:ascii="Times New Roman" w:hAnsi="Times New Roman" w:eastAsia="宋体" w:cs="Times New Roman"/>
        </w:rPr>
        <w:t>(</w:t>
      </w:r>
      <w:r>
        <w:rPr>
          <w:rFonts w:ascii="Times New Roman" w:hAnsi="Times New Roman" w:eastAsia="宋体" w:cs="Times New Roman"/>
        </w:rPr>
        <w:t>a</w:t>
      </w:r>
      <w:r>
        <w:rPr>
          <w:rFonts w:ascii="Times New Roman" w:hAnsi="Times New Roman" w:eastAsia="宋体" w:cs="Times New Roman"/>
        </w:rPr>
        <w:t>)所示的反射系数（</w:t>
      </w:r>
      <w:r>
        <w:rPr>
          <w:rFonts w:ascii="Times New Roman" w:hAnsi="Times New Roman" w:eastAsia="宋体" w:cs="Times New Roman"/>
        </w:rPr>
        <w:t>R</w:t>
      </w:r>
      <w:r>
        <w:rPr>
          <w:rFonts w:ascii="Times New Roman" w:hAnsi="Times New Roman" w:eastAsia="宋体" w:cs="Times New Roman"/>
        </w:rPr>
        <w:t>）与</w:t>
      </w:r>
      <w:r>
        <w:rPr>
          <w:rFonts w:ascii="Times New Roman" w:hAnsi="Times New Roman" w:eastAsia="宋体" w:cs="Times New Roman"/>
        </w:rPr>
        <w:t>SE</w:t>
      </w:r>
      <w:r>
        <w:rPr>
          <w:rFonts w:ascii="Times New Roman" w:hAnsi="Times New Roman" w:eastAsia="宋体" w:cs="Times New Roman"/>
          <w:vertAlign w:val="subscript"/>
        </w:rPr>
        <w:t>R</w:t>
      </w:r>
      <w:r>
        <w:rPr>
          <w:rFonts w:ascii="Times New Roman" w:hAnsi="Times New Roman" w:eastAsia="宋体" w:cs="Times New Roman"/>
        </w:rPr>
        <w:t>结果一致。样品4的</w:t>
      </w:r>
      <w:r>
        <w:rPr>
          <w:rFonts w:ascii="Times New Roman" w:hAnsi="Times New Roman" w:eastAsia="宋体" w:cs="Times New Roman"/>
        </w:rPr>
        <w:t>R</w:t>
      </w:r>
      <w:r>
        <w:rPr>
          <w:rFonts w:ascii="Times New Roman" w:hAnsi="Times New Roman" w:eastAsia="宋体" w:cs="Times New Roman"/>
        </w:rPr>
        <w:t>值最高且波动较大（0.3</w:t>
      </w:r>
      <w:r>
        <w:rPr>
          <w:rFonts w:hint="eastAsia" w:ascii="Times New Roman" w:hAnsi="Times New Roman" w:eastAsia="宋体" w:cs="Times New Roman"/>
        </w:rPr>
        <w:t>1-</w:t>
      </w:r>
      <w:r>
        <w:rPr>
          <w:rFonts w:ascii="Times New Roman" w:hAnsi="Times New Roman" w:eastAsia="宋体" w:cs="Times New Roman"/>
        </w:rPr>
        <w:t>0.78），表明其表面导电网络对电磁波具有较强的初始反射作用；样品1的</w:t>
      </w:r>
      <w:r>
        <w:rPr>
          <w:rFonts w:ascii="Times New Roman" w:hAnsi="Times New Roman" w:eastAsia="宋体" w:cs="Times New Roman"/>
        </w:rPr>
        <w:t>R</w:t>
      </w:r>
      <w:r>
        <w:rPr>
          <w:rFonts w:ascii="Times New Roman" w:hAnsi="Times New Roman" w:eastAsia="宋体" w:cs="Times New Roman"/>
        </w:rPr>
        <w:t>值最低（0.08</w:t>
      </w:r>
      <w:r>
        <w:rPr>
          <w:rFonts w:hint="eastAsia" w:ascii="Times New Roman" w:hAnsi="Times New Roman" w:eastAsia="宋体" w:cs="Times New Roman"/>
        </w:rPr>
        <w:t>-</w:t>
      </w:r>
      <w:r>
        <w:rPr>
          <w:rFonts w:ascii="Times New Roman" w:hAnsi="Times New Roman" w:eastAsia="宋体" w:cs="Times New Roman"/>
        </w:rPr>
        <w:t>0.1</w:t>
      </w:r>
      <w:r>
        <w:rPr>
          <w:rFonts w:hint="eastAsia" w:ascii="Times New Roman" w:hAnsi="Times New Roman" w:eastAsia="宋体" w:cs="Times New Roman"/>
        </w:rPr>
        <w:t>5</w:t>
      </w:r>
      <w:r>
        <w:rPr>
          <w:rFonts w:ascii="Times New Roman" w:hAnsi="Times New Roman" w:eastAsia="宋体" w:cs="Times New Roman"/>
        </w:rPr>
        <w:t>），样品2和样品3的</w:t>
      </w:r>
      <w:r>
        <w:rPr>
          <w:rFonts w:ascii="Times New Roman" w:hAnsi="Times New Roman" w:eastAsia="宋体" w:cs="Times New Roman"/>
        </w:rPr>
        <w:t>R</w:t>
      </w:r>
      <w:r>
        <w:rPr>
          <w:rFonts w:ascii="Times New Roman" w:hAnsi="Times New Roman" w:eastAsia="宋体" w:cs="Times New Roman"/>
        </w:rPr>
        <w:t>值介于0.15</w:t>
      </w:r>
      <w:r>
        <w:rPr>
          <w:rFonts w:hint="eastAsia" w:ascii="Times New Roman" w:hAnsi="Times New Roman" w:eastAsia="宋体" w:cs="Times New Roman"/>
        </w:rPr>
        <w:t>-</w:t>
      </w:r>
      <w:r>
        <w:rPr>
          <w:rFonts w:ascii="Times New Roman" w:hAnsi="Times New Roman" w:eastAsia="宋体" w:cs="Times New Roman"/>
        </w:rPr>
        <w:t>0.40之间。图4(</w:t>
      </w:r>
      <w:r>
        <w:rPr>
          <w:rFonts w:ascii="Times New Roman" w:hAnsi="Times New Roman" w:eastAsia="宋体" w:cs="Times New Roman"/>
        </w:rPr>
        <w:t>b</w:t>
      </w:r>
      <w:r>
        <w:rPr>
          <w:rFonts w:ascii="Times New Roman" w:hAnsi="Times New Roman" w:eastAsia="宋体" w:cs="Times New Roman"/>
        </w:rPr>
        <w:t>)中的吸收系数（</w:t>
      </w:r>
      <w:r>
        <w:rPr>
          <w:rFonts w:ascii="Times New Roman" w:hAnsi="Times New Roman" w:eastAsia="宋体" w:cs="Times New Roman"/>
        </w:rPr>
        <w:t>A</w:t>
      </w:r>
      <w:r>
        <w:rPr>
          <w:rFonts w:ascii="Times New Roman" w:hAnsi="Times New Roman" w:eastAsia="宋体" w:cs="Times New Roman"/>
        </w:rPr>
        <w:t>）显示，样品1具有最高的吸收系数，而样品4的</w:t>
      </w:r>
      <w:r>
        <w:rPr>
          <w:rFonts w:ascii="Times New Roman" w:hAnsi="Times New Roman" w:eastAsia="宋体" w:cs="Times New Roman"/>
        </w:rPr>
        <w:t>A</w:t>
      </w:r>
      <w:r>
        <w:rPr>
          <w:rFonts w:ascii="Times New Roman" w:hAnsi="Times New Roman" w:eastAsia="宋体" w:cs="Times New Roman"/>
        </w:rPr>
        <w:t>值相对较低（0.2</w:t>
      </w:r>
      <w:r>
        <w:rPr>
          <w:rFonts w:hint="eastAsia" w:ascii="Times New Roman" w:hAnsi="Times New Roman" w:eastAsia="宋体" w:cs="Times New Roman"/>
        </w:rPr>
        <w:t>1-</w:t>
      </w:r>
      <w:r>
        <w:rPr>
          <w:rFonts w:ascii="Times New Roman" w:hAnsi="Times New Roman" w:eastAsia="宋体" w:cs="Times New Roman"/>
        </w:rPr>
        <w:t>0.</w:t>
      </w:r>
      <w:r>
        <w:rPr>
          <w:rFonts w:hint="eastAsia" w:ascii="Times New Roman" w:hAnsi="Times New Roman" w:eastAsia="宋体" w:cs="Times New Roman"/>
        </w:rPr>
        <w:t>67</w:t>
      </w:r>
      <w:r>
        <w:rPr>
          <w:rFonts w:ascii="Times New Roman" w:hAnsi="Times New Roman" w:eastAsia="宋体" w:cs="Times New Roman"/>
        </w:rPr>
        <w:t>，波动较大）。由于所有样品的透射系数</w:t>
      </w:r>
      <w:r>
        <w:rPr>
          <w:rFonts w:ascii="Times New Roman" w:hAnsi="Times New Roman" w:eastAsia="宋体" w:cs="Times New Roman"/>
        </w:rPr>
        <w:t>T</w:t>
      </w:r>
      <w:r>
        <w:rPr>
          <w:rFonts w:ascii="Times New Roman" w:hAnsi="Times New Roman" w:eastAsia="宋体" w:cs="Times New Roman"/>
        </w:rPr>
        <w:t>均极低（</w:t>
      </w:r>
      <w:r>
        <w:rPr>
          <w:rFonts w:ascii="Times New Roman" w:hAnsi="Times New Roman" w:eastAsia="宋体" w:cs="Times New Roman"/>
        </w:rPr>
        <w:t>R+A+T</w:t>
      </w:r>
      <w:r>
        <w:rPr>
          <w:rFonts w:ascii="Times New Roman" w:hAnsi="Times New Roman" w:eastAsia="宋体" w:cs="Times New Roman"/>
        </w:rPr>
        <w:t>≈1），样品4尽管</w:t>
      </w:r>
      <w:r>
        <w:rPr>
          <w:rFonts w:ascii="Times New Roman" w:hAnsi="Times New Roman" w:eastAsia="宋体" w:cs="Times New Roman"/>
        </w:rPr>
        <w:t>A</w:t>
      </w:r>
      <w:r>
        <w:rPr>
          <w:rFonts w:ascii="Times New Roman" w:hAnsi="Times New Roman" w:eastAsia="宋体" w:cs="Times New Roman"/>
        </w:rPr>
        <w:t>值较低，但其极高的</w:t>
      </w:r>
      <w:r>
        <w:rPr>
          <w:rFonts w:ascii="Times New Roman" w:hAnsi="Times New Roman" w:eastAsia="宋体" w:cs="Times New Roman"/>
        </w:rPr>
        <w:t>SE</w:t>
      </w:r>
      <w:r>
        <w:rPr>
          <w:rFonts w:ascii="Times New Roman" w:hAnsi="Times New Roman" w:eastAsia="宋体" w:cs="Times New Roman"/>
          <w:vertAlign w:val="subscript"/>
        </w:rPr>
        <w:t>T</w:t>
      </w:r>
      <w:r>
        <w:rPr>
          <w:rFonts w:ascii="Times New Roman" w:hAnsi="Times New Roman" w:eastAsia="宋体" w:cs="Times New Roman"/>
        </w:rPr>
        <w:t>和</w:t>
      </w:r>
      <w:r>
        <w:rPr>
          <w:rFonts w:ascii="Times New Roman" w:hAnsi="Times New Roman" w:eastAsia="宋体" w:cs="Times New Roman"/>
        </w:rPr>
        <w:t>SE</w:t>
      </w:r>
      <w:r>
        <w:rPr>
          <w:rFonts w:ascii="Times New Roman" w:hAnsi="Times New Roman" w:eastAsia="宋体" w:cs="Times New Roman"/>
          <w:vertAlign w:val="subscript"/>
        </w:rPr>
        <w:t>A</w:t>
      </w:r>
      <w:r>
        <w:rPr>
          <w:rFonts w:ascii="Times New Roman" w:hAnsi="Times New Roman" w:eastAsia="宋体" w:cs="Times New Roman"/>
        </w:rPr>
        <w:t>表明进入材料内部的电磁波被高效衰减，这得益于高导电性带来的多重内部反射、界面极化和介电损耗。</w:t>
      </w:r>
    </w:p>
    <w:p w14:paraId="0597E535">
      <w:pPr>
        <w:keepNext/>
        <w:jc w:val="both"/>
      </w:pPr>
    </w:p>
    <w:p w14:paraId="2D8C3F56">
      <w:pPr>
        <w:pStyle w:val="11"/>
        <w:jc w:val="center"/>
        <w:rPr>
          <w:rFonts w:hint="eastAsia" w:ascii="宋体" w:hAnsi="宋体"/>
          <w:sz w:val="24"/>
        </w:rPr>
      </w:pPr>
      <w:r>
        <w:rPr>
          <w:rFonts w:hint="eastAsia" w:ascii="Times New Roman" w:hAnsi="Times New Roman" w:eastAsia="SimHei" w:cs="Times New Roman"/>
          <w:sz w:val="21"/>
        </w:rPr>
        <w:t>图 3-13Ku波段CNTs填充量对反射系数和吸收系数的影响 （a）反射系数 （b）吸收系数</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ascii="Times New Roman" w:hAnsi="Times New Roman" w:eastAsia="SimHei" w:cs="Times New Roman"/>
          <w:sz w:val="21"/>
        </w:rPr>
      </w:r>
      <w:r>
        <w:rPr>
          <w:rFonts w:hint="eastAsia" w:ascii="Times New Roman" w:hAnsi="Times New Roman" w:eastAsia="SimHei" w:cs="Times New Roman"/>
          <w:sz w:val="21"/>
        </w:rPr>
      </w:r>
      <w:r>
        <w:rPr>
          <w:rFonts w:ascii="Times New Roman" w:hAnsi="Times New Roman" w:eastAsia="SimHei" w:cs="Times New Roman"/>
          <w:sz w:val="21"/>
        </w:rPr>
      </w:r>
      <w:r>
        <w:rPr>
          <w:rFonts w:hint="eastAsia" w:ascii="Times New Roman" w:hAnsi="Times New Roman" w:eastAsia="SimHei" w:cs="Times New Roman"/>
          <w:sz w:val="21"/>
        </w:rPr>
      </w:r>
      <w:r>
        <w:rPr>
          <w:rFonts w:ascii="Times New Roman" w:hAnsi="Times New Roman" w:eastAsia="SimHei" w:cs="Times New Roman"/>
          <w:sz w:val="21"/>
        </w:rPr>
      </w:r>
    </w:p>
    <w:p w14:paraId="1555B756">
      <w:pPr>
        <w:ind w:firstLine="420"/>
        <w:jc w:val="both"/>
      </w:pPr>
      <w:r>
        <w:rPr>
          <w:rFonts w:hint="eastAsia" w:ascii="Times New Roman" w:hAnsi="Times New Roman" w:eastAsia="宋体" w:cs="Times New Roman"/>
        </w:rPr>
        <w:t>综合X波段和Ku波段的结果可知，样品4在两个频段均展现出最佳的电磁屏蔽性能，其平均SET在Ku波段达到28.0 dB。样品4性能的优异性主要源于其构建的完善导电网络，该网络既增强了表面反射，又显著提升了内部电磁波的衰减能力。</w:t>
      </w:r>
    </w:p>
    <w:p w14:paraId="5036BBFE">
      <w:pPr>
        <w:pStyle w:val="4"/>
      </w:pPr>
      <w:bookmarkStart w:id="33" w:name="_Toc229493724"/>
      <w:r>
        <w:rPr>
          <w:rFonts w:hint="eastAsia" w:ascii="Times New Roman" w:hAnsi="Times New Roman" w:eastAsia="宋体" w:cs="Times New Roman"/>
        </w:rPr>
        <w:t>厚度对CNTs/CNF/CNC薄膜的电磁屏蔽性能的影响</w:t>
      </w:r>
      <w:r>
        <w:rPr>
          <w:rFonts w:ascii="Times New Roman" w:hAnsi="Times New Roman" w:eastAsia="宋体" w:cs="Times New Roman"/>
        </w:rPr>
      </w:r>
      <w:r>
        <w:rPr>
          <w:rFonts w:hint="eastAsia" w:ascii="Times New Roman" w:hAnsi="Times New Roman" w:eastAsia="宋体" w:cs="Times New Roman"/>
        </w:rPr>
      </w:r>
      <w:r>
        <w:rPr>
          <w:rFonts w:hint="eastAsia" w:ascii="Times New Roman" w:hAnsi="Times New Roman" w:eastAsia="宋体" w:cs="Times New Roman"/>
          <w:color w:val="FF0000"/>
        </w:rPr>
      </w:r>
      <w:r>
        <w:rPr>
          <w:rFonts w:hint="eastAsia" w:ascii="Times New Roman" w:hAnsi="Times New Roman" w:eastAsia="宋体" w:cs="Times New Roman"/>
        </w:rPr>
      </w:r>
      <w:bookmarkEnd w:id="33"/>
    </w:p>
    <w:p w14:paraId="6FCF1C32">
      <w:pPr>
        <w:ind w:firstLine="420"/>
        <w:jc w:val="both"/>
      </w:pPr>
      <w:r>
        <w:rPr>
          <w:rFonts w:hint="eastAsia" w:ascii="Times New Roman" w:hAnsi="Times New Roman" w:eastAsia="宋体" w:cs="Times New Roman"/>
        </w:rPr>
        <w:t>为探究薄膜厚度对电磁屏蔽性能的影响，以屏蔽性能最优的样品4配方为基础，制备了1层、2层和3层CNTs/CNF/CNC薄膜，并分别测试了其在8-18GHz（X波段和Ku波段）范围内的屏蔽效能。总屏蔽效能（SET）、反射损耗（SER）和吸收损耗（SEA）随频率的变化曲线如图3-14所示，反射系数（R）和吸收系数（A）如图3-15所示。</w:t>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p>
    <w:p w14:paraId="51131553">
      <w:pPr>
        <w:ind w:firstLine="420"/>
        <w:jc w:val="both"/>
      </w:pPr>
      <w:r>
        <w:rPr>
          <w:rFonts w:hint="eastAsia" w:ascii="Times New Roman" w:hAnsi="Times New Roman" w:eastAsia="宋体" w:cs="Times New Roman"/>
        </w:rPr>
        <w:t>由图3-14（a）可知，随着层数（厚度）的增加，材料的总屏蔽效能（SE</w:t>
      </w:r>
      <w:r>
        <w:rPr>
          <w:rFonts w:hint="eastAsia" w:ascii="Times New Roman" w:hAnsi="Times New Roman" w:eastAsia="宋体" w:cs="Times New Roman"/>
          <w:vertAlign w:val="subscript"/>
        </w:rPr>
        <w:t>T</w:t>
      </w:r>
      <w:r>
        <w:rPr>
          <w:rFonts w:hint="eastAsia" w:ascii="Times New Roman" w:hAnsi="Times New Roman" w:eastAsia="宋体" w:cs="Times New Roman"/>
        </w:rPr>
        <w:t>）显著提升。1层薄膜的SE</w:t>
      </w:r>
      <w:r>
        <w:rPr>
          <w:rFonts w:hint="eastAsia" w:ascii="Times New Roman" w:hAnsi="Times New Roman" w:eastAsia="宋体" w:cs="Times New Roman"/>
          <w:vertAlign w:val="subscript"/>
        </w:rPr>
        <w:t>T</w:t>
      </w:r>
      <w:r>
        <w:rPr>
          <w:rFonts w:hint="eastAsia" w:ascii="Times New Roman" w:hAnsi="Times New Roman" w:eastAsia="宋体" w:cs="Times New Roman"/>
        </w:rPr>
        <w:t>在22.0-32.0 dB之间；2层薄膜的SE</w:t>
      </w:r>
      <w:r>
        <w:rPr>
          <w:rFonts w:hint="eastAsia" w:ascii="Times New Roman" w:hAnsi="Times New Roman" w:eastAsia="宋体" w:cs="Times New Roman"/>
          <w:vertAlign w:val="subscript"/>
        </w:rPr>
        <w:t>T</w:t>
      </w:r>
      <w:r>
        <w:rPr>
          <w:rFonts w:hint="eastAsia" w:ascii="Times New Roman" w:hAnsi="Times New Roman" w:eastAsia="宋体" w:cs="Times New Roman"/>
        </w:rPr>
        <w:t>提升至30.0-34.0 dB；3层薄膜的SE</w:t>
      </w:r>
      <w:r>
        <w:rPr>
          <w:rFonts w:hint="eastAsia" w:ascii="Times New Roman" w:hAnsi="Times New Roman" w:eastAsia="宋体" w:cs="Times New Roman"/>
          <w:vertAlign w:val="subscript"/>
        </w:rPr>
        <w:t>T</w:t>
      </w:r>
      <w:r>
        <w:rPr>
          <w:rFonts w:hint="eastAsia" w:ascii="Times New Roman" w:hAnsi="Times New Roman" w:eastAsia="宋体" w:cs="Times New Roman"/>
        </w:rPr>
        <w:t>最高，在35.0-42.5 dB范围内，在Ku波段（12.4-18 GHz）尤为突出。这种随厚度增加而显著增强的屏蔽性能符合电磁屏蔽理论中SE</w:t>
      </w:r>
      <w:r>
        <w:rPr>
          <w:rFonts w:hint="eastAsia" w:ascii="Times New Roman" w:hAnsi="Times New Roman" w:eastAsia="宋体" w:cs="Times New Roman"/>
          <w:vertAlign w:val="subscript"/>
        </w:rPr>
        <w:t>T</w:t>
      </w:r>
      <w:r>
        <w:rPr>
          <w:rFonts w:hint="eastAsia" w:ascii="Times New Roman" w:hAnsi="Times New Roman" w:eastAsia="宋体" w:cs="Times New Roman"/>
        </w:rPr>
        <w:t>与厚度呈正相关的一般规律。</w:t>
      </w:r>
    </w:p>
    <w:p w14:paraId="7219CCE7">
      <w:pPr>
        <w:ind w:firstLine="420"/>
        <w:jc w:val="both"/>
      </w:pPr>
      <w:r>
        <w:rPr>
          <w:rFonts w:hint="eastAsia" w:ascii="Times New Roman" w:hAnsi="Times New Roman" w:eastAsia="宋体" w:cs="Times New Roman"/>
        </w:rPr>
        <w:t>进一步分析屏蔽机制（图3-14，b,c），可以发现厚度对吸收损耗（SEA）的影响最为显著。1层薄膜的SEA约为17.0-28.0 dB，2层薄膜提升至22.0-32.0 dB，而3层薄膜的SEA最高，可达28.0-42.0 dB，成为总屏蔽效能的主要贡献者。相比之下，反射损耗（SER）随层数增加虽有一定提升，但在三组样品中均处于较低水平（主要在2-10 dB范围内波动），表明增加厚度主要通过延长电磁波在材料内部的传输路径，增强多重反射、界面极化和介电损耗，从而显著提高吸收损耗。如图3-15(a)所示，1层和2层薄膜的R值相对较高且波动较平稳，而3层薄膜在14–16 GHz频段出现明显的R值谷（最低降至0.20左右），说明在该频率范围内进入材料内部的电磁波比例显著增加。图3-15(b)中的吸收系数（A）则清晰显示，厚度增加对吸收能力的提升尤为显著。3层薄膜的A值在Ku波段中部达到0.75-0.80，远高于1层和2层薄膜。这与SEA随厚度大幅增加的结果完全一致（如图3-13 c））</w:t>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hint="eastAsia" w:ascii="Times New Roman" w:hAnsi="Times New Roman" w:eastAsia="宋体" w:cs="Times New Roman"/>
          <w:vertAlign w:val="subscript"/>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hint="eastAsia" w:ascii="Times New Roman" w:hAnsi="Times New Roman" w:eastAsia="宋体" w:cs="Times New Roman"/>
        </w:rPr>
      </w:r>
      <w:r>
        <w:rPr>
          <w:rFonts w:ascii="Times New Roman" w:hAnsi="Times New Roman" w:eastAsia="宋体" w:cs="Times New Roman"/>
        </w:rPr>
      </w:r>
      <w:r>
        <w:rPr>
          <w:rFonts w:ascii="Times New Roman" w:hAnsi="Times New Roman" w:eastAsia="宋体" w:cs="Times New Roman"/>
          <w:vertAlign w:val="subscript"/>
        </w:rPr>
      </w:r>
      <w:r>
        <w:rPr>
          <w:rFonts w:ascii="Times New Roman" w:hAnsi="Times New Roman" w:eastAsia="宋体" w:cs="Times New Roman"/>
        </w:rPr>
      </w:r>
      <w:r>
        <w:rPr>
          <w:rFonts w:hint="eastAsia" w:ascii="Times New Roman" w:hAnsi="Times New Roman" w:eastAsia="宋体" w:cs="Times New Roman"/>
        </w:rPr>
      </w:r>
    </w:p>
    <w:p w14:paraId="4B8435E8">
      <w:pPr>
        <w:keepNext/>
        <w:jc w:val="both"/>
      </w:pPr>
      <w:r>
        <w:rPr>
          <w:rFonts w:hint="eastAsia" w:ascii="Times New Roman" w:hAnsi="Times New Roman" w:eastAsia="宋体" w:cs="Times New Roman"/>
        </w:rPr>
        <w:t xml:space="preserve">    </w:t>
      </w:r>
    </w:p>
    <w:p w14:paraId="32877AC7">
      <w:pPr>
        <w:pStyle w:val="11"/>
        <w:jc w:val="center"/>
        <w:rPr>
          <w:rFonts w:hint="eastAsia" w:ascii="宋体" w:hAnsi="宋体"/>
          <w:sz w:val="24"/>
        </w:rPr>
      </w:pPr>
      <w:r>
        <w:rPr>
          <w:rFonts w:hint="eastAsia" w:ascii="Times New Roman" w:hAnsi="Times New Roman" w:eastAsia="SimHei" w:cs="Times New Roman"/>
          <w:sz w:val="21"/>
        </w:rPr>
        <w:t>图 3-14厚度对CNTs/CNF/CNC薄膜的电磁屏蔽性能的影响(a)SET (b)SER (c)SEA</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p>
    <w:p w14:paraId="1AEE005F">
      <w:pPr>
        <w:keepNext/>
        <w:ind w:firstLine="420"/>
        <w:jc w:val="both"/>
      </w:pPr>
      <w:bookmarkStart w:id="37" w:name="_GoBack"/>
      <w:bookmarkEnd w:id="37"/>
    </w:p>
    <w:p w14:paraId="5449E011">
      <w:pPr>
        <w:pStyle w:val="11"/>
        <w:jc w:val="center"/>
        <w:rPr>
          <w:rFonts w:hint="eastAsia" w:ascii="宋体" w:hAnsi="宋体"/>
        </w:rPr>
      </w:pPr>
      <w:r>
        <w:rPr>
          <w:rFonts w:hint="eastAsia" w:ascii="Times New Roman" w:hAnsi="Times New Roman" w:eastAsia="SimHei" w:cs="Times New Roman"/>
          <w:sz w:val="21"/>
        </w:rPr>
        <w:t>图 3-15厚度对CNTs/CNF/CNC薄膜的反射系数和吸收系数的影响 （a）反射系数 （b）吸收系数</w:t>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hint="eastAsia" w:ascii="Times New Roman" w:hAnsi="Times New Roman" w:eastAsia="SimHei" w:cs="Times New Roman"/>
          <w:sz w:val="21"/>
        </w:rPr>
      </w:r>
      <w:r>
        <w:rPr>
          <w:rFonts w:ascii="Times New Roman" w:hAnsi="Times New Roman" w:eastAsia="SimHei" w:cs="Times New Roman"/>
          <w:sz w:val="21"/>
        </w:rPr>
      </w:r>
      <w:r>
        <w:rPr>
          <w:rFonts w:hint="eastAsia" w:ascii="Times New Roman" w:hAnsi="Times New Roman" w:eastAsia="SimHei" w:cs="Times New Roman"/>
          <w:sz w:val="21"/>
        </w:rPr>
      </w:r>
      <w:r>
        <w:rPr>
          <w:rFonts w:ascii="Times New Roman" w:hAnsi="Times New Roman" w:eastAsia="SimHei" w:cs="Times New Roman"/>
          <w:sz w:val="21"/>
        </w:rPr>
      </w:r>
    </w:p>
    <w:p w14:paraId="1FADEAEF">
      <w:pPr>
        <w:ind w:firstLine="360"/>
        <w:jc w:val="both"/>
      </w:pPr>
      <w:r>
        <w:rPr>
          <w:rFonts w:ascii="Times New Roman" w:hAnsi="Times New Roman" w:eastAsia="宋体" w:cs="Times New Roman"/>
        </w:rPr>
        <w:t>综上所述，厚度是影响该纤维素基CNTs/CNF/CNC薄膜电磁屏蔽性能的关键因素之一。在样品4最优配方的基础上，通过适当增加厚度可显著提升材料的吸收损耗和总屏蔽效能，为实际应用中根据不同屏蔽需求调控材料厚度提供了重要依据。但同时需考虑厚度增加对材料柔韧性、轻质性和成本的影响，在实际应用中应进行综合优化。</w:t>
      </w:r>
    </w:p>
    <w:p w14:paraId="3A606A50">
      <w:pPr>
        <w:widowControl/>
        <w:jc w:val="both"/>
        <w:rPr>
          <w:rFonts w:hint="eastAsia" w:ascii="宋体" w:hAnsi="宋体"/>
        </w:rPr>
      </w:pPr>
      <w:r>
        <w:rPr>
          <w:rFonts w:hint="eastAsia" w:ascii="Times New Roman" w:hAnsi="Times New Roman" w:eastAsia="宋体" w:cs="Times New Roman"/>
        </w:rPr>
        <w:br w:type="page"/>
      </w:r>
    </w:p>
    <w:p w14:paraId="05323F8C">
      <w:pPr>
        <w:pStyle w:val="2"/>
      </w:pPr>
      <w:bookmarkStart w:id="34" w:name="_Toc229493725"/>
      <w:r>
        <w:rPr>
          <w:rFonts w:hint="eastAsia" w:ascii="Times New Roman" w:hAnsi="Times New Roman" w:eastAsia="宋体" w:cs="Times New Roman"/>
        </w:rPr>
        <w:t>结论</w:t>
      </w:r>
      <w:bookmarkEnd w:id="34"/>
    </w:p>
    <w:p w14:paraId="65B4E1E6">
      <w:pPr>
        <w:ind w:firstLine="360"/>
        <w:jc w:val="both"/>
      </w:pPr>
      <w:r>
        <w:rPr>
          <w:rFonts w:ascii="Times New Roman" w:hAnsi="Times New Roman" w:eastAsia="宋体" w:cs="Times New Roman"/>
        </w:rPr>
        <w:t>本课题以纤维素为基体，通过优化导电浆料配方制备了一系列纤维素基复合导电薄膜，系统研究了导电浆料的表面张力、薄膜的表面方阻、折叠稳定性以及电磁屏蔽性能，并重点考察了厚度对屏蔽效能的影响，实现了轻质、柔性且高效的电磁屏蔽材料制备。具体结论如下：</w:t>
      </w:r>
    </w:p>
    <w:p w14:paraId="34CDD41E">
      <w:pPr>
        <w:pStyle w:val="40"/>
        <w:numPr>
          <w:ilvl w:val="0"/>
          <w:numId w:val="3"/>
        </w:numPr>
        <w:jc w:val="both"/>
        <w:rPr>
          <w:rFonts w:ascii="Times New Roman" w:hAnsi="Times New Roman" w:eastAsia="宋体" w:cs="Times New Roman"/>
          <w:szCs w:val="24"/>
        </w:rPr>
      </w:pPr>
      <w:r>
        <w:rPr>
          <w:rFonts w:ascii="Times New Roman" w:hAnsi="Times New Roman" w:eastAsia="宋体" w:cs="Times New Roman"/>
          <w:szCs w:val="24"/>
        </w:rPr>
        <w:t>导电浆料的粒径分布和表面张力对薄膜性能影响显著。样品4的浆料粒径分布最为均匀集中（主峰200–400 μm），无明显大颗粒团聚，结合适宜的表面张力，表现出优异的分散稳定性和润湿性。所制备的样品4导电薄膜具有最低的表面方阻（71.46 Ω/□），在X波段（8–12 GHz）和Ku波段（12–18 GHz）均展现出优异的电磁屏蔽性能，平均SE</w:t>
      </w:r>
      <w:r>
        <w:rPr>
          <w:rFonts w:ascii="Times New Roman" w:hAnsi="Times New Roman" w:eastAsia="宋体" w:cs="Times New Roman"/>
          <w:szCs w:val="24"/>
          <w:vertAlign w:val="subscript"/>
        </w:rPr>
        <w:t>T</w:t>
      </w:r>
      <w:r>
        <w:rPr>
          <w:rFonts w:ascii="Times New Roman" w:hAnsi="Times New Roman" w:eastAsia="宋体" w:cs="Times New Roman"/>
          <w:szCs w:val="24"/>
        </w:rPr>
        <w:t>分别达到23.1 dB和28.5 dB</w:t>
      </w:r>
      <w:r>
        <w:rPr>
          <w:rFonts w:hint="eastAsia" w:ascii="Times New Roman" w:hAnsi="Times New Roman" w:eastAsia="宋体" w:cs="Times New Roman"/>
          <w:szCs w:val="24"/>
        </w:rPr>
        <w:t>。</w:t>
      </w:r>
    </w:p>
    <w:p w14:paraId="113AB86B">
      <w:pPr>
        <w:pStyle w:val="40"/>
        <w:numPr>
          <w:ilvl w:val="0"/>
          <w:numId w:val="3"/>
        </w:numPr>
        <w:jc w:val="both"/>
        <w:rPr>
          <w:rFonts w:ascii="Times New Roman" w:hAnsi="Times New Roman" w:eastAsia="宋体" w:cs="Times New Roman"/>
          <w:szCs w:val="24"/>
        </w:rPr>
      </w:pPr>
      <w:r>
        <w:rPr>
          <w:rFonts w:ascii="Times New Roman" w:hAnsi="Times New Roman" w:eastAsia="宋体" w:cs="Times New Roman"/>
          <w:szCs w:val="24"/>
        </w:rPr>
        <w:t>导电薄膜展现出良好的机械柔韧性，样品4的初始表面方阻最低，仅为71.46 Ω/□，在经历100次折叠后，其表面方阻仍保持在77–97 Ω/□范围内，变化率较小，导电网络未发生明显断裂</w:t>
      </w:r>
      <w:r>
        <w:rPr>
          <w:rFonts w:hint="eastAsia" w:ascii="Times New Roman" w:hAnsi="Times New Roman" w:eastAsia="宋体" w:cs="Times New Roman"/>
          <w:szCs w:val="24"/>
        </w:rPr>
        <w:t>,</w:t>
      </w:r>
      <w:r>
        <w:rPr>
          <w:rFonts w:ascii="Times New Roman" w:hAnsi="Times New Roman" w:eastAsia="宋体" w:cs="Times New Roman"/>
          <w:szCs w:val="24"/>
        </w:rPr>
        <w:t>经多次折叠后表面方阻变化率较小，折叠稳定性优异，表明所构建的导电网络在弯折变形下仍能保持良好的连续性，为柔性电子器件应用提供了有力保障。</w:t>
      </w:r>
    </w:p>
    <w:p w14:paraId="6557BA7B">
      <w:pPr>
        <w:pStyle w:val="40"/>
        <w:numPr>
          <w:ilvl w:val="0"/>
          <w:numId w:val="3"/>
        </w:numPr>
        <w:jc w:val="both"/>
        <w:rPr>
          <w:rFonts w:ascii="Times New Roman" w:hAnsi="Times New Roman" w:eastAsia="宋体" w:cs="Times New Roman"/>
          <w:szCs w:val="24"/>
        </w:rPr>
      </w:pPr>
      <w:r>
        <w:rPr>
          <w:rFonts w:ascii="Times New Roman" w:hAnsi="Times New Roman" w:eastAsia="宋体" w:cs="Times New Roman"/>
          <w:szCs w:val="24"/>
        </w:rPr>
        <w:t>薄膜厚度对电磁屏蔽性能影响显著。以样品4最优配方为基础，随着层数从1层增加至3层，材料的总屏蔽效能（SE</w:t>
      </w:r>
      <w:r>
        <w:rPr>
          <w:rFonts w:ascii="Times New Roman" w:hAnsi="Times New Roman" w:eastAsia="宋体" w:cs="Times New Roman"/>
          <w:szCs w:val="24"/>
          <w:vertAlign w:val="subscript"/>
        </w:rPr>
        <w:t>T</w:t>
      </w:r>
      <w:r>
        <w:rPr>
          <w:rFonts w:ascii="Times New Roman" w:hAnsi="Times New Roman" w:eastAsia="宋体" w:cs="Times New Roman"/>
          <w:szCs w:val="24"/>
        </w:rPr>
        <w:t>）大幅提升，在8</w:t>
      </w:r>
      <w:r>
        <w:rPr>
          <w:rFonts w:hint="eastAsia" w:ascii="Times New Roman" w:hAnsi="Times New Roman" w:eastAsia="宋体" w:cs="Times New Roman"/>
          <w:szCs w:val="24"/>
        </w:rPr>
        <w:t>-</w:t>
      </w:r>
      <w:r>
        <w:rPr>
          <w:rFonts w:ascii="Times New Roman" w:hAnsi="Times New Roman" w:eastAsia="宋体" w:cs="Times New Roman"/>
          <w:szCs w:val="24"/>
        </w:rPr>
        <w:t>18 GHz范围内，3层薄膜的平均SET达到3</w:t>
      </w:r>
      <w:r>
        <w:rPr>
          <w:rFonts w:hint="eastAsia" w:ascii="Times New Roman" w:hAnsi="Times New Roman" w:eastAsia="宋体" w:cs="Times New Roman"/>
          <w:szCs w:val="24"/>
        </w:rPr>
        <w:t>5</w:t>
      </w:r>
      <w:r>
        <w:rPr>
          <w:rFonts w:ascii="Times New Roman" w:hAnsi="Times New Roman" w:eastAsia="宋体" w:cs="Times New Roman"/>
          <w:szCs w:val="24"/>
        </w:rPr>
        <w:t>.8 dB，其中吸收损耗（SE</w:t>
      </w:r>
      <w:r>
        <w:rPr>
          <w:rFonts w:ascii="Times New Roman" w:hAnsi="Times New Roman" w:eastAsia="宋体" w:cs="Times New Roman"/>
          <w:szCs w:val="24"/>
          <w:vertAlign w:val="subscript"/>
        </w:rPr>
        <w:t>A</w:t>
      </w:r>
      <w:r>
        <w:rPr>
          <w:rFonts w:ascii="Times New Roman" w:hAnsi="Times New Roman" w:eastAsia="宋体" w:cs="Times New Roman"/>
          <w:szCs w:val="24"/>
        </w:rPr>
        <w:t>）是性能提升的主要贡献机制。结果表明，通过调控厚度可有效实现屏蔽效能的按需优化。</w:t>
      </w:r>
    </w:p>
    <w:p w14:paraId="236E29EF">
      <w:pPr>
        <w:widowControl/>
        <w:jc w:val="both"/>
        <w:rPr>
          <w:rFonts w:hint="eastAsia" w:ascii="宋体" w:hAnsi="宋体"/>
        </w:rPr>
      </w:pPr>
      <w:r>
        <w:rPr>
          <w:rFonts w:hint="eastAsia" w:ascii="Times New Roman" w:hAnsi="Times New Roman" w:eastAsia="宋体" w:cs="Times New Roman"/>
        </w:rPr>
        <w:br w:type="page"/>
      </w:r>
    </w:p>
    <w:p w14:paraId="5CB5F29D">
      <w:pPr>
        <w:jc w:val="both"/>
        <w:rPr>
          <w:rFonts w:hint="eastAsia" w:ascii="宋体" w:hAnsi="宋体"/>
        </w:rPr>
      </w:pPr>
    </w:p>
    <w:p w14:paraId="17F6AFF2">
      <w:pPr>
        <w:spacing w:line="300" w:lineRule="auto"/>
        <w:jc w:val="both"/>
        <w:outlineLvl w:val="0"/>
        <w:rPr>
          <w:rFonts w:hint="eastAsia" w:ascii="黑体" w:hAnsi="黑体" w:eastAsia="黑体"/>
          <w:sz w:val="30"/>
          <w:szCs w:val="30"/>
        </w:rPr>
      </w:pPr>
      <w:bookmarkStart w:id="35" w:name="_Toc229493726"/>
      <w:r>
        <w:rPr>
          <w:rFonts w:hint="eastAsia" w:ascii="Times New Roman" w:hAnsi="Times New Roman" w:eastAsia="宋体" w:cs="Times New Roman"/>
          <w:sz w:val="30"/>
          <w:szCs w:val="30"/>
        </w:rPr>
        <w:t>参考文献</w:t>
      </w:r>
      <w:bookmarkEnd w:id="35"/>
    </w:p>
    <w:p w14:paraId="14C81BC6">
      <w:pPr>
        <w:spacing w:line="300" w:lineRule="auto"/>
        <w:jc w:val="both"/>
        <w:rPr>
          <w:rFonts w:hint="eastAsia" w:ascii="黑体" w:hAnsi="黑体" w:eastAsia="黑体"/>
          <w:szCs w:val="21"/>
        </w:rPr>
      </w:pPr>
    </w:p>
    <w:p w14:paraId="1052D65A">
      <w:pPr>
        <w:pStyle w:val="46"/>
        <w:jc w:val="both"/>
        <w:rPr>
          <w:sz w:val="21"/>
          <w:szCs w:val="21"/>
        </w:rPr>
      </w:pP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ADDIN ZOTERO_BIBL {"uncited":[],"omitted":[],"custom":[]} CSL_BIBLIOGRAPHY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tab/>
      </w:r>
      <w:r>
        <w:rPr>
          <w:rFonts w:ascii="Times New Roman" w:hAnsi="Times New Roman" w:eastAsia="宋体" w:cs="Times New Roman"/>
          <w:sz w:val="21"/>
          <w:szCs w:val="21"/>
        </w:rPr>
        <w:t>刘亚丽, 张素风, 李楠, 等. 纳米纤维素基柔性导电薄膜的构筑及其在柔性电子器件中的应用研究进展[J]. 中国造纸, 2023, 42(5): 87-97.</w:t>
      </w:r>
    </w:p>
    <w:p w14:paraId="54F5F1FE">
      <w:pPr>
        <w:pStyle w:val="46"/>
        <w:jc w:val="both"/>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ab/>
      </w:r>
      <w:r>
        <w:rPr>
          <w:rFonts w:ascii="Times New Roman" w:hAnsi="Times New Roman" w:eastAsia="宋体" w:cs="Times New Roman"/>
          <w:sz w:val="21"/>
          <w:szCs w:val="21"/>
        </w:rPr>
        <w:t>张莹莹. 纤维素纳米晶基柔性传感材料的构建以及性能研究[D]. 长春: 吉林大学, 2024.</w:t>
      </w:r>
    </w:p>
    <w:p w14:paraId="7A51790F">
      <w:pPr>
        <w:pStyle w:val="46"/>
        <w:jc w:val="both"/>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ab/>
      </w:r>
      <w:r>
        <w:rPr>
          <w:rFonts w:ascii="Times New Roman" w:hAnsi="Times New Roman" w:eastAsia="宋体" w:cs="Times New Roman"/>
          <w:sz w:val="21"/>
          <w:szCs w:val="21"/>
        </w:rPr>
        <w:t>张希伟, 赵承科, 黄六莲, 等. 纳米纤维素的氧化法制备工艺及其在气凝胶、水凝胶和膜材料领域的应用研究进展[J]. 中国造纸, 2023, 42(12): 100-110.</w:t>
      </w:r>
    </w:p>
    <w:p w14:paraId="229E21D9">
      <w:pPr>
        <w:pStyle w:val="46"/>
        <w:jc w:val="both"/>
        <w:rPr>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ab/>
      </w:r>
      <w:r>
        <w:rPr>
          <w:rFonts w:ascii="Times New Roman" w:hAnsi="Times New Roman" w:eastAsia="宋体" w:cs="Times New Roman"/>
          <w:sz w:val="21"/>
          <w:szCs w:val="21"/>
        </w:rPr>
        <w:t>郭治江. 多层定向排列银纳米线薄膜的制备及电磁屏蔽性能研究[D]. 太原: 太原理工大学, 2024.</w:t>
      </w:r>
    </w:p>
    <w:p w14:paraId="27853CCD">
      <w:pPr>
        <w:pStyle w:val="46"/>
        <w:jc w:val="both"/>
        <w:rPr>
          <w:sz w:val="21"/>
          <w:szCs w:val="21"/>
        </w:rPr>
      </w:pPr>
      <w:r>
        <w:rPr>
          <w:rFonts w:ascii="Times New Roman" w:hAnsi="Times New Roman" w:eastAsia="宋体" w:cs="Times New Roman"/>
          <w:sz w:val="21"/>
          <w:szCs w:val="21"/>
        </w:rPr>
        <w:t>[5]</w:t>
      </w:r>
      <w:r>
        <w:rPr>
          <w:rFonts w:ascii="Times New Roman" w:hAnsi="Times New Roman" w:eastAsia="宋体" w:cs="Times New Roman"/>
          <w:sz w:val="21"/>
          <w:szCs w:val="21"/>
        </w:rPr>
        <w:tab/>
      </w:r>
      <w:r>
        <w:rPr>
          <w:rFonts w:ascii="Times New Roman" w:hAnsi="Times New Roman" w:eastAsia="宋体" w:cs="Times New Roman"/>
          <w:sz w:val="21"/>
          <w:szCs w:val="21"/>
        </w:rPr>
        <w:t>鲍传林. 发热碳浆与导电银浆的配方设计及工艺参数优化研究[D]. 合肥: 安徽大学, 2024.</w:t>
      </w:r>
    </w:p>
    <w:p w14:paraId="3D7A5C70">
      <w:pPr>
        <w:pStyle w:val="46"/>
        <w:jc w:val="both"/>
        <w:rPr>
          <w:sz w:val="21"/>
          <w:szCs w:val="21"/>
        </w:rPr>
      </w:pPr>
      <w:r>
        <w:rPr>
          <w:rFonts w:ascii="Times New Roman" w:hAnsi="Times New Roman" w:eastAsia="宋体" w:cs="Times New Roman"/>
          <w:sz w:val="21"/>
          <w:szCs w:val="21"/>
        </w:rPr>
        <w:t>[6]</w:t>
      </w:r>
      <w:r>
        <w:rPr>
          <w:rFonts w:ascii="Times New Roman" w:hAnsi="Times New Roman" w:eastAsia="宋体" w:cs="Times New Roman"/>
          <w:sz w:val="21"/>
          <w:szCs w:val="21"/>
        </w:rPr>
        <w:tab/>
      </w:r>
      <w:r>
        <w:rPr>
          <w:rFonts w:ascii="Times New Roman" w:hAnsi="Times New Roman" w:eastAsia="宋体" w:cs="Times New Roman"/>
          <w:sz w:val="21"/>
          <w:szCs w:val="21"/>
        </w:rPr>
        <w:t>徐婷, 李燕, 王璇, 等. 纳米纤维素复合气凝胶制备及其在电化学储能领域应用[J]. 中国造纸学报, 2025, 40(3): 139-150.</w:t>
      </w:r>
    </w:p>
    <w:p w14:paraId="1A3917F8">
      <w:pPr>
        <w:pStyle w:val="46"/>
        <w:jc w:val="both"/>
        <w:rPr>
          <w:sz w:val="21"/>
          <w:szCs w:val="21"/>
        </w:rPr>
      </w:pPr>
      <w:r>
        <w:rPr>
          <w:rFonts w:ascii="Times New Roman" w:hAnsi="Times New Roman" w:eastAsia="宋体" w:cs="Times New Roman"/>
          <w:sz w:val="21"/>
          <w:szCs w:val="21"/>
        </w:rPr>
        <w:t>[7]</w:t>
      </w:r>
      <w:r>
        <w:rPr>
          <w:rFonts w:ascii="Times New Roman" w:hAnsi="Times New Roman" w:eastAsia="宋体" w:cs="Times New Roman"/>
          <w:sz w:val="21"/>
          <w:szCs w:val="21"/>
        </w:rPr>
        <w:tab/>
      </w:r>
      <w:r>
        <w:rPr>
          <w:rFonts w:ascii="Times New Roman" w:hAnsi="Times New Roman" w:eastAsia="宋体" w:cs="Times New Roman"/>
          <w:sz w:val="21"/>
          <w:szCs w:val="21"/>
        </w:rPr>
        <w:t>陈露敏. 纳米纤维素基导电复合材料的制备及应用研究[D]. 杭州: 浙江理工大学, 2023.</w:t>
      </w:r>
    </w:p>
    <w:p w14:paraId="1B59526C">
      <w:pPr>
        <w:pStyle w:val="46"/>
        <w:jc w:val="both"/>
        <w:rPr>
          <w:sz w:val="21"/>
          <w:szCs w:val="21"/>
        </w:rPr>
      </w:pPr>
      <w:r>
        <w:rPr>
          <w:rFonts w:ascii="Times New Roman" w:hAnsi="Times New Roman" w:eastAsia="宋体" w:cs="Times New Roman"/>
          <w:sz w:val="21"/>
          <w:szCs w:val="21"/>
        </w:rPr>
        <w:t>[8]</w:t>
      </w:r>
      <w:r>
        <w:rPr>
          <w:rFonts w:ascii="Times New Roman" w:hAnsi="Times New Roman" w:eastAsia="宋体" w:cs="Times New Roman"/>
          <w:sz w:val="21"/>
          <w:szCs w:val="21"/>
        </w:rPr>
        <w:tab/>
      </w:r>
      <w:r>
        <w:rPr>
          <w:rFonts w:ascii="Times New Roman" w:hAnsi="Times New Roman" w:eastAsia="宋体" w:cs="Times New Roman"/>
          <w:sz w:val="21"/>
          <w:szCs w:val="21"/>
        </w:rPr>
        <w:t>KOSE R, YAMAGUCHI K, OKAYAMA T. Influence of addition of fine cellulose fibers on physical properties and structure of paper[J]. Sen’i Gakkaishi, 2015, 71(2): 85-90.</w:t>
      </w:r>
    </w:p>
    <w:p w14:paraId="4CBBBE18">
      <w:pPr>
        <w:pStyle w:val="46"/>
        <w:jc w:val="both"/>
        <w:rPr>
          <w:sz w:val="21"/>
          <w:szCs w:val="21"/>
        </w:rPr>
      </w:pPr>
      <w:r>
        <w:rPr>
          <w:rFonts w:ascii="Times New Roman" w:hAnsi="Times New Roman" w:eastAsia="宋体" w:cs="Times New Roman"/>
          <w:sz w:val="21"/>
          <w:szCs w:val="21"/>
        </w:rPr>
        <w:t>[9]</w:t>
      </w:r>
      <w:r>
        <w:rPr>
          <w:rFonts w:ascii="Times New Roman" w:hAnsi="Times New Roman" w:eastAsia="宋体" w:cs="Times New Roman"/>
          <w:sz w:val="21"/>
          <w:szCs w:val="21"/>
        </w:rPr>
        <w:tab/>
      </w:r>
      <w:r>
        <w:rPr>
          <w:rFonts w:ascii="Times New Roman" w:hAnsi="Times New Roman" w:eastAsia="宋体" w:cs="Times New Roman"/>
          <w:sz w:val="21"/>
          <w:szCs w:val="21"/>
        </w:rPr>
        <w:t>ZHOU L, YANG Z, LUO W, et al. Thermally conductive, electrical insulating, optically transparent Bi-layer nanopaper[J]. ACS Applied Materials &amp; Interfaces, 2016, 8(42): 28838-28843.</w:t>
      </w:r>
    </w:p>
    <w:p w14:paraId="597875C9">
      <w:pPr>
        <w:pStyle w:val="46"/>
        <w:jc w:val="both"/>
        <w:rPr>
          <w:sz w:val="21"/>
          <w:szCs w:val="21"/>
        </w:rPr>
      </w:pPr>
      <w:r>
        <w:rPr>
          <w:rFonts w:ascii="Times New Roman" w:hAnsi="Times New Roman" w:eastAsia="宋体" w:cs="Times New Roman"/>
          <w:sz w:val="21"/>
          <w:szCs w:val="21"/>
        </w:rPr>
        <w:t>[10]</w:t>
      </w:r>
      <w:r>
        <w:rPr>
          <w:rFonts w:ascii="Times New Roman" w:hAnsi="Times New Roman" w:eastAsia="宋体" w:cs="Times New Roman"/>
          <w:sz w:val="21"/>
          <w:szCs w:val="21"/>
        </w:rPr>
        <w:tab/>
      </w:r>
      <w:r>
        <w:rPr>
          <w:rFonts w:ascii="Times New Roman" w:hAnsi="Times New Roman" w:eastAsia="宋体" w:cs="Times New Roman"/>
          <w:sz w:val="21"/>
          <w:szCs w:val="21"/>
        </w:rPr>
        <w:t>ZHU H, XIAO Z, LIU D, et al. Biodegradable transparent substrates for flexible organic-light-emitting diodes[J]. Energy &amp; Environmental Science, 2013, 6(7): 2105-2111.</w:t>
      </w:r>
    </w:p>
    <w:p w14:paraId="7D4B7C67">
      <w:pPr>
        <w:pStyle w:val="46"/>
        <w:jc w:val="both"/>
        <w:rPr>
          <w:sz w:val="21"/>
          <w:szCs w:val="21"/>
        </w:rPr>
      </w:pPr>
      <w:r>
        <w:rPr>
          <w:rFonts w:ascii="Times New Roman" w:hAnsi="Times New Roman" w:eastAsia="宋体" w:cs="Times New Roman"/>
          <w:sz w:val="21"/>
          <w:szCs w:val="21"/>
        </w:rPr>
        <w:t>[11]</w:t>
      </w:r>
      <w:r>
        <w:rPr>
          <w:rFonts w:ascii="Times New Roman" w:hAnsi="Times New Roman" w:eastAsia="宋体" w:cs="Times New Roman"/>
          <w:sz w:val="21"/>
          <w:szCs w:val="21"/>
        </w:rPr>
        <w:tab/>
      </w:r>
      <w:r>
        <w:rPr>
          <w:rFonts w:ascii="Times New Roman" w:hAnsi="Times New Roman" w:eastAsia="宋体" w:cs="Times New Roman"/>
          <w:sz w:val="21"/>
          <w:szCs w:val="21"/>
        </w:rPr>
        <w:t>DESIRAJU G R, HULLIGER J. Current opinion in solid state &amp; materials science: molecular crystals and materials[J]. Current Opinion in Solid State and Materials Science, 2001, 5(2): 105-106.</w:t>
      </w:r>
    </w:p>
    <w:p w14:paraId="53F07A32">
      <w:pPr>
        <w:pStyle w:val="46"/>
        <w:jc w:val="both"/>
        <w:rPr>
          <w:sz w:val="21"/>
          <w:szCs w:val="21"/>
        </w:rPr>
      </w:pPr>
      <w:r>
        <w:rPr>
          <w:rFonts w:ascii="Times New Roman" w:hAnsi="Times New Roman" w:eastAsia="宋体" w:cs="Times New Roman"/>
          <w:sz w:val="21"/>
          <w:szCs w:val="21"/>
        </w:rPr>
        <w:t>[12]</w:t>
      </w:r>
      <w:r>
        <w:rPr>
          <w:rFonts w:ascii="Times New Roman" w:hAnsi="Times New Roman" w:eastAsia="宋体" w:cs="Times New Roman"/>
          <w:sz w:val="21"/>
          <w:szCs w:val="21"/>
        </w:rPr>
        <w:tab/>
      </w:r>
      <w:r>
        <w:rPr>
          <w:rFonts w:ascii="Times New Roman" w:hAnsi="Times New Roman" w:eastAsia="宋体" w:cs="Times New Roman"/>
          <w:sz w:val="21"/>
          <w:szCs w:val="21"/>
        </w:rPr>
        <w:t>成锐. 纤维素纳米纤维基导电复合纸的结构设计及性能研究[D]. 广州: 华南理工大学, 2023.</w:t>
      </w:r>
    </w:p>
    <w:p w14:paraId="4B8CB6E4">
      <w:pPr>
        <w:pStyle w:val="46"/>
        <w:jc w:val="both"/>
        <w:rPr>
          <w:sz w:val="21"/>
          <w:szCs w:val="21"/>
        </w:rPr>
      </w:pPr>
      <w:r>
        <w:rPr>
          <w:rFonts w:ascii="Times New Roman" w:hAnsi="Times New Roman" w:eastAsia="宋体" w:cs="Times New Roman"/>
          <w:sz w:val="21"/>
          <w:szCs w:val="21"/>
        </w:rPr>
        <w:t>[13]</w:t>
      </w:r>
      <w:r>
        <w:rPr>
          <w:rFonts w:ascii="Times New Roman" w:hAnsi="Times New Roman" w:eastAsia="宋体" w:cs="Times New Roman"/>
          <w:sz w:val="21"/>
          <w:szCs w:val="21"/>
        </w:rPr>
        <w:tab/>
      </w:r>
      <w:r>
        <w:rPr>
          <w:rFonts w:ascii="Times New Roman" w:hAnsi="Times New Roman" w:eastAsia="宋体" w:cs="Times New Roman"/>
          <w:sz w:val="21"/>
          <w:szCs w:val="21"/>
        </w:rPr>
        <w:t>HOLLERTZ R. Chemically modified cellulose micro- and nanofibrils as paper-strength additives[J].</w:t>
      </w:r>
    </w:p>
    <w:p w14:paraId="705123CA">
      <w:pPr>
        <w:pStyle w:val="46"/>
        <w:jc w:val="both"/>
        <w:rPr>
          <w:sz w:val="21"/>
          <w:szCs w:val="21"/>
        </w:rPr>
      </w:pPr>
      <w:r>
        <w:rPr>
          <w:rFonts w:ascii="Times New Roman" w:hAnsi="Times New Roman" w:eastAsia="宋体" w:cs="Times New Roman"/>
          <w:sz w:val="21"/>
          <w:szCs w:val="21"/>
        </w:rPr>
        <w:t>[14]</w:t>
      </w:r>
      <w:r>
        <w:rPr>
          <w:rFonts w:ascii="Times New Roman" w:hAnsi="Times New Roman" w:eastAsia="宋体" w:cs="Times New Roman"/>
          <w:sz w:val="21"/>
          <w:szCs w:val="21"/>
        </w:rPr>
        <w:tab/>
      </w:r>
      <w:r>
        <w:rPr>
          <w:rFonts w:ascii="Times New Roman" w:hAnsi="Times New Roman" w:eastAsia="宋体" w:cs="Times New Roman"/>
          <w:sz w:val="21"/>
          <w:szCs w:val="21"/>
        </w:rPr>
        <w:t>王雅君. 纳米纤维素基复合材料及其用于柔性储能器件的研究进展[EB/OL]. (2022-12-10)[2026-04-19]. https://d.wanfangdata.com.cn/Periodical/cldb202223021.</w:t>
      </w:r>
    </w:p>
    <w:p w14:paraId="73D6E9DA">
      <w:pPr>
        <w:pStyle w:val="46"/>
        <w:jc w:val="both"/>
        <w:rPr>
          <w:sz w:val="21"/>
          <w:szCs w:val="21"/>
        </w:rPr>
      </w:pPr>
      <w:r>
        <w:rPr>
          <w:rFonts w:ascii="Times New Roman" w:hAnsi="Times New Roman" w:eastAsia="宋体" w:cs="Times New Roman"/>
          <w:sz w:val="21"/>
          <w:szCs w:val="21"/>
        </w:rPr>
        <w:t>[15]</w:t>
      </w:r>
      <w:r>
        <w:rPr>
          <w:rFonts w:ascii="Times New Roman" w:hAnsi="Times New Roman" w:eastAsia="宋体" w:cs="Times New Roman"/>
          <w:sz w:val="21"/>
          <w:szCs w:val="21"/>
        </w:rPr>
        <w:tab/>
      </w:r>
      <w:r>
        <w:rPr>
          <w:rFonts w:ascii="Times New Roman" w:hAnsi="Times New Roman" w:eastAsia="宋体" w:cs="Times New Roman"/>
          <w:sz w:val="21"/>
          <w:szCs w:val="21"/>
        </w:rPr>
        <w:t>陈奕翔. MXene/纳米纤维基柔性传感器的设计及应用研究[D]. 上海: 东华大学, 2025.</w:t>
      </w:r>
    </w:p>
    <w:p w14:paraId="16D63893">
      <w:pPr>
        <w:pStyle w:val="46"/>
        <w:jc w:val="both"/>
        <w:rPr>
          <w:sz w:val="21"/>
          <w:szCs w:val="21"/>
        </w:rPr>
      </w:pPr>
      <w:r>
        <w:rPr>
          <w:rFonts w:ascii="Times New Roman" w:hAnsi="Times New Roman" w:eastAsia="宋体" w:cs="Times New Roman"/>
          <w:sz w:val="21"/>
          <w:szCs w:val="21"/>
        </w:rPr>
        <w:t>[16]</w:t>
      </w:r>
      <w:r>
        <w:rPr>
          <w:rFonts w:ascii="Times New Roman" w:hAnsi="Times New Roman" w:eastAsia="宋体" w:cs="Times New Roman"/>
          <w:sz w:val="21"/>
          <w:szCs w:val="21"/>
        </w:rPr>
        <w:tab/>
      </w:r>
      <w:r>
        <w:rPr>
          <w:rFonts w:ascii="Times New Roman" w:hAnsi="Times New Roman" w:eastAsia="宋体" w:cs="Times New Roman"/>
          <w:sz w:val="21"/>
          <w:szCs w:val="21"/>
        </w:rPr>
        <w:t>王雨. MXene/纤维素柔性导电复合薄膜的构筑及其性能研究[D]. 西安: 陕西科技大学, 2023.</w:t>
      </w:r>
    </w:p>
    <w:p w14:paraId="334513EE">
      <w:pPr>
        <w:pStyle w:val="46"/>
        <w:jc w:val="both"/>
        <w:rPr>
          <w:sz w:val="21"/>
          <w:szCs w:val="21"/>
        </w:rPr>
      </w:pPr>
      <w:r>
        <w:rPr>
          <w:rFonts w:ascii="Times New Roman" w:hAnsi="Times New Roman" w:eastAsia="宋体" w:cs="Times New Roman"/>
          <w:sz w:val="21"/>
          <w:szCs w:val="21"/>
        </w:rPr>
        <w:t>[17]</w:t>
      </w:r>
      <w:r>
        <w:rPr>
          <w:rFonts w:ascii="Times New Roman" w:hAnsi="Times New Roman" w:eastAsia="宋体" w:cs="Times New Roman"/>
          <w:sz w:val="21"/>
          <w:szCs w:val="21"/>
        </w:rPr>
        <w:tab/>
      </w:r>
      <w:r>
        <w:rPr>
          <w:rFonts w:ascii="Times New Roman" w:hAnsi="Times New Roman" w:eastAsia="宋体" w:cs="Times New Roman"/>
          <w:sz w:val="21"/>
          <w:szCs w:val="21"/>
        </w:rPr>
        <w:t>HOU M, HU Y, XU M, et al. Nanocellulose based flexible and highly conductive film and its application in supercapacitors[J]. Cellulose, 2020, 27(16): 9457-9466.</w:t>
      </w:r>
    </w:p>
    <w:p w14:paraId="7C1A5199">
      <w:pPr>
        <w:pStyle w:val="46"/>
        <w:jc w:val="both"/>
        <w:rPr>
          <w:sz w:val="21"/>
          <w:szCs w:val="21"/>
        </w:rPr>
      </w:pPr>
      <w:r>
        <w:rPr>
          <w:rFonts w:ascii="Times New Roman" w:hAnsi="Times New Roman" w:eastAsia="宋体" w:cs="Times New Roman"/>
          <w:sz w:val="21"/>
          <w:szCs w:val="21"/>
        </w:rPr>
        <w:t>[18]</w:t>
      </w:r>
      <w:r>
        <w:rPr>
          <w:rFonts w:ascii="Times New Roman" w:hAnsi="Times New Roman" w:eastAsia="宋体" w:cs="Times New Roman"/>
          <w:sz w:val="21"/>
          <w:szCs w:val="21"/>
        </w:rPr>
        <w:tab/>
      </w:r>
      <w:r>
        <w:rPr>
          <w:rFonts w:ascii="Times New Roman" w:hAnsi="Times New Roman" w:eastAsia="宋体" w:cs="Times New Roman"/>
          <w:sz w:val="21"/>
          <w:szCs w:val="21"/>
        </w:rPr>
        <w:t>YANG W, GONG Y, ZHAO X, et al. Strong and highly conductive graphene composite film based on the nanocellulose-assisted dispersion of expanded graphite and incorporation of poly(ethylene oxide)[J]. ACS Sustainable Chemistry &amp; Engineering, 2019, 7(5): 5045-5056.</w:t>
      </w:r>
    </w:p>
    <w:p w14:paraId="18B94702">
      <w:pPr>
        <w:pStyle w:val="46"/>
        <w:jc w:val="both"/>
        <w:rPr>
          <w:sz w:val="21"/>
          <w:szCs w:val="21"/>
        </w:rPr>
      </w:pPr>
      <w:r>
        <w:rPr>
          <w:rFonts w:ascii="Times New Roman" w:hAnsi="Times New Roman" w:eastAsia="宋体" w:cs="Times New Roman"/>
          <w:sz w:val="21"/>
          <w:szCs w:val="21"/>
        </w:rPr>
        <w:t>[19]</w:t>
      </w:r>
      <w:r>
        <w:rPr>
          <w:rFonts w:ascii="Times New Roman" w:hAnsi="Times New Roman" w:eastAsia="宋体" w:cs="Times New Roman"/>
          <w:sz w:val="21"/>
          <w:szCs w:val="21"/>
        </w:rPr>
        <w:tab/>
      </w:r>
      <w:r>
        <w:rPr>
          <w:rFonts w:ascii="Times New Roman" w:hAnsi="Times New Roman" w:eastAsia="宋体" w:cs="Times New Roman"/>
          <w:sz w:val="21"/>
          <w:szCs w:val="21"/>
        </w:rPr>
        <w:t>TAHIR D, ARDIANSYAH A, HERYANTO H, et al. Sustainable electromagnetic shielding materials: the emerging potential of cellulose nanofiber-based composites – a comprehensive review[J]. International Journal of Biological Macromolecules, 2025, 321: 146387.</w:t>
      </w:r>
    </w:p>
    <w:p w14:paraId="16E5C4E9">
      <w:pPr>
        <w:pStyle w:val="46"/>
        <w:jc w:val="both"/>
        <w:rPr>
          <w:sz w:val="21"/>
          <w:szCs w:val="21"/>
        </w:rPr>
      </w:pPr>
      <w:r>
        <w:rPr>
          <w:rFonts w:ascii="Times New Roman" w:hAnsi="Times New Roman" w:eastAsia="宋体" w:cs="Times New Roman"/>
          <w:sz w:val="21"/>
          <w:szCs w:val="21"/>
        </w:rPr>
        <w:t>[20]</w:t>
      </w:r>
      <w:r>
        <w:rPr>
          <w:rFonts w:ascii="Times New Roman" w:hAnsi="Times New Roman" w:eastAsia="宋体" w:cs="Times New Roman"/>
          <w:sz w:val="21"/>
          <w:szCs w:val="21"/>
        </w:rPr>
        <w:tab/>
      </w:r>
      <w:r>
        <w:rPr>
          <w:rFonts w:ascii="Times New Roman" w:hAnsi="Times New Roman" w:eastAsia="宋体" w:cs="Times New Roman"/>
          <w:sz w:val="21"/>
          <w:szCs w:val="21"/>
        </w:rPr>
        <w:t>GUO Y, FANG Z. Flexible and biocompatible nanopaper-based electrode[J].</w:t>
      </w:r>
    </w:p>
    <w:p w14:paraId="07BFE66E">
      <w:pPr>
        <w:pStyle w:val="46"/>
        <w:jc w:val="both"/>
        <w:rPr>
          <w:sz w:val="21"/>
          <w:szCs w:val="21"/>
        </w:rPr>
      </w:pPr>
      <w:r>
        <w:rPr>
          <w:rFonts w:ascii="Times New Roman" w:hAnsi="Times New Roman" w:eastAsia="宋体" w:cs="Times New Roman"/>
          <w:sz w:val="21"/>
          <w:szCs w:val="21"/>
        </w:rPr>
        <w:t>[21]</w:t>
      </w:r>
      <w:r>
        <w:rPr>
          <w:rFonts w:ascii="Times New Roman" w:hAnsi="Times New Roman" w:eastAsia="宋体" w:cs="Times New Roman"/>
          <w:sz w:val="21"/>
          <w:szCs w:val="21"/>
        </w:rPr>
        <w:tab/>
      </w:r>
      <w:r>
        <w:rPr>
          <w:rFonts w:ascii="Times New Roman" w:hAnsi="Times New Roman" w:eastAsia="宋体" w:cs="Times New Roman"/>
          <w:sz w:val="21"/>
          <w:szCs w:val="21"/>
        </w:rPr>
        <w:t>PARK J, SEO J H, YEOM S W, et al. Flexible and transparent organic phototransistors on biodegradable cellulose nanofibrillated fiber substrates[J]. Advanced Optical Materials, 2018, 6(9): 1701140.</w:t>
      </w:r>
    </w:p>
    <w:p w14:paraId="67F7BDE2">
      <w:pPr>
        <w:pStyle w:val="46"/>
        <w:jc w:val="both"/>
        <w:rPr>
          <w:sz w:val="21"/>
          <w:szCs w:val="21"/>
        </w:rPr>
      </w:pPr>
      <w:r>
        <w:rPr>
          <w:rFonts w:ascii="Times New Roman" w:hAnsi="Times New Roman" w:eastAsia="宋体" w:cs="Times New Roman"/>
          <w:sz w:val="21"/>
          <w:szCs w:val="21"/>
        </w:rPr>
        <w:t>[22]</w:t>
      </w:r>
      <w:r>
        <w:rPr>
          <w:rFonts w:ascii="Times New Roman" w:hAnsi="Times New Roman" w:eastAsia="宋体" w:cs="Times New Roman"/>
          <w:sz w:val="21"/>
          <w:szCs w:val="21"/>
        </w:rPr>
        <w:tab/>
      </w:r>
      <w:r>
        <w:rPr>
          <w:rFonts w:ascii="Times New Roman" w:hAnsi="Times New Roman" w:eastAsia="宋体" w:cs="Times New Roman"/>
          <w:sz w:val="21"/>
          <w:szCs w:val="21"/>
        </w:rPr>
        <w:t>YAN C. Highly Stretchable Piezoresistive Graphene–Nanocellulose Nanopaper for Strain Sensors[J].</w:t>
      </w:r>
    </w:p>
    <w:p w14:paraId="263C8296">
      <w:pPr>
        <w:pStyle w:val="46"/>
        <w:jc w:val="both"/>
        <w:rPr>
          <w:sz w:val="21"/>
          <w:szCs w:val="21"/>
        </w:rPr>
      </w:pPr>
      <w:r>
        <w:rPr>
          <w:rFonts w:ascii="Times New Roman" w:hAnsi="Times New Roman" w:eastAsia="宋体" w:cs="Times New Roman"/>
          <w:sz w:val="21"/>
          <w:szCs w:val="21"/>
        </w:rPr>
        <w:t>[23]</w:t>
      </w:r>
      <w:r>
        <w:rPr>
          <w:rFonts w:ascii="Times New Roman" w:hAnsi="Times New Roman" w:eastAsia="宋体" w:cs="Times New Roman"/>
          <w:sz w:val="21"/>
          <w:szCs w:val="21"/>
        </w:rPr>
        <w:tab/>
      </w:r>
      <w:r>
        <w:rPr>
          <w:rFonts w:ascii="Times New Roman" w:hAnsi="Times New Roman" w:eastAsia="宋体" w:cs="Times New Roman"/>
          <w:sz w:val="21"/>
          <w:szCs w:val="21"/>
        </w:rPr>
        <w:t>XU Y, QIAN K, DENG D, et al. Electroless deposition of silver nanoparticles on cellulose nanofibrils for electromagnetic interference shielding films[J]. Carbohydrate Polymers, 2020, 250: 116915.</w:t>
      </w:r>
    </w:p>
    <w:p w14:paraId="12A091D1">
      <w:pPr>
        <w:spacing w:line="300" w:lineRule="auto"/>
        <w:ind w:firstLine="420"/>
        <w:jc w:val="both"/>
        <w:rPr>
          <w:rFonts w:hint="eastAsia" w:ascii="宋体" w:hAnsi="宋体"/>
        </w:rPr>
      </w:pPr>
      <w:r>
        <w:rPr>
          <w:rFonts w:hint="eastAsia" w:ascii="Times New Roman" w:hAnsi="Times New Roman" w:eastAsia="宋体" w:cs="Times New Roman"/>
          <w:sz w:val="21"/>
          <w:szCs w:val="21"/>
        </w:rPr>
        <w:fldChar w:fldCharType="end"/>
      </w:r>
    </w:p>
    <w:p w14:paraId="312AD88F">
      <w:pPr>
        <w:widowControl/>
        <w:jc w:val="both"/>
        <w:rPr>
          <w:rFonts w:hint="eastAsia" w:ascii="宋体" w:hAnsi="宋体"/>
          <w:b/>
          <w:bCs/>
        </w:rPr>
      </w:pPr>
      <w:r>
        <w:rPr>
          <w:rFonts w:hint="eastAsia" w:ascii="Times New Roman" w:hAnsi="Times New Roman" w:eastAsia="宋体" w:cs="Times New Roman"/>
          <w:b/>
          <w:bCs/>
        </w:rPr>
        <w:br w:type="page"/>
      </w:r>
    </w:p>
    <w:p w14:paraId="01565482">
      <w:pPr>
        <w:spacing w:line="300" w:lineRule="auto"/>
        <w:ind w:firstLine="420"/>
        <w:jc w:val="both"/>
        <w:outlineLvl w:val="0"/>
        <w:rPr>
          <w:rFonts w:hint="eastAsia" w:ascii="黑体" w:hAnsi="黑体" w:eastAsia="黑体"/>
          <w:sz w:val="30"/>
          <w:szCs w:val="30"/>
        </w:rPr>
      </w:pPr>
      <w:bookmarkStart w:id="36" w:name="_Toc229493727"/>
      <w:r>
        <w:rPr>
          <w:rFonts w:hint="eastAsia" w:ascii="Times New Roman" w:hAnsi="Times New Roman" w:eastAsia="宋体" w:cs="Times New Roman"/>
          <w:sz w:val="30"/>
          <w:szCs w:val="30"/>
        </w:rPr>
        <w:t>致谢</w:t>
      </w:r>
      <w:bookmarkEnd w:id="36"/>
    </w:p>
    <w:p w14:paraId="53808237">
      <w:pPr>
        <w:spacing w:line="300" w:lineRule="auto"/>
        <w:ind w:firstLine="420"/>
        <w:jc w:val="both"/>
        <w:rPr>
          <w:rFonts w:hint="eastAsia" w:ascii="宋体" w:hAnsi="宋体"/>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玉 王" w:date="2026-05-12T20:35:00Z" w:initials="玉">
    <w:p w14:paraId="2DF91967">
      <w:pPr>
        <w:pStyle w:val="12"/>
      </w:pPr>
      <w:r>
        <w:rPr>
          <w:rFonts w:hint="eastAsia"/>
        </w:rPr>
        <w:t>去看看羧基含量多少，加上去</w:t>
      </w:r>
    </w:p>
  </w:comment>
  <w:comment w:id="1" w:author="玉 王" w:date="2026-05-12T20:50:00Z" w:initials="玉">
    <w:p w14:paraId="04A6E428">
      <w:pPr>
        <w:pStyle w:val="12"/>
      </w:pPr>
      <w:r>
        <w:t>Wt</w:t>
      </w:r>
      <w:r>
        <w:rPr>
          <w:rFonts w:hint="eastAsia"/>
        </w:rPr>
        <w:t>，表中英文字体 time</w:t>
      </w:r>
      <w:r>
        <w:t xml:space="preserve"> new roman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F91967" w15:done="0"/>
  <w15:commentEx w15:paraId="04A6E42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方正小标宋简体">
    <w:altName w:val="汉仪书宋二KW"/>
    <w:panose1 w:val="00000000000000000000"/>
    <w:charset w:val="86"/>
    <w:family w:val="script"/>
    <w:pitch w:val="default"/>
    <w:sig w:usb0="00000000" w:usb1="00000000" w:usb2="00000000" w:usb3="00000000" w:csb0="00040000" w:csb1="00000000"/>
  </w:font>
  <w:font w:name="仿宋_GB2312">
    <w:altName w:val="方正仿宋_GBK"/>
    <w:panose1 w:val="00000000000000000000"/>
    <w:charset w:val="86"/>
    <w:family w:val="modern"/>
    <w:pitch w:val="default"/>
    <w:sig w:usb0="00000000" w:usb1="00000000" w:usb2="00000000"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Microsoft YaHei UI">
    <w:altName w:val="苹方-简"/>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46CE4">
    <w:pPr>
      <w:pStyle w:val="14"/>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90500" cy="131445"/>
              <wp:effectExtent l="0" t="0" r="1270" b="0"/>
              <wp:wrapNone/>
              <wp:docPr id="104902259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190500" cy="131445"/>
                      </a:xfrm>
                      <a:prstGeom prst="rect">
                        <a:avLst/>
                      </a:prstGeom>
                      <a:noFill/>
                      <a:ln>
                        <a:noFill/>
                      </a:ln>
                    </wps:spPr>
                    <wps:txbx>
                      <w:txbxContent>
                        <w:p w14:paraId="766322A1">
                          <w:pPr>
                            <w:pStyle w:val="14"/>
                          </w:pPr>
                          <w:r>
                            <w:fldChar w:fldCharType="begin"/>
                          </w:r>
                          <w:r>
                            <w:instrText xml:space="preserve"> PAGE  \* MERGEFORMAT </w:instrText>
                          </w:r>
                          <w:r>
                            <w:fldChar w:fldCharType="separate"/>
                          </w:r>
                          <w:r>
                            <w:t>0</w:t>
                          </w:r>
                          <w:r>
                            <w:fldChar w:fldCharType="end"/>
                          </w:r>
                        </w:p>
                      </w:txbxContent>
                    </wps:txbx>
                    <wps:bodyPr rot="0" vert="horz" wrap="none" lIns="0" tIns="0" rIns="0" bIns="0" anchor="t" anchorCtr="0" upright="1">
                      <a:spAutoFit/>
                    </wps:bodyPr>
                  </wps:wsp>
                </a:graphicData>
              </a:graphic>
            </wp:anchor>
          </w:drawing>
        </mc:Choice>
        <mc:Fallback>
          <w:pict>
            <v:shape id="文本框 3" o:spid="_x0000_s1026" o:spt="202" type="#_x0000_t202" style="position:absolute;left:0pt;margin-top:0pt;height:10.35pt;width:15pt;mso-position-horizontal:center;mso-position-horizontal-relative:margin;mso-wrap-style:none;z-index:251659264;mso-width-relative:page;mso-height-relative:page;" filled="f" stroked="f" coordsize="21600,21600" o:gfxdata="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ipFLs0AAAAAMBAAAPAAAAAAAAAAEAIAAAACIA&#10;AABkcnMvZG93bnJldi54bWxQSwECFAAUAAAACACHTuJA+Ji+gBECAAALBAAADgAAAAAAAAABACAA&#10;AAAfAQAAZHJzL2Uyb0RvYy54bWxQSwUGAAAAAAYABgBZAQAAogUAAAAA&#10;">
              <v:fill on="f" focussize="0,0"/>
              <v:stroke on="f"/>
              <v:imagedata o:title=""/>
              <o:lock v:ext="edit" aspectratio="f"/>
              <v:textbox inset="0mm,0mm,0mm,0mm" style="mso-fit-shape-to-text:t;">
                <w:txbxContent>
                  <w:p w14:paraId="766322A1">
                    <w:pPr>
                      <w:pStyle w:val="14"/>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86E7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19DE"/>
    <w:multiLevelType w:val="multilevel"/>
    <w:tmpl w:val="1CA519DE"/>
    <w:lvl w:ilvl="0" w:tentative="0">
      <w:start w:val="1"/>
      <w:numFmt w:val="decimal"/>
      <w:suff w:val="space"/>
      <w:lvlText w:val="(%1)"/>
      <w:lvlJc w:val="left"/>
      <w:pPr>
        <w:ind w:left="0" w:firstLine="397"/>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8BF2C36"/>
    <w:multiLevelType w:val="multilevel"/>
    <w:tmpl w:val="38BF2C36"/>
    <w:lvl w:ilvl="0" w:tentative="0">
      <w:start w:val="1"/>
      <w:numFmt w:val="decimal"/>
      <w:pStyle w:val="2"/>
      <w:suff w:val="space"/>
      <w:lvlText w:val="%1."/>
      <w:lvlJc w:val="left"/>
      <w:pPr>
        <w:ind w:left="360" w:hanging="360"/>
      </w:pPr>
      <w:rPr>
        <w:rFonts w:hint="default"/>
      </w:rPr>
    </w:lvl>
    <w:lvl w:ilvl="1" w:tentative="0">
      <w:start w:val="1"/>
      <w:numFmt w:val="decimal"/>
      <w:pStyle w:val="3"/>
      <w:lvlText w:val="%1.%2"/>
      <w:lvlJc w:val="left"/>
      <w:pPr>
        <w:ind w:left="564" w:hanging="564"/>
      </w:pPr>
      <w:rPr>
        <w:rFonts w:hint="default"/>
      </w:rPr>
    </w:lvl>
    <w:lvl w:ilvl="2" w:tentative="0">
      <w:start w:val="1"/>
      <w:numFmt w:val="decimal"/>
      <w:pStyle w:val="4"/>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2">
    <w:nsid w:val="767125DA"/>
    <w:multiLevelType w:val="multilevel"/>
    <w:tmpl w:val="767125DA"/>
    <w:lvl w:ilvl="0" w:tentative="0">
      <w:start w:val="1"/>
      <w:numFmt w:val="decimal"/>
      <w:suff w:val="space"/>
      <w:lvlText w:val="（%1）"/>
      <w:lvlJc w:val="left"/>
      <w:pPr>
        <w:ind w:left="29" w:firstLine="397"/>
      </w:pPr>
      <w:rPr>
        <w:rFonts w:hint="eastAsia"/>
      </w:rPr>
    </w:lvl>
    <w:lvl w:ilvl="1" w:tentative="0">
      <w:start w:val="1"/>
      <w:numFmt w:val="lowerLetter"/>
      <w:lvlText w:val="%2)"/>
      <w:lvlJc w:val="left"/>
      <w:pPr>
        <w:ind w:left="1726" w:hanging="440"/>
      </w:pPr>
    </w:lvl>
    <w:lvl w:ilvl="2" w:tentative="0">
      <w:start w:val="1"/>
      <w:numFmt w:val="lowerRoman"/>
      <w:lvlText w:val="%3."/>
      <w:lvlJc w:val="right"/>
      <w:pPr>
        <w:ind w:left="2166" w:hanging="440"/>
      </w:pPr>
    </w:lvl>
    <w:lvl w:ilvl="3" w:tentative="0">
      <w:start w:val="1"/>
      <w:numFmt w:val="decimal"/>
      <w:lvlText w:val="%4."/>
      <w:lvlJc w:val="left"/>
      <w:pPr>
        <w:ind w:left="2606" w:hanging="440"/>
      </w:pPr>
    </w:lvl>
    <w:lvl w:ilvl="4" w:tentative="0">
      <w:start w:val="1"/>
      <w:numFmt w:val="lowerLetter"/>
      <w:lvlText w:val="%5)"/>
      <w:lvlJc w:val="left"/>
      <w:pPr>
        <w:ind w:left="3046" w:hanging="440"/>
      </w:pPr>
    </w:lvl>
    <w:lvl w:ilvl="5" w:tentative="0">
      <w:start w:val="1"/>
      <w:numFmt w:val="lowerRoman"/>
      <w:lvlText w:val="%6."/>
      <w:lvlJc w:val="right"/>
      <w:pPr>
        <w:ind w:left="3486" w:hanging="440"/>
      </w:pPr>
    </w:lvl>
    <w:lvl w:ilvl="6" w:tentative="0">
      <w:start w:val="1"/>
      <w:numFmt w:val="decimal"/>
      <w:lvlText w:val="%7."/>
      <w:lvlJc w:val="left"/>
      <w:pPr>
        <w:ind w:left="3926" w:hanging="440"/>
      </w:pPr>
    </w:lvl>
    <w:lvl w:ilvl="7" w:tentative="0">
      <w:start w:val="1"/>
      <w:numFmt w:val="lowerLetter"/>
      <w:lvlText w:val="%8)"/>
      <w:lvlJc w:val="left"/>
      <w:pPr>
        <w:ind w:left="4366" w:hanging="440"/>
      </w:pPr>
    </w:lvl>
    <w:lvl w:ilvl="8" w:tentative="0">
      <w:start w:val="1"/>
      <w:numFmt w:val="lowerRoman"/>
      <w:lvlText w:val="%9."/>
      <w:lvlJc w:val="right"/>
      <w:pPr>
        <w:ind w:left="4806" w:hanging="44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玉 王">
    <w15:presenceInfo w15:providerId="Windows Live" w15:userId="2f49117b07575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C9D"/>
    <w:rsid w:val="000005C7"/>
    <w:rsid w:val="000016EA"/>
    <w:rsid w:val="00002A83"/>
    <w:rsid w:val="00014B3A"/>
    <w:rsid w:val="0001688C"/>
    <w:rsid w:val="00017A1E"/>
    <w:rsid w:val="00026047"/>
    <w:rsid w:val="000261DD"/>
    <w:rsid w:val="00026D62"/>
    <w:rsid w:val="0002799E"/>
    <w:rsid w:val="0003214E"/>
    <w:rsid w:val="000321D1"/>
    <w:rsid w:val="000338F1"/>
    <w:rsid w:val="000400BC"/>
    <w:rsid w:val="00060538"/>
    <w:rsid w:val="00067E2B"/>
    <w:rsid w:val="0007610A"/>
    <w:rsid w:val="00076D5A"/>
    <w:rsid w:val="000915B0"/>
    <w:rsid w:val="000920DA"/>
    <w:rsid w:val="0009382C"/>
    <w:rsid w:val="00093B22"/>
    <w:rsid w:val="000A0853"/>
    <w:rsid w:val="000A2525"/>
    <w:rsid w:val="000A7AE1"/>
    <w:rsid w:val="000B062C"/>
    <w:rsid w:val="000B5C58"/>
    <w:rsid w:val="000C1A85"/>
    <w:rsid w:val="000C1F57"/>
    <w:rsid w:val="000C45BE"/>
    <w:rsid w:val="000C5D47"/>
    <w:rsid w:val="000D0F95"/>
    <w:rsid w:val="000D6854"/>
    <w:rsid w:val="000D727E"/>
    <w:rsid w:val="000E4FB4"/>
    <w:rsid w:val="000F42BB"/>
    <w:rsid w:val="001074C4"/>
    <w:rsid w:val="001150A6"/>
    <w:rsid w:val="0011720B"/>
    <w:rsid w:val="00122754"/>
    <w:rsid w:val="001536A3"/>
    <w:rsid w:val="00153AA4"/>
    <w:rsid w:val="001661D3"/>
    <w:rsid w:val="00167574"/>
    <w:rsid w:val="0017325A"/>
    <w:rsid w:val="00175265"/>
    <w:rsid w:val="00176F15"/>
    <w:rsid w:val="001818A1"/>
    <w:rsid w:val="001818DC"/>
    <w:rsid w:val="0018303D"/>
    <w:rsid w:val="00192F48"/>
    <w:rsid w:val="00193A17"/>
    <w:rsid w:val="001950E5"/>
    <w:rsid w:val="001966CE"/>
    <w:rsid w:val="00197C9D"/>
    <w:rsid w:val="001A27DF"/>
    <w:rsid w:val="001A752D"/>
    <w:rsid w:val="001B4405"/>
    <w:rsid w:val="001B7030"/>
    <w:rsid w:val="001C7671"/>
    <w:rsid w:val="001D3833"/>
    <w:rsid w:val="001E2977"/>
    <w:rsid w:val="001E5E5F"/>
    <w:rsid w:val="001E7D73"/>
    <w:rsid w:val="001F4DFE"/>
    <w:rsid w:val="00217ECD"/>
    <w:rsid w:val="002273A2"/>
    <w:rsid w:val="002448D9"/>
    <w:rsid w:val="00256DE3"/>
    <w:rsid w:val="002705D3"/>
    <w:rsid w:val="002711C4"/>
    <w:rsid w:val="00280337"/>
    <w:rsid w:val="00281EF6"/>
    <w:rsid w:val="002833D3"/>
    <w:rsid w:val="0029133E"/>
    <w:rsid w:val="002A5B41"/>
    <w:rsid w:val="002C34ED"/>
    <w:rsid w:val="002C6267"/>
    <w:rsid w:val="002E1832"/>
    <w:rsid w:val="002E390F"/>
    <w:rsid w:val="002E7036"/>
    <w:rsid w:val="00302C3E"/>
    <w:rsid w:val="0030315F"/>
    <w:rsid w:val="003036E9"/>
    <w:rsid w:val="00307E1D"/>
    <w:rsid w:val="00320671"/>
    <w:rsid w:val="00324C4E"/>
    <w:rsid w:val="003251BD"/>
    <w:rsid w:val="003315E4"/>
    <w:rsid w:val="00333A93"/>
    <w:rsid w:val="00334224"/>
    <w:rsid w:val="00340B8C"/>
    <w:rsid w:val="00344944"/>
    <w:rsid w:val="0037528F"/>
    <w:rsid w:val="00375F79"/>
    <w:rsid w:val="00384A3E"/>
    <w:rsid w:val="0039292A"/>
    <w:rsid w:val="003A1375"/>
    <w:rsid w:val="003B3C4F"/>
    <w:rsid w:val="003B7110"/>
    <w:rsid w:val="003C1D03"/>
    <w:rsid w:val="003C56C0"/>
    <w:rsid w:val="003D1364"/>
    <w:rsid w:val="003E3111"/>
    <w:rsid w:val="003E4297"/>
    <w:rsid w:val="003F6272"/>
    <w:rsid w:val="003F64E1"/>
    <w:rsid w:val="003F72D7"/>
    <w:rsid w:val="004012D8"/>
    <w:rsid w:val="004039B5"/>
    <w:rsid w:val="00404ED6"/>
    <w:rsid w:val="0041260C"/>
    <w:rsid w:val="00414DFC"/>
    <w:rsid w:val="00447C6B"/>
    <w:rsid w:val="004504BE"/>
    <w:rsid w:val="004616B2"/>
    <w:rsid w:val="004619AE"/>
    <w:rsid w:val="00464080"/>
    <w:rsid w:val="00464CAB"/>
    <w:rsid w:val="00480EE0"/>
    <w:rsid w:val="004873AC"/>
    <w:rsid w:val="0049336A"/>
    <w:rsid w:val="004A2C1F"/>
    <w:rsid w:val="004B12BE"/>
    <w:rsid w:val="004B3FDF"/>
    <w:rsid w:val="004B68D1"/>
    <w:rsid w:val="004B7195"/>
    <w:rsid w:val="004C3C6A"/>
    <w:rsid w:val="004C63A4"/>
    <w:rsid w:val="004C7EFE"/>
    <w:rsid w:val="004D3619"/>
    <w:rsid w:val="004F2587"/>
    <w:rsid w:val="004F75FE"/>
    <w:rsid w:val="00504068"/>
    <w:rsid w:val="005043EB"/>
    <w:rsid w:val="005061CD"/>
    <w:rsid w:val="0051556E"/>
    <w:rsid w:val="005176F2"/>
    <w:rsid w:val="00517C72"/>
    <w:rsid w:val="00521DD6"/>
    <w:rsid w:val="0052227E"/>
    <w:rsid w:val="00525866"/>
    <w:rsid w:val="00525F5F"/>
    <w:rsid w:val="005344D8"/>
    <w:rsid w:val="00535851"/>
    <w:rsid w:val="005377DC"/>
    <w:rsid w:val="00540BC5"/>
    <w:rsid w:val="005510CE"/>
    <w:rsid w:val="0056274F"/>
    <w:rsid w:val="00567288"/>
    <w:rsid w:val="0057238B"/>
    <w:rsid w:val="00572508"/>
    <w:rsid w:val="0057749F"/>
    <w:rsid w:val="00580CAC"/>
    <w:rsid w:val="005811EB"/>
    <w:rsid w:val="00584209"/>
    <w:rsid w:val="005B3B06"/>
    <w:rsid w:val="005B3FC3"/>
    <w:rsid w:val="005D2C8A"/>
    <w:rsid w:val="005E36DC"/>
    <w:rsid w:val="005E74A6"/>
    <w:rsid w:val="006046E9"/>
    <w:rsid w:val="006070BE"/>
    <w:rsid w:val="0060794B"/>
    <w:rsid w:val="00611B21"/>
    <w:rsid w:val="00611CA0"/>
    <w:rsid w:val="0061638E"/>
    <w:rsid w:val="00642679"/>
    <w:rsid w:val="00645CA6"/>
    <w:rsid w:val="00647BB0"/>
    <w:rsid w:val="00650AE1"/>
    <w:rsid w:val="00652457"/>
    <w:rsid w:val="006536DF"/>
    <w:rsid w:val="0065372D"/>
    <w:rsid w:val="00653974"/>
    <w:rsid w:val="00660737"/>
    <w:rsid w:val="00661BBF"/>
    <w:rsid w:val="0066357B"/>
    <w:rsid w:val="00666672"/>
    <w:rsid w:val="00675070"/>
    <w:rsid w:val="00683484"/>
    <w:rsid w:val="0068647F"/>
    <w:rsid w:val="00691A16"/>
    <w:rsid w:val="0069674D"/>
    <w:rsid w:val="006A0B77"/>
    <w:rsid w:val="006C3CF8"/>
    <w:rsid w:val="006C40B4"/>
    <w:rsid w:val="006C53AE"/>
    <w:rsid w:val="006D2A35"/>
    <w:rsid w:val="006D6992"/>
    <w:rsid w:val="006E4605"/>
    <w:rsid w:val="006F3A45"/>
    <w:rsid w:val="006F4EAF"/>
    <w:rsid w:val="007151E9"/>
    <w:rsid w:val="00716C2D"/>
    <w:rsid w:val="00727871"/>
    <w:rsid w:val="00730086"/>
    <w:rsid w:val="00730994"/>
    <w:rsid w:val="00740752"/>
    <w:rsid w:val="0074208B"/>
    <w:rsid w:val="0075280F"/>
    <w:rsid w:val="007555FD"/>
    <w:rsid w:val="00766A35"/>
    <w:rsid w:val="0077084C"/>
    <w:rsid w:val="00787D4F"/>
    <w:rsid w:val="007A23A4"/>
    <w:rsid w:val="007B7398"/>
    <w:rsid w:val="007C0F66"/>
    <w:rsid w:val="007C5336"/>
    <w:rsid w:val="007C7436"/>
    <w:rsid w:val="007D0FA7"/>
    <w:rsid w:val="007F0F24"/>
    <w:rsid w:val="007F1386"/>
    <w:rsid w:val="00801556"/>
    <w:rsid w:val="0080357A"/>
    <w:rsid w:val="008078E3"/>
    <w:rsid w:val="00813B71"/>
    <w:rsid w:val="00823F73"/>
    <w:rsid w:val="0082522B"/>
    <w:rsid w:val="00825623"/>
    <w:rsid w:val="00831063"/>
    <w:rsid w:val="0084167A"/>
    <w:rsid w:val="0085022E"/>
    <w:rsid w:val="00854D6E"/>
    <w:rsid w:val="008551A6"/>
    <w:rsid w:val="00856B17"/>
    <w:rsid w:val="00864481"/>
    <w:rsid w:val="00865F36"/>
    <w:rsid w:val="008678EE"/>
    <w:rsid w:val="00870712"/>
    <w:rsid w:val="008800AC"/>
    <w:rsid w:val="00885989"/>
    <w:rsid w:val="008879BB"/>
    <w:rsid w:val="008920C5"/>
    <w:rsid w:val="00896851"/>
    <w:rsid w:val="008A18AB"/>
    <w:rsid w:val="008B066D"/>
    <w:rsid w:val="008B2D79"/>
    <w:rsid w:val="008C78E2"/>
    <w:rsid w:val="008D0D1B"/>
    <w:rsid w:val="008D3628"/>
    <w:rsid w:val="00903F7D"/>
    <w:rsid w:val="00906941"/>
    <w:rsid w:val="009079CC"/>
    <w:rsid w:val="00916366"/>
    <w:rsid w:val="00934897"/>
    <w:rsid w:val="00937A56"/>
    <w:rsid w:val="00943767"/>
    <w:rsid w:val="00946097"/>
    <w:rsid w:val="009559F9"/>
    <w:rsid w:val="00971455"/>
    <w:rsid w:val="00982C74"/>
    <w:rsid w:val="00985446"/>
    <w:rsid w:val="00986139"/>
    <w:rsid w:val="009966A7"/>
    <w:rsid w:val="009967A7"/>
    <w:rsid w:val="009A64E9"/>
    <w:rsid w:val="009C3D5F"/>
    <w:rsid w:val="009D192E"/>
    <w:rsid w:val="009D1AB1"/>
    <w:rsid w:val="009E3B22"/>
    <w:rsid w:val="009F5E28"/>
    <w:rsid w:val="009F5FCA"/>
    <w:rsid w:val="009F629C"/>
    <w:rsid w:val="00A0074E"/>
    <w:rsid w:val="00A2036E"/>
    <w:rsid w:val="00A323B1"/>
    <w:rsid w:val="00A34448"/>
    <w:rsid w:val="00A52118"/>
    <w:rsid w:val="00A53603"/>
    <w:rsid w:val="00A5507A"/>
    <w:rsid w:val="00A57528"/>
    <w:rsid w:val="00A77A91"/>
    <w:rsid w:val="00A922D6"/>
    <w:rsid w:val="00A97389"/>
    <w:rsid w:val="00AA2DFC"/>
    <w:rsid w:val="00AA7692"/>
    <w:rsid w:val="00AD12C8"/>
    <w:rsid w:val="00AD6857"/>
    <w:rsid w:val="00AF34AD"/>
    <w:rsid w:val="00AF59DE"/>
    <w:rsid w:val="00B05A7A"/>
    <w:rsid w:val="00B212DF"/>
    <w:rsid w:val="00B3471C"/>
    <w:rsid w:val="00B3603A"/>
    <w:rsid w:val="00B40AF6"/>
    <w:rsid w:val="00B459C5"/>
    <w:rsid w:val="00B513D0"/>
    <w:rsid w:val="00B57ECD"/>
    <w:rsid w:val="00B714F9"/>
    <w:rsid w:val="00B71969"/>
    <w:rsid w:val="00B72413"/>
    <w:rsid w:val="00B747FF"/>
    <w:rsid w:val="00B84024"/>
    <w:rsid w:val="00B94B03"/>
    <w:rsid w:val="00BA0593"/>
    <w:rsid w:val="00BC3BD2"/>
    <w:rsid w:val="00BD43FD"/>
    <w:rsid w:val="00BD5002"/>
    <w:rsid w:val="00BE2B36"/>
    <w:rsid w:val="00BF402B"/>
    <w:rsid w:val="00C04894"/>
    <w:rsid w:val="00C15899"/>
    <w:rsid w:val="00C32057"/>
    <w:rsid w:val="00C37227"/>
    <w:rsid w:val="00C4772F"/>
    <w:rsid w:val="00C63DCF"/>
    <w:rsid w:val="00C6534A"/>
    <w:rsid w:val="00C817A5"/>
    <w:rsid w:val="00CA1F2A"/>
    <w:rsid w:val="00CA5889"/>
    <w:rsid w:val="00CC7283"/>
    <w:rsid w:val="00CE17AF"/>
    <w:rsid w:val="00CE4F81"/>
    <w:rsid w:val="00CF0C03"/>
    <w:rsid w:val="00CF2E73"/>
    <w:rsid w:val="00D01B54"/>
    <w:rsid w:val="00D057B6"/>
    <w:rsid w:val="00D4180C"/>
    <w:rsid w:val="00D53520"/>
    <w:rsid w:val="00D624F0"/>
    <w:rsid w:val="00D709B1"/>
    <w:rsid w:val="00D7588A"/>
    <w:rsid w:val="00D809EE"/>
    <w:rsid w:val="00DA1C36"/>
    <w:rsid w:val="00DA2DF0"/>
    <w:rsid w:val="00DB06B7"/>
    <w:rsid w:val="00DC28B6"/>
    <w:rsid w:val="00DD1A0A"/>
    <w:rsid w:val="00DF13F2"/>
    <w:rsid w:val="00E014BB"/>
    <w:rsid w:val="00E01792"/>
    <w:rsid w:val="00E03E85"/>
    <w:rsid w:val="00E24B21"/>
    <w:rsid w:val="00E34AD1"/>
    <w:rsid w:val="00E44347"/>
    <w:rsid w:val="00E453E5"/>
    <w:rsid w:val="00E508DF"/>
    <w:rsid w:val="00E727F1"/>
    <w:rsid w:val="00E83F84"/>
    <w:rsid w:val="00E87171"/>
    <w:rsid w:val="00E87613"/>
    <w:rsid w:val="00EA40F7"/>
    <w:rsid w:val="00EB0974"/>
    <w:rsid w:val="00EB6EFF"/>
    <w:rsid w:val="00EC36F6"/>
    <w:rsid w:val="00EC692E"/>
    <w:rsid w:val="00EE0A92"/>
    <w:rsid w:val="00EE15FC"/>
    <w:rsid w:val="00F10812"/>
    <w:rsid w:val="00F24429"/>
    <w:rsid w:val="00F24500"/>
    <w:rsid w:val="00F26C01"/>
    <w:rsid w:val="00F32A67"/>
    <w:rsid w:val="00F42969"/>
    <w:rsid w:val="00F4314F"/>
    <w:rsid w:val="00F43F4A"/>
    <w:rsid w:val="00F459F0"/>
    <w:rsid w:val="00F7219D"/>
    <w:rsid w:val="00F74E02"/>
    <w:rsid w:val="00F77D2C"/>
    <w:rsid w:val="00F91794"/>
    <w:rsid w:val="00FA7D0A"/>
    <w:rsid w:val="00FB37C2"/>
    <w:rsid w:val="00FC3103"/>
    <w:rsid w:val="00FC6BFD"/>
    <w:rsid w:val="00FE7A4D"/>
    <w:rsid w:val="00FF2478"/>
    <w:rsid w:val="FF331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kern w:val="2"/>
      <w:sz w:val="24"/>
      <w:szCs w:val="24"/>
      <w:lang w:val="en-US" w:eastAsia="zh-CN" w:bidi="ar-SA"/>
    </w:rPr>
  </w:style>
  <w:style w:type="paragraph" w:styleId="2">
    <w:name w:val="heading 1"/>
    <w:basedOn w:val="1"/>
    <w:next w:val="1"/>
    <w:link w:val="27"/>
    <w:autoRedefine/>
    <w:qFormat/>
    <w:uiPriority w:val="9"/>
    <w:pPr>
      <w:keepNext/>
      <w:keepLines/>
      <w:numPr>
        <w:ilvl w:val="0"/>
        <w:numId w:val="1"/>
      </w:numPr>
      <w:spacing w:before="480" w:after="80"/>
      <w:outlineLvl w:val="0"/>
    </w:pPr>
    <w:rPr>
      <w:rFonts w:eastAsia="黑体" w:cstheme="majorBidi"/>
      <w:color w:val="000000" w:themeColor="text1"/>
      <w:sz w:val="28"/>
      <w:szCs w:val="48"/>
      <w14:textFill>
        <w14:solidFill>
          <w14:schemeClr w14:val="tx1"/>
        </w14:solidFill>
      </w14:textFill>
    </w:rPr>
  </w:style>
  <w:style w:type="paragraph" w:styleId="3">
    <w:name w:val="heading 2"/>
    <w:basedOn w:val="1"/>
    <w:next w:val="1"/>
    <w:link w:val="28"/>
    <w:autoRedefine/>
    <w:unhideWhenUsed/>
    <w:qFormat/>
    <w:uiPriority w:val="9"/>
    <w:pPr>
      <w:keepNext/>
      <w:keepLines/>
      <w:numPr>
        <w:ilvl w:val="1"/>
        <w:numId w:val="1"/>
      </w:numPr>
      <w:spacing w:before="160" w:after="80"/>
      <w:outlineLvl w:val="1"/>
    </w:pPr>
    <w:rPr>
      <w:rFonts w:ascii="黑体" w:hAnsi="黑体" w:eastAsia="黑体" w:cstheme="majorBidi"/>
      <w:color w:val="FF0000"/>
      <w:sz w:val="28"/>
      <w:szCs w:val="40"/>
    </w:rPr>
  </w:style>
  <w:style w:type="paragraph" w:styleId="4">
    <w:name w:val="heading 3"/>
    <w:basedOn w:val="1"/>
    <w:next w:val="1"/>
    <w:link w:val="29"/>
    <w:autoRedefine/>
    <w:unhideWhenUsed/>
    <w:qFormat/>
    <w:uiPriority w:val="9"/>
    <w:pPr>
      <w:keepNext/>
      <w:keepLines/>
      <w:numPr>
        <w:ilvl w:val="2"/>
        <w:numId w:val="1"/>
      </w:numPr>
      <w:spacing w:before="160" w:after="80"/>
      <w:outlineLvl w:val="2"/>
    </w:pPr>
    <w:rPr>
      <w:rFonts w:eastAsia="黑体" w:cstheme="majorBidi"/>
      <w:color w:val="000000" w:themeColor="text1"/>
      <w:szCs w:val="32"/>
      <w14:textFill>
        <w14:solidFill>
          <w14:schemeClr w14:val="tx1"/>
        </w14:solidFill>
      </w14:textFill>
    </w:rPr>
  </w:style>
  <w:style w:type="paragraph" w:styleId="5">
    <w:name w:val="heading 4"/>
    <w:basedOn w:val="1"/>
    <w:next w:val="1"/>
    <w:link w:val="30"/>
    <w:autoRedefine/>
    <w:semiHidden/>
    <w:unhideWhenUsed/>
    <w:qFormat/>
    <w:uiPriority w:val="9"/>
    <w:pPr>
      <w:keepNext/>
      <w:keepLines/>
      <w:spacing w:before="80" w:after="40"/>
      <w:outlineLvl w:val="3"/>
    </w:pPr>
    <w:rPr>
      <w:rFonts w:eastAsia="黑体" w:asciiTheme="minorHAnsi" w:hAnsiTheme="minorHAnsi" w:cstheme="majorBidi"/>
      <w:color w:val="000000" w:themeColor="text1"/>
      <w:szCs w:val="28"/>
      <w14:textFill>
        <w14:solidFill>
          <w14:schemeClr w14:val="tx1"/>
        </w14:solidFill>
      </w14:textFill>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szCs w:val="22"/>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35"/>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55"/>
    <w:semiHidden/>
    <w:unhideWhenUsed/>
    <w:uiPriority w:val="99"/>
  </w:style>
  <w:style w:type="paragraph" w:styleId="13">
    <w:name w:val="toc 3"/>
    <w:basedOn w:val="1"/>
    <w:next w:val="1"/>
    <w:autoRedefine/>
    <w:unhideWhenUsed/>
    <w:uiPriority w:val="39"/>
    <w:pPr>
      <w:ind w:left="840" w:leftChars="400"/>
    </w:pPr>
  </w:style>
  <w:style w:type="paragraph" w:styleId="14">
    <w:name w:val="footer"/>
    <w:basedOn w:val="1"/>
    <w:link w:val="45"/>
    <w:uiPriority w:val="99"/>
    <w:pPr>
      <w:tabs>
        <w:tab w:val="center" w:pos="4153"/>
        <w:tab w:val="right" w:pos="8306"/>
      </w:tabs>
      <w:snapToGrid w:val="0"/>
    </w:pPr>
    <w:rPr>
      <w:sz w:val="18"/>
      <w:szCs w:val="18"/>
    </w:rPr>
  </w:style>
  <w:style w:type="paragraph" w:styleId="15">
    <w:name w:val="header"/>
    <w:basedOn w:val="1"/>
    <w:link w:val="49"/>
    <w:unhideWhenUsed/>
    <w:uiPriority w:val="99"/>
    <w:pPr>
      <w:tabs>
        <w:tab w:val="center" w:pos="4153"/>
        <w:tab w:val="right" w:pos="8306"/>
      </w:tabs>
      <w:snapToGrid w:val="0"/>
      <w:jc w:val="center"/>
    </w:pPr>
    <w:rPr>
      <w:sz w:val="18"/>
      <w:szCs w:val="18"/>
    </w:rPr>
  </w:style>
  <w:style w:type="paragraph" w:styleId="16">
    <w:name w:val="toc 1"/>
    <w:basedOn w:val="1"/>
    <w:next w:val="1"/>
    <w:autoRedefine/>
    <w:unhideWhenUsed/>
    <w:uiPriority w:val="39"/>
  </w:style>
  <w:style w:type="paragraph" w:styleId="17">
    <w:name w:val="Subtitle"/>
    <w:basedOn w:val="1"/>
    <w:next w:val="1"/>
    <w:link w:val="3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unhideWhenUsed/>
    <w:uiPriority w:val="39"/>
    <w:pPr>
      <w:ind w:left="420" w:leftChars="200"/>
    </w:pPr>
  </w:style>
  <w:style w:type="paragraph" w:styleId="19">
    <w:name w:val="Normal (Web)"/>
    <w:basedOn w:val="1"/>
    <w:semiHidden/>
    <w:unhideWhenUsed/>
    <w:uiPriority w:val="99"/>
  </w:style>
  <w:style w:type="paragraph" w:styleId="20">
    <w:name w:val="Title"/>
    <w:basedOn w:val="1"/>
    <w:next w:val="1"/>
    <w:link w:val="36"/>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1">
    <w:name w:val="annotation subject"/>
    <w:basedOn w:val="12"/>
    <w:next w:val="12"/>
    <w:link w:val="56"/>
    <w:semiHidden/>
    <w:unhideWhenUsed/>
    <w:uiPriority w:val="99"/>
    <w:rPr>
      <w:b/>
      <w:bCs/>
    </w:rPr>
  </w:style>
  <w:style w:type="table" w:styleId="23">
    <w:name w:val="Table Grid"/>
    <w:basedOn w:val="22"/>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uiPriority w:val="99"/>
    <w:rPr>
      <w:color w:val="0563C1" w:themeColor="hyperlink"/>
      <w:u w:val="single"/>
      <w14:textFill>
        <w14:solidFill>
          <w14:schemeClr w14:val="hlink"/>
        </w14:solidFill>
      </w14:textFill>
    </w:rPr>
  </w:style>
  <w:style w:type="character" w:styleId="26">
    <w:name w:val="annotation reference"/>
    <w:basedOn w:val="24"/>
    <w:semiHidden/>
    <w:unhideWhenUsed/>
    <w:uiPriority w:val="99"/>
    <w:rPr>
      <w:sz w:val="21"/>
      <w:szCs w:val="21"/>
    </w:rPr>
  </w:style>
  <w:style w:type="character" w:customStyle="1" w:styleId="27">
    <w:name w:val="标题 1 字符"/>
    <w:basedOn w:val="24"/>
    <w:link w:val="2"/>
    <w:uiPriority w:val="9"/>
    <w:rPr>
      <w:rFonts w:ascii="Times New Roman" w:hAnsi="Times New Roman" w:eastAsia="黑体" w:cstheme="majorBidi"/>
      <w:color w:val="000000" w:themeColor="text1"/>
      <w:sz w:val="28"/>
      <w:szCs w:val="48"/>
      <w14:textFill>
        <w14:solidFill>
          <w14:schemeClr w14:val="tx1"/>
        </w14:solidFill>
      </w14:textFill>
    </w:rPr>
  </w:style>
  <w:style w:type="character" w:customStyle="1" w:styleId="28">
    <w:name w:val="标题 2 字符"/>
    <w:basedOn w:val="24"/>
    <w:link w:val="3"/>
    <w:uiPriority w:val="9"/>
    <w:rPr>
      <w:rFonts w:ascii="黑体" w:hAnsi="黑体" w:eastAsia="黑体" w:cstheme="majorBidi"/>
      <w:color w:val="FF0000"/>
      <w:sz w:val="28"/>
      <w:szCs w:val="40"/>
    </w:rPr>
  </w:style>
  <w:style w:type="character" w:customStyle="1" w:styleId="29">
    <w:name w:val="标题 3 字符"/>
    <w:basedOn w:val="24"/>
    <w:link w:val="4"/>
    <w:uiPriority w:val="9"/>
    <w:rPr>
      <w:rFonts w:ascii="Times New Roman" w:hAnsi="Times New Roman" w:eastAsia="黑体" w:cstheme="majorBidi"/>
      <w:color w:val="000000" w:themeColor="text1"/>
      <w:sz w:val="24"/>
      <w:szCs w:val="32"/>
      <w14:textFill>
        <w14:solidFill>
          <w14:schemeClr w14:val="tx1"/>
        </w14:solidFill>
      </w14:textFill>
    </w:rPr>
  </w:style>
  <w:style w:type="character" w:customStyle="1" w:styleId="30">
    <w:name w:val="标题 4 字符"/>
    <w:basedOn w:val="24"/>
    <w:link w:val="5"/>
    <w:semiHidden/>
    <w:uiPriority w:val="9"/>
    <w:rPr>
      <w:rFonts w:eastAsia="黑体" w:cstheme="majorBidi"/>
      <w:color w:val="000000" w:themeColor="text1"/>
      <w:szCs w:val="28"/>
      <w14:textFill>
        <w14:solidFill>
          <w14:schemeClr w14:val="tx1"/>
        </w14:solidFill>
      </w14:textFill>
    </w:rPr>
  </w:style>
  <w:style w:type="character" w:customStyle="1" w:styleId="31">
    <w:name w:val="标题 5 字符"/>
    <w:basedOn w:val="24"/>
    <w:link w:val="6"/>
    <w:semiHidden/>
    <w:uiPriority w:val="9"/>
    <w:rPr>
      <w:rFonts w:cstheme="majorBidi"/>
      <w:color w:val="2F5597" w:themeColor="accent1" w:themeShade="BF"/>
      <w:sz w:val="24"/>
      <w:szCs w:val="24"/>
    </w:rPr>
  </w:style>
  <w:style w:type="character" w:customStyle="1" w:styleId="32">
    <w:name w:val="标题 6 字符"/>
    <w:basedOn w:val="24"/>
    <w:link w:val="7"/>
    <w:semiHidden/>
    <w:uiPriority w:val="9"/>
    <w:rPr>
      <w:rFonts w:cstheme="majorBidi"/>
      <w:b/>
      <w:bCs/>
      <w:color w:val="2F5597" w:themeColor="accent1" w:themeShade="BF"/>
    </w:rPr>
  </w:style>
  <w:style w:type="character" w:customStyle="1" w:styleId="33">
    <w:name w:val="标题 7 字符"/>
    <w:basedOn w:val="2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4">
    <w:name w:val="标题 8 字符"/>
    <w:basedOn w:val="2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5">
    <w:name w:val="标题 9 字符"/>
    <w:basedOn w:val="2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标题 字符"/>
    <w:basedOn w:val="24"/>
    <w:link w:val="20"/>
    <w:uiPriority w:val="10"/>
    <w:rPr>
      <w:rFonts w:asciiTheme="majorHAnsi" w:hAnsiTheme="majorHAnsi" w:eastAsiaTheme="majorEastAsia" w:cstheme="majorBidi"/>
      <w:spacing w:val="-10"/>
      <w:kern w:val="28"/>
      <w:sz w:val="56"/>
      <w:szCs w:val="56"/>
    </w:rPr>
  </w:style>
  <w:style w:type="character" w:customStyle="1" w:styleId="37">
    <w:name w:val="副标题 字符"/>
    <w:basedOn w:val="24"/>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39">
    <w:name w:val="引用 字符"/>
    <w:basedOn w:val="24"/>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41">
    <w:name w:val="Intense Emphasis"/>
    <w:basedOn w:val="24"/>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rFonts w:asciiTheme="minorHAnsi" w:hAnsiTheme="minorHAnsi" w:eastAsiaTheme="minorEastAsia" w:cstheme="minorBidi"/>
      <w:i/>
      <w:iCs/>
      <w:color w:val="2F5597" w:themeColor="accent1" w:themeShade="BF"/>
      <w:szCs w:val="22"/>
    </w:rPr>
  </w:style>
  <w:style w:type="character" w:customStyle="1" w:styleId="43">
    <w:name w:val="明显引用 字符"/>
    <w:basedOn w:val="24"/>
    <w:link w:val="42"/>
    <w:uiPriority w:val="30"/>
    <w:rPr>
      <w:i/>
      <w:iCs/>
      <w:color w:val="2F5597" w:themeColor="accent1" w:themeShade="BF"/>
    </w:rPr>
  </w:style>
  <w:style w:type="character" w:customStyle="1" w:styleId="44">
    <w:name w:val="Intense Reference"/>
    <w:basedOn w:val="24"/>
    <w:qFormat/>
    <w:uiPriority w:val="32"/>
    <w:rPr>
      <w:b/>
      <w:bCs/>
      <w:smallCaps/>
      <w:color w:val="2F5597" w:themeColor="accent1" w:themeShade="BF"/>
      <w:spacing w:val="5"/>
    </w:rPr>
  </w:style>
  <w:style w:type="character" w:customStyle="1" w:styleId="45">
    <w:name w:val="页脚 字符"/>
    <w:basedOn w:val="24"/>
    <w:link w:val="14"/>
    <w:uiPriority w:val="99"/>
    <w:rPr>
      <w:rFonts w:ascii="Times New Roman" w:hAnsi="Times New Roman" w:eastAsia="宋体" w:cs="Times New Roman"/>
      <w:sz w:val="18"/>
      <w:szCs w:val="18"/>
    </w:rPr>
  </w:style>
  <w:style w:type="paragraph" w:customStyle="1" w:styleId="46">
    <w:name w:val="Bibliography"/>
    <w:basedOn w:val="1"/>
    <w:next w:val="1"/>
    <w:unhideWhenUsed/>
    <w:uiPriority w:val="37"/>
    <w:pPr>
      <w:tabs>
        <w:tab w:val="left" w:pos="504"/>
      </w:tabs>
      <w:ind w:left="504" w:hanging="504"/>
    </w:pPr>
  </w:style>
  <w:style w:type="character" w:styleId="47">
    <w:name w:val="Placeholder Text"/>
    <w:basedOn w:val="24"/>
    <w:semiHidden/>
    <w:uiPriority w:val="99"/>
    <w:rPr>
      <w:color w:val="666666"/>
    </w:rPr>
  </w:style>
  <w:style w:type="table" w:customStyle="1" w:styleId="48">
    <w:name w:val="三线表"/>
    <w:basedOn w:val="22"/>
    <w:qFormat/>
    <w:uiPriority w:val="99"/>
    <w:pPr>
      <w:ind w:left="200" w:hanging="200" w:hangingChars="200"/>
      <w:jc w:val="center"/>
    </w:pPr>
    <w:rPr>
      <w:rFonts w:ascii="Times New Roman" w:hAnsi="Times New Roman" w:eastAsia="宋体" w:cs="Times New Roman"/>
      <w:kern w:val="0"/>
      <w:sz w:val="24"/>
      <w:szCs w:val="20"/>
    </w:rPr>
    <w:tblPr>
      <w:tblBorders>
        <w:top w:val="single" w:color="auto" w:sz="12" w:space="0"/>
        <w:bottom w:val="single" w:color="auto" w:sz="12" w:space="0"/>
      </w:tblBorders>
    </w:tblPr>
    <w:tblStylePr w:type="firstRow">
      <w:pPr>
        <w:wordWrap/>
        <w:spacing w:line="360" w:lineRule="exact"/>
      </w:pPr>
      <w:rPr>
        <w:rFonts w:ascii="Times New Roman" w:hAnsi="Times New Roman" w:eastAsia="宋体"/>
        <w:b w:val="0"/>
        <w:i w:val="0"/>
        <w:sz w:val="24"/>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49">
    <w:name w:val="页眉 字符"/>
    <w:basedOn w:val="24"/>
    <w:link w:val="15"/>
    <w:uiPriority w:val="99"/>
    <w:rPr>
      <w:rFonts w:ascii="Times New Roman" w:hAnsi="Times New Roman" w:eastAsia="宋体" w:cs="Times New Roman"/>
      <w:sz w:val="18"/>
      <w:szCs w:val="18"/>
    </w:rPr>
  </w:style>
  <w:style w:type="paragraph" w:customStyle="1" w:styleId="50">
    <w:name w:val="图注"/>
    <w:basedOn w:val="1"/>
    <w:link w:val="51"/>
    <w:autoRedefine/>
    <w:qFormat/>
    <w:uiPriority w:val="0"/>
    <w:pPr>
      <w:keepNext/>
      <w:spacing w:before="240" w:line="300" w:lineRule="auto"/>
    </w:pPr>
    <w:rPr>
      <w:rFonts w:eastAsia="黑体" w:cs="黑体"/>
      <w:bCs/>
      <w:color w:val="000000" w:themeColor="text1"/>
      <w:kern w:val="0"/>
      <w:szCs w:val="21"/>
      <w14:textFill>
        <w14:solidFill>
          <w14:schemeClr w14:val="tx1"/>
        </w14:solidFill>
      </w14:textFill>
    </w:rPr>
  </w:style>
  <w:style w:type="character" w:customStyle="1" w:styleId="51">
    <w:name w:val="图注 字符"/>
    <w:basedOn w:val="24"/>
    <w:link w:val="50"/>
    <w:uiPriority w:val="0"/>
    <w:rPr>
      <w:rFonts w:ascii="Times New Roman" w:hAnsi="Times New Roman" w:eastAsia="黑体" w:cs="黑体"/>
      <w:bCs/>
      <w:color w:val="000000" w:themeColor="text1"/>
      <w:kern w:val="0"/>
      <w:szCs w:val="21"/>
      <w14:textFill>
        <w14:solidFill>
          <w14:schemeClr w14:val="tx1"/>
        </w14:solidFill>
      </w14:textFill>
    </w:rPr>
  </w:style>
  <w:style w:type="paragraph" w:customStyle="1" w:styleId="52">
    <w:name w:val="TOC Heading"/>
    <w:basedOn w:val="2"/>
    <w:next w:val="1"/>
    <w:unhideWhenUsed/>
    <w:qFormat/>
    <w:uiPriority w:val="39"/>
    <w:pPr>
      <w:widowControl/>
      <w:numPr>
        <w:numId w:val="0"/>
      </w:numPr>
      <w:spacing w:before="240" w:after="0" w:line="259" w:lineRule="auto"/>
      <w:outlineLvl w:val="9"/>
    </w:pPr>
    <w:rPr>
      <w:rFonts w:asciiTheme="majorHAnsi" w:hAnsiTheme="majorHAnsi" w:eastAsiaTheme="majorEastAsia"/>
      <w:color w:val="2F5597" w:themeColor="accent1" w:themeShade="BF"/>
      <w:kern w:val="0"/>
      <w:sz w:val="32"/>
      <w:szCs w:val="32"/>
    </w:rPr>
  </w:style>
  <w:style w:type="paragraph" w:customStyle="1" w:styleId="53">
    <w:name w:val="摘要"/>
    <w:basedOn w:val="1"/>
    <w:link w:val="54"/>
    <w:qFormat/>
    <w:uiPriority w:val="0"/>
    <w:pPr>
      <w:jc w:val="center"/>
    </w:pPr>
    <w:rPr>
      <w:rFonts w:eastAsia="黑体"/>
      <w:b/>
      <w:sz w:val="30"/>
      <w:szCs w:val="30"/>
    </w:rPr>
  </w:style>
  <w:style w:type="character" w:customStyle="1" w:styleId="54">
    <w:name w:val="摘要 字符"/>
    <w:basedOn w:val="24"/>
    <w:link w:val="53"/>
    <w:uiPriority w:val="0"/>
    <w:rPr>
      <w:rFonts w:ascii="Times New Roman" w:hAnsi="Times New Roman" w:eastAsia="黑体" w:cs="Times New Roman"/>
      <w:b/>
      <w:sz w:val="30"/>
      <w:szCs w:val="30"/>
    </w:rPr>
  </w:style>
  <w:style w:type="character" w:customStyle="1" w:styleId="55">
    <w:name w:val="批注文字 字符"/>
    <w:basedOn w:val="24"/>
    <w:link w:val="12"/>
    <w:semiHidden/>
    <w:uiPriority w:val="99"/>
    <w:rPr>
      <w:rFonts w:ascii="Times New Roman" w:hAnsi="Times New Roman" w:eastAsia="宋体" w:cs="Times New Roman"/>
      <w:sz w:val="24"/>
      <w:szCs w:val="24"/>
    </w:rPr>
  </w:style>
  <w:style w:type="character" w:customStyle="1" w:styleId="56">
    <w:name w:val="批注主题 字符"/>
    <w:basedOn w:val="55"/>
    <w:link w:val="21"/>
    <w:semiHidden/>
    <w:uiPriority w:val="99"/>
    <w:rPr>
      <w:rFonts w:ascii="Times New Roman" w:hAnsi="Times New Roman" w:eastAsia="宋体" w:cs="Times New Roman"/>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4.emf"/><Relationship Id="rId15" Type="http://schemas.openxmlformats.org/officeDocument/2006/relationships/oleObject" Target="embeddings/oleObject2.bin"/><Relationship Id="rId14" Type="http://schemas.openxmlformats.org/officeDocument/2006/relationships/image" Target="media/image3.emf"/><Relationship Id="rId13" Type="http://schemas.openxmlformats.org/officeDocument/2006/relationships/oleObject" Target="embeddings/oleObject1.bin"/><Relationship Id="rId12" Type="http://schemas.openxmlformats.org/officeDocument/2006/relationships/image" Target="media/image2.png"/><Relationship Id="rId11" Type="http://schemas.openxmlformats.org/officeDocument/2006/relationships/image" Target="../Documents/Ye/AppData/Local/Temp/&#20225;&#19994;&#24494;&#20449;&#25130;&#22270;_17743159822650.png" TargetMode="Externa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0DFCD5-80D6-46BA-9C95-44AEBB9A90A3}">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36087</Words>
  <Characters>44748</Characters>
  <Lines>2130</Lines>
  <Paragraphs>1649</Paragraphs>
  <TotalTime>0</TotalTime>
  <ScaleCrop>false</ScaleCrop>
  <LinksUpToDate>false</LinksUpToDate>
  <CharactersWithSpaces>79186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2026-05-12T18:41:00Z</dcterms:created>
  <dc:creator>fishhead Good</dc:creator>
  <cp:lastModifiedBy>气球</cp:lastModifiedBy>
  <cp:lastPrinted>2026-05-12T15:57:00Z</cp:lastPrinted>
  <dcterms:modified xsi:type="dcterms:W3CDTF">2026-05-13T17:30:27Z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id="ZjVRow6r"/&gt;&lt;style id="https://zotero-chinese.com/styles/GB-T-7714—2015（顺序编码，双语，无URL、DOI）"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KSOProductBuildVer">
    <vt:lpwstr>2052-7.2.2.8955</vt:lpwstr>
  </property>
  <property fmtid="{D5CDD505-2E9C-101B-9397-08002B2CF9AE}" pid="5" name="ICV">
    <vt:lpwstr>445A020D5023E4BAB344046AE41287CE_42</vt:lpwstr>
  </property>
</Properties>
</file>