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6"/>
          <w:sz-cs w:val="26"/>
          <w:spacing w:val="0"/>
          <w:color w:val="000000"/>
        </w:rPr>
        <w:t xml:space="preserve">A comparative analysis of serial and free recall</w:t>
      </w:r>
    </w:p>
    <w:p>
      <w:pPr>
        <w:spacing w:after="240"/>
      </w:pPr>
      <w:r>
        <w:rPr>
          <w:rFonts w:ascii="Times" w:hAnsi="Times" w:cs="Times"/>
          <w:sz w:val="26"/>
          <w:sz-cs w:val="26"/>
          <w:spacing w:val="0"/>
          <w:color w:val="000000"/>
        </w:rPr>
        <w:t xml:space="preserve">(Klein, Addis, Kahana, 2005)</w:t>
      </w:r>
    </w:p>
    <w:p>
      <w:pPr>
        <w:spacing w:after="240"/>
      </w:pPr>
      <w:r>
        <w:rPr>
          <w:rFonts w:ascii="Times" w:hAnsi="Times" w:cs="Times"/>
          <w:sz w:val="26"/>
          <w:sz-cs w:val="26"/>
          <w:spacing w:val="0"/>
          <w:color w:val="000000"/>
        </w:rPr>
        <w:t xml:space="preserve">In </w:t>
      </w:r>
      <w:r>
        <w:rPr>
          <w:rFonts w:ascii="Times" w:hAnsi="Times" w:cs="Times"/>
          <w:sz w:val="26"/>
          <w:sz-cs w:val="26"/>
          <w:i/>
          <w:spacing w:val="0"/>
          <w:color w:val="000000"/>
        </w:rPr>
        <w:t xml:space="preserve">relative order scoring</w:t>
      </w:r>
      <w:r>
        <w:rPr>
          <w:rFonts w:ascii="Times" w:hAnsi="Times" w:cs="Times"/>
          <w:sz w:val="26"/>
          <w:sz-cs w:val="26"/>
          <w:spacing w:val="0"/>
          <w:color w:val="000000"/>
        </w:rPr>
        <w:t xml:space="preserve">, an item was scored as correct if it was recalled directly following an item from an earlier study position (Drewnowski &amp; Murdock, 1980).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