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semplice-3"/>
        <w:tblW w:w="10800" w:type="dxa"/>
        <w:tblLook w:val="04A0" w:firstRow="1" w:lastRow="0" w:firstColumn="1" w:lastColumn="0" w:noHBand="0" w:noVBand="1"/>
      </w:tblPr>
      <w:tblGrid>
        <w:gridCol w:w="2796"/>
        <w:gridCol w:w="8004"/>
      </w:tblGrid>
      <w:tr w:rsidR="007C500E" w:rsidRPr="007C500E" w14:paraId="3E7DA984" w14:textId="77777777" w:rsidTr="007C5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8B6C0CF" w14:textId="77777777" w:rsidR="007C500E" w:rsidRPr="007C500E" w:rsidRDefault="007C500E" w:rsidP="007C500E">
            <w:pPr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  <w:t>WEEK 1 / CONTENUTO SESSIONI ON LINE E ON CAMPUS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260F92C0" w14:textId="77777777" w:rsidR="007C500E" w:rsidRPr="007C500E" w:rsidRDefault="007C500E" w:rsidP="007C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lang w:eastAsia="it-IT"/>
              </w:rPr>
            </w:pP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t>Sessione 1 on campus: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La creazione – 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Pensare il diritto. Periodizzare il diritto. I contenuti del diritto.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I perché – 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Perché il diritto come storia. Perché società e diritto.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Le fonti – 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Le fonti del diritto. Le fonti di cognizione sulle condizioni delle origini.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Il libro e l’apprendimento. Oggetto del corso, struttura del libro, contenuti del libro. Oggetto dei corsi, struttura dei libri, contenuti dei libri.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I concetti fondamentali – 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Fatto, atto e negozio giuridico.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Capacità giuridica e capacità d’agire.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Tipi di diritti: reali ed obbligatori. 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Affermazione e certificazione del diritto: il processo.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Le obbligazioni in generale.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Sessione 2 on line: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Fonti del diritto: età monarchica, repubblicana, imperiale.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 xml:space="preserve">Lo ius civile; lo ius </w:t>
            </w:r>
            <w:proofErr w:type="spellStart"/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t>honorarium</w:t>
            </w:r>
            <w:proofErr w:type="spellEnd"/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t xml:space="preserve">; lo ius </w:t>
            </w:r>
            <w:proofErr w:type="spellStart"/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t>gentium</w:t>
            </w:r>
            <w:proofErr w:type="spellEnd"/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t>.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L’impianto del diritto in età arcaica –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Le persone e la famiglia.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Ordine delle materie nel diritto romano e nei Codici civili degli Stati moderni.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Le persone. </w:t>
            </w:r>
            <w:r w:rsidRPr="007C500E">
              <w:rPr>
                <w:rFonts w:ascii="Arial" w:eastAsia="Times New Roman" w:hAnsi="Arial" w:cs="Arial"/>
                <w:b w:val="0"/>
                <w:bCs w:val="0"/>
                <w:color w:val="000000"/>
                <w:sz w:val="21"/>
                <w:szCs w:val="21"/>
                <w:lang w:eastAsia="it-IT"/>
              </w:rPr>
              <w:br/>
              <w:t>La famiglia. </w:t>
            </w:r>
          </w:p>
        </w:tc>
      </w:tr>
      <w:tr w:rsidR="007C500E" w:rsidRPr="007C500E" w14:paraId="1348335A" w14:textId="77777777" w:rsidTr="007C5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75DCF7A7" w14:textId="77777777" w:rsidR="007C500E" w:rsidRPr="007C500E" w:rsidRDefault="007C500E" w:rsidP="007C500E">
            <w:pPr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  <w:t>WEEK 2 / CONTENUTO SESSIONI ON LINE E ON CAMPUS</w:t>
            </w:r>
          </w:p>
        </w:tc>
        <w:tc>
          <w:tcPr>
            <w:tcW w:w="0" w:type="auto"/>
            <w:hideMark/>
          </w:tcPr>
          <w:p w14:paraId="097CA603" w14:textId="77777777" w:rsidR="007C500E" w:rsidRDefault="007C500E" w:rsidP="007C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  <w:p w14:paraId="3915C58B" w14:textId="262235F4" w:rsidR="007C500E" w:rsidRPr="007C500E" w:rsidRDefault="007C500E" w:rsidP="007C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Sessione 1 on campus: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beni e le successioni.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beni.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successioni.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obbligazioni.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ipotesi di prestito.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obbligazioni e le garanzie.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Sessione 2 on line: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comportamento illecito.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processo arcaico.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azioni: il processo arcaico.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</w:r>
            <w:proofErr w:type="gram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Le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legis</w:t>
            </w:r>
            <w:proofErr w:type="spellEnd"/>
            <w:proofErr w:type="gram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actiones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. </w:t>
            </w:r>
          </w:p>
        </w:tc>
      </w:tr>
      <w:tr w:rsidR="007C500E" w:rsidRPr="007C500E" w14:paraId="544187D6" w14:textId="77777777" w:rsidTr="007C500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3E6AC9B" w14:textId="77777777" w:rsidR="007C500E" w:rsidRPr="007C500E" w:rsidRDefault="007C500E" w:rsidP="007C500E">
            <w:pPr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  <w:t>WEEK 3 / CONTENUTO SESSIONI ON LINE E ON CAMPUS</w:t>
            </w:r>
          </w:p>
        </w:tc>
        <w:tc>
          <w:tcPr>
            <w:tcW w:w="0" w:type="auto"/>
            <w:hideMark/>
          </w:tcPr>
          <w:p w14:paraId="5A59125C" w14:textId="77777777" w:rsidR="007C500E" w:rsidRDefault="007C500E" w:rsidP="007C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  <w:p w14:paraId="537896E4" w14:textId="147EAA54" w:rsidR="007C500E" w:rsidRPr="007C500E" w:rsidRDefault="007C500E" w:rsidP="007C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Sessione 1 on campus: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diritto nell’età dell’espansione mediterranea.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L’evoluzione dello ius civile: i mezzi di tutela, il pretore giusdicente, l’editto e le formule.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 xml:space="preserve">L’evoluzione del sistema </w:t>
            </w:r>
            <w:proofErr w:type="gram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delle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legis</w:t>
            </w:r>
            <w:proofErr w:type="spellEnd"/>
            <w:proofErr w:type="gram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actiones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 xml:space="preserve">Crisi </w:t>
            </w:r>
            <w:proofErr w:type="gram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delle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legis</w:t>
            </w:r>
            <w:proofErr w:type="spellEnd"/>
            <w:proofErr w:type="gram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actiones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Sessione 2 on line: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soggetti processuali e le formule.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parti della formula.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Come classificare le azioni.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La procedura davanti al magistrato.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 xml:space="preserve">La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litis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contestatio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ed i suoi effetti.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La procedura davanti al giudice.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L’esecuzione della sentenza.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Altri poteri del magistrato esercitati a fini di giustizia.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 xml:space="preserve">Al di là </w:t>
            </w:r>
            <w:proofErr w:type="gram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delle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legis</w:t>
            </w:r>
            <w:proofErr w:type="spellEnd"/>
            <w:proofErr w:type="gram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actiones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e delle formule.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giudizio d’appello. </w:t>
            </w:r>
          </w:p>
        </w:tc>
      </w:tr>
      <w:tr w:rsidR="007C500E" w:rsidRPr="007C500E" w14:paraId="440CFF15" w14:textId="77777777" w:rsidTr="007C5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710502DE" w14:textId="77777777" w:rsidR="007C500E" w:rsidRPr="007C500E" w:rsidRDefault="007C500E" w:rsidP="007C500E">
            <w:pPr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  <w:lastRenderedPageBreak/>
              <w:t>WEEK 4 / CONTENUTO SESSIONI ON LINE E ON CAMPUS</w:t>
            </w:r>
          </w:p>
        </w:tc>
        <w:tc>
          <w:tcPr>
            <w:tcW w:w="0" w:type="auto"/>
            <w:hideMark/>
          </w:tcPr>
          <w:p w14:paraId="3901CD6E" w14:textId="77777777" w:rsidR="007C500E" w:rsidRDefault="007C500E" w:rsidP="007C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  <w:p w14:paraId="684BEE97" w14:textId="0DF988CD" w:rsidR="007C500E" w:rsidRPr="007C500E" w:rsidRDefault="007C500E" w:rsidP="007C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Sessione 1 on campus: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persone e la famiglia.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persone fisiche e le loro attività.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Lo status dei servi e il modo per liberarli.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La famiglia, i figli e le adozioni.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Sessione 2 on line: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 xml:space="preserve">Le evoluzioni all’interno della patria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potestas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matrimonio e i suoi regimi.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La dote e i suoi regimi.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La tutela e la curatela.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concetto di persona e il suo sviluppo. </w:t>
            </w:r>
          </w:p>
        </w:tc>
      </w:tr>
      <w:tr w:rsidR="007C500E" w:rsidRPr="007C500E" w14:paraId="7A6B2601" w14:textId="77777777" w:rsidTr="007C500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41A29581" w14:textId="77777777" w:rsidR="007C500E" w:rsidRPr="007C500E" w:rsidRDefault="007C500E" w:rsidP="007C500E">
            <w:pPr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  <w:t>WEEK 5 / CONTENUTO SESSIONI ON LINE E ON CAMPUS</w:t>
            </w:r>
          </w:p>
        </w:tc>
        <w:tc>
          <w:tcPr>
            <w:tcW w:w="0" w:type="auto"/>
            <w:hideMark/>
          </w:tcPr>
          <w:p w14:paraId="591D612E" w14:textId="77777777" w:rsidR="007C500E" w:rsidRDefault="007C500E" w:rsidP="007C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  <w:p w14:paraId="154E5DA4" w14:textId="1532CE34" w:rsidR="007C500E" w:rsidRPr="007C500E" w:rsidRDefault="007C500E" w:rsidP="007C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Sessione 1 on campus: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beni, la proprietà e gli altri diritti reali.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beni.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possesso.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Sessione 2 on line: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La proprietà.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modi di acquisto.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diritti reali. </w:t>
            </w:r>
          </w:p>
        </w:tc>
      </w:tr>
      <w:tr w:rsidR="007C500E" w:rsidRPr="007C500E" w14:paraId="08B4273C" w14:textId="77777777" w:rsidTr="007C5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7B9DF4DD" w14:textId="77777777" w:rsidR="007C500E" w:rsidRPr="007C500E" w:rsidRDefault="007C500E" w:rsidP="007C500E">
            <w:pPr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  <w:t>WEEK 6 / CONTENUTO SESSIONI ON LINE E ON CAMPUS</w:t>
            </w:r>
          </w:p>
        </w:tc>
        <w:tc>
          <w:tcPr>
            <w:tcW w:w="0" w:type="auto"/>
            <w:hideMark/>
          </w:tcPr>
          <w:p w14:paraId="664FEBFB" w14:textId="77777777" w:rsidR="007C500E" w:rsidRDefault="007C500E" w:rsidP="007C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  <w:p w14:paraId="75C7AFE7" w14:textId="5725F5B4" w:rsidR="007C500E" w:rsidRPr="007C500E" w:rsidRDefault="007C500E" w:rsidP="007C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Sessione 1 on campus: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successioni e le donazioni.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L’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hereditas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e la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successio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 xml:space="preserve">La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bonorum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possessio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testamento.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Sessione 2 on line: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La successione secondo la legge.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Impugnazione del testamento.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L’acquisto dell'eredità.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legati.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fedecommessi.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donazioni. </w:t>
            </w:r>
          </w:p>
        </w:tc>
      </w:tr>
      <w:tr w:rsidR="007C500E" w:rsidRPr="007C500E" w14:paraId="738C7855" w14:textId="77777777" w:rsidTr="007C500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0251D515" w14:textId="77777777" w:rsidR="007C500E" w:rsidRPr="007C500E" w:rsidRDefault="007C500E" w:rsidP="007C500E">
            <w:pPr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  <w:t>WEEK 7 / CONTENUTO SESSIONI ON LINE E ON CAMPUS</w:t>
            </w:r>
          </w:p>
        </w:tc>
        <w:tc>
          <w:tcPr>
            <w:tcW w:w="0" w:type="auto"/>
            <w:hideMark/>
          </w:tcPr>
          <w:p w14:paraId="2667DD8A" w14:textId="77777777" w:rsidR="007C500E" w:rsidRDefault="007C500E" w:rsidP="007C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  <w:p w14:paraId="18684785" w14:textId="231CE41C" w:rsidR="007C500E" w:rsidRPr="007C500E" w:rsidRDefault="007C500E" w:rsidP="007C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Sessione 1 on campus: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obbligazioni.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fonti delle obbligazioni.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obbligazioni da contratto.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Considerazioni di sintesi sul concetto di con-tratto.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patti.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Obbligazioni da atto lecito non contrattuale.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Sessione 2 on line: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obbligazioni da delitto.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Gli illeciti repressi dall’editto.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Altre vicende del rapporto obbligatorio.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L’estinzione delle obbligazioni. </w:t>
            </w:r>
          </w:p>
        </w:tc>
      </w:tr>
      <w:tr w:rsidR="007C500E" w:rsidRPr="007C500E" w14:paraId="36970F2C" w14:textId="77777777" w:rsidTr="007C5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6EF13C81" w14:textId="77777777" w:rsidR="007C500E" w:rsidRPr="007C500E" w:rsidRDefault="007C500E" w:rsidP="007C500E">
            <w:pPr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  <w:lastRenderedPageBreak/>
              <w:t>WEEK 8 / CONTENUTO SESSIONI ON LINE E ON CAMPUS</w:t>
            </w:r>
          </w:p>
        </w:tc>
        <w:tc>
          <w:tcPr>
            <w:tcW w:w="0" w:type="auto"/>
            <w:hideMark/>
          </w:tcPr>
          <w:p w14:paraId="27EEFFD7" w14:textId="77777777" w:rsidR="007C500E" w:rsidRDefault="007C500E" w:rsidP="007C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  <w:p w14:paraId="37AB02CC" w14:textId="79AAC907" w:rsidR="007C500E" w:rsidRPr="007C500E" w:rsidRDefault="007C500E" w:rsidP="007C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Sessione 1 on campus: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diritto nell’impero classico e nel tardoantico.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mutamenti costituzionali.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principe davanti alla costituzione repubblicana.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Senato, comizi e magistrature nel nuovo assetto del potere.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principato dai Giulio-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Claudi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ai Severi.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 xml:space="preserve">La burocrazia imperiale ed i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consilia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territorio in Italia e in provincia.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costi dell’apparato.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Popolo e corona alla frontiera costituzionale.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Sessione 2 on line: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Nuovi strumenti di giustizia criminale.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nuovi assetti politici: nuova la società, nuovo il diritto.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L’impero dai Severi a Diocleziano.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La crisi del III secolo d.C.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Diocleziano e le sue riforme.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Costantino e le sue riforme.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Amministrazione e gerarchie.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declino dell’occidente.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L’impero da Costantino a Giustiniano. </w:t>
            </w:r>
          </w:p>
        </w:tc>
      </w:tr>
      <w:tr w:rsidR="007C500E" w:rsidRPr="007C500E" w14:paraId="3D7093B5" w14:textId="77777777" w:rsidTr="007C500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C2DD443" w14:textId="77777777" w:rsidR="007C500E" w:rsidRPr="007C500E" w:rsidRDefault="007C500E" w:rsidP="007C500E">
            <w:pPr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  <w:t>WEEK 9 / CONTENUTO SESSIONI ON LINE E ON CAMPUS</w:t>
            </w:r>
          </w:p>
        </w:tc>
        <w:tc>
          <w:tcPr>
            <w:tcW w:w="0" w:type="auto"/>
            <w:hideMark/>
          </w:tcPr>
          <w:p w14:paraId="3567A2F9" w14:textId="77777777" w:rsidR="007C500E" w:rsidRDefault="007C500E" w:rsidP="007C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  <w:p w14:paraId="653500E7" w14:textId="16D99CF8" w:rsidR="007C500E" w:rsidRPr="007C500E" w:rsidRDefault="007C500E" w:rsidP="007C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Sessione 1 on campus: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Dalla Città all’impero 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 xml:space="preserve">Ius civile, ius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honorarium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e giurisprudenza.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L’attività della giurisprudenza.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nuovo sistema delle fonti.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Sistema politico e ordinamento giuridico.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Sessione 2 on line: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fonti nel diritto imperiale.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costituzioni imperiali e le compilazioni private.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Codice Teodosiano.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La giurisprudenza dell’età tardoantica.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leggi cosiddette romano-barbariche.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La compilazione giustinianea. </w:t>
            </w:r>
          </w:p>
        </w:tc>
      </w:tr>
      <w:tr w:rsidR="007C500E" w:rsidRPr="007C500E" w14:paraId="0205FE06" w14:textId="77777777" w:rsidTr="007C5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22DF4EE9" w14:textId="77777777" w:rsidR="007C500E" w:rsidRPr="007C500E" w:rsidRDefault="007C500E" w:rsidP="007C500E">
            <w:pPr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  <w:t>WEEK 10 / CONTENUTO SESSIONI ON LINE E ON CAMPUS</w:t>
            </w:r>
          </w:p>
        </w:tc>
        <w:tc>
          <w:tcPr>
            <w:tcW w:w="0" w:type="auto"/>
            <w:hideMark/>
          </w:tcPr>
          <w:p w14:paraId="39DC9371" w14:textId="77777777" w:rsidR="007C500E" w:rsidRDefault="007C500E" w:rsidP="007C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  <w:p w14:paraId="6BE31769" w14:textId="63E3EBDE" w:rsidR="007C500E" w:rsidRPr="007C500E" w:rsidRDefault="007C500E" w:rsidP="007C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Sessione 1 on campus: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Dal diritto giustinianeo al diritto moderno.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persone e la famiglia.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Liberi e servi.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coloni ed i vincolati al proprio stato.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Cittadini e stranieri.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La posizione nella famiglia.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matrimonio e il divorzio.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I soggetti diversi dalle persone fisiche.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Beni, proprietà ed altri diritti reali.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possesso e la proprietà.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L’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usucapio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e la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longi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temporis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praescriptio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L’enfiteusi e la superficie nel sistema giusti-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nianeo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Sessione 2 on line: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successioni e le donazioni.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La successione secondo il testamento.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Legati e fedecommessi.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La successione legittima.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 xml:space="preserve">La donazione e la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donatio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mortis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causa. </w:t>
            </w:r>
          </w:p>
        </w:tc>
      </w:tr>
      <w:tr w:rsidR="007C500E" w:rsidRPr="007C500E" w14:paraId="2068D4B3" w14:textId="77777777" w:rsidTr="007C500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3AEEEECB" w14:textId="77777777" w:rsidR="007C500E" w:rsidRPr="007C500E" w:rsidRDefault="007C500E" w:rsidP="007C500E">
            <w:pPr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  <w:lastRenderedPageBreak/>
              <w:t>WEEK 11 / CONTENUTO SESSIONI ON LINE E ON CAMPUS</w:t>
            </w:r>
          </w:p>
        </w:tc>
        <w:tc>
          <w:tcPr>
            <w:tcW w:w="0" w:type="auto"/>
            <w:hideMark/>
          </w:tcPr>
          <w:p w14:paraId="54728EFB" w14:textId="77777777" w:rsidR="007C500E" w:rsidRDefault="007C500E" w:rsidP="007C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  <w:p w14:paraId="7B4BA794" w14:textId="5E113030" w:rsidR="007C500E" w:rsidRPr="007C500E" w:rsidRDefault="007C500E" w:rsidP="007C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Sessione 1 on campus: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obbligazioni.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obbligazioni in generale.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Figure particolari di obbligazione.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Le fonti delle obbligazioni.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contratti e i quasi contratti.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delitti e i quasi delitti.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Sessione 2 on line: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 xml:space="preserve">Processo formulare,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cognitiones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 xml:space="preserve"> e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cognitio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 xml:space="preserve">Dalle formule alla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cognitio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 xml:space="preserve">L’organizzazione della </w:t>
            </w:r>
            <w:proofErr w:type="spellStart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cognitio</w:t>
            </w:r>
            <w:proofErr w:type="spellEnd"/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La capacità processuale delle parti.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Aspetti della procedura e della sentenza.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Il giudizio d’appello e l’esecuzione.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I nuovi procedimenti.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La giustizia criminale. </w:t>
            </w:r>
          </w:p>
        </w:tc>
      </w:tr>
      <w:tr w:rsidR="007C500E" w:rsidRPr="007C500E" w14:paraId="76B230D0" w14:textId="77777777" w:rsidTr="007C5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70B49B49" w14:textId="77777777" w:rsidR="007C500E" w:rsidRPr="007C500E" w:rsidRDefault="007C500E" w:rsidP="007C500E">
            <w:pPr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909090"/>
                <w:sz w:val="18"/>
                <w:szCs w:val="18"/>
                <w:lang w:eastAsia="it-IT"/>
              </w:rPr>
              <w:t>WEEK 12 / CONTENUTO SESSIONI ON LINE E ON CAMPUS</w:t>
            </w:r>
          </w:p>
        </w:tc>
        <w:tc>
          <w:tcPr>
            <w:tcW w:w="0" w:type="auto"/>
            <w:hideMark/>
          </w:tcPr>
          <w:p w14:paraId="500A8BDD" w14:textId="77777777" w:rsidR="007C500E" w:rsidRDefault="007C500E" w:rsidP="007C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  <w:p w14:paraId="5BB62B91" w14:textId="49E42274" w:rsidR="007C500E" w:rsidRPr="007C500E" w:rsidRDefault="007C500E" w:rsidP="007C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t>Sessione 1 on campus: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Considerazioni su ciò che rimane del diritto romano.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Sessione 2 on line: </w:t>
            </w:r>
            <w:r w:rsidRPr="007C500E">
              <w:rPr>
                <w:rFonts w:ascii="Arial" w:eastAsia="Times New Roman" w:hAnsi="Arial" w:cs="Arial"/>
                <w:color w:val="000000"/>
                <w:lang w:eastAsia="it-IT"/>
              </w:rPr>
              <w:br/>
              <w:t>Considerazioni sui fondamenti romanistici dei sistemi giuridici moderni. </w:t>
            </w:r>
          </w:p>
        </w:tc>
      </w:tr>
    </w:tbl>
    <w:p w14:paraId="01384DC9" w14:textId="77777777" w:rsidR="00D92D5F" w:rsidRDefault="00D92D5F"/>
    <w:sectPr w:rsidR="00D92D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0E"/>
    <w:rsid w:val="007C500E"/>
    <w:rsid w:val="00D9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0CCB9E"/>
  <w15:chartTrackingRefBased/>
  <w15:docId w15:val="{5A5F0219-4857-F740-A886-F9F547A9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7C500E"/>
  </w:style>
  <w:style w:type="table" w:styleId="Tabellasemplice-3">
    <w:name w:val="Plain Table 3"/>
    <w:basedOn w:val="Tabellanormale"/>
    <w:uiPriority w:val="43"/>
    <w:rsid w:val="007C50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9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Nataloni</dc:creator>
  <cp:keywords/>
  <dc:description/>
  <cp:lastModifiedBy>Chiara Nataloni</cp:lastModifiedBy>
  <cp:revision>1</cp:revision>
  <dcterms:created xsi:type="dcterms:W3CDTF">2022-01-30T10:28:00Z</dcterms:created>
  <dcterms:modified xsi:type="dcterms:W3CDTF">2022-01-30T10:32:00Z</dcterms:modified>
</cp:coreProperties>
</file>