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78" w:rsidRPr="009E035F" w:rsidRDefault="00741478" w:rsidP="00741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r w:rsidRPr="009E035F">
        <w:rPr>
          <w:rFonts w:ascii="Palatino Linotype" w:eastAsia="Times New Roman" w:hAnsi="Palatino Linotype" w:cs="Times New Roman"/>
          <w:smallCaps/>
          <w:sz w:val="20"/>
          <w:szCs w:val="20"/>
          <w:lang w:eastAsia="it-IT"/>
        </w:rPr>
        <w:t>Indicazioni topografiche</w:t>
      </w:r>
      <w:r w:rsidRPr="009E035F">
        <w:rPr>
          <w:rFonts w:ascii="Palatino Linotype" w:eastAsia="Times New Roman" w:hAnsi="Palatino Linotype" w:cs="Times New Roman"/>
          <w:sz w:val="20"/>
          <w:szCs w:val="20"/>
          <w:lang w:eastAsia="it-IT"/>
        </w:rPr>
        <w:t>:</w:t>
      </w:r>
    </w:p>
    <w:p w:rsidR="00741478" w:rsidRPr="009E035F" w:rsidRDefault="00741478" w:rsidP="00741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b/>
          <w:sz w:val="20"/>
          <w:szCs w:val="20"/>
          <w:lang w:eastAsia="it-IT"/>
        </w:rPr>
      </w:pPr>
      <w:r w:rsidRPr="009E035F">
        <w:rPr>
          <w:rFonts w:ascii="Palatino Linotype" w:eastAsia="Times New Roman" w:hAnsi="Palatino Linotype" w:cs="Times New Roman"/>
          <w:b/>
          <w:sz w:val="20"/>
          <w:szCs w:val="20"/>
          <w:lang w:eastAsia="it-IT"/>
        </w:rPr>
        <w:t>Codice di procedura civile</w:t>
      </w:r>
      <w:r w:rsidR="008B6F85" w:rsidRPr="008B6F85">
        <w:rPr>
          <w:rFonts w:ascii="Palatino Linotype" w:eastAsia="Times New Roman" w:hAnsi="Palatino Linotype" w:cs="Times New Roman"/>
          <w:sz w:val="20"/>
          <w:szCs w:val="20"/>
          <w:lang w:eastAsia="it-IT"/>
        </w:rPr>
        <w:t xml:space="preserve"> (R.D. 28 ottobre 1940 n. 1443)</w:t>
      </w:r>
    </w:p>
    <w:p w:rsidR="0061015F" w:rsidRPr="009E035F" w:rsidRDefault="00A17D09" w:rsidP="00741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hyperlink r:id="rId8" w:history="1">
        <w:r w:rsidR="0061015F" w:rsidRPr="009E035F">
          <w:rPr>
            <w:rFonts w:ascii="Palatino Linotype" w:eastAsia="Times New Roman" w:hAnsi="Palatino Linotype" w:cs="Times New Roman"/>
            <w:sz w:val="20"/>
            <w:szCs w:val="20"/>
            <w:bdr w:val="none" w:sz="0" w:space="0" w:color="auto" w:frame="1"/>
            <w:lang w:eastAsia="it-IT"/>
          </w:rPr>
          <w:t xml:space="preserve">Libro Secondo – </w:t>
        </w:r>
        <w:r w:rsidR="0061015F" w:rsidRPr="009E035F">
          <w:rPr>
            <w:rFonts w:ascii="Palatino Linotype" w:eastAsia="Times New Roman" w:hAnsi="Palatino Linotype" w:cs="Times New Roman"/>
            <w:i/>
            <w:sz w:val="20"/>
            <w:szCs w:val="20"/>
            <w:bdr w:val="none" w:sz="0" w:space="0" w:color="auto" w:frame="1"/>
            <w:lang w:eastAsia="it-IT"/>
          </w:rPr>
          <w:t>Del processo di cognizione</w:t>
        </w:r>
      </w:hyperlink>
    </w:p>
    <w:p w:rsidR="0061015F" w:rsidRPr="009E035F" w:rsidRDefault="00A17D09" w:rsidP="00741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hyperlink r:id="rId9" w:history="1">
        <w:r w:rsidR="0061015F" w:rsidRPr="009E035F">
          <w:rPr>
            <w:rFonts w:ascii="Palatino Linotype" w:eastAsia="Times New Roman" w:hAnsi="Palatino Linotype" w:cs="Times New Roman"/>
            <w:sz w:val="20"/>
            <w:szCs w:val="20"/>
            <w:bdr w:val="none" w:sz="0" w:space="0" w:color="auto" w:frame="1"/>
            <w:lang w:eastAsia="it-IT"/>
          </w:rPr>
          <w:t xml:space="preserve">Titolo I – </w:t>
        </w:r>
        <w:r w:rsidR="0061015F" w:rsidRPr="009E035F">
          <w:rPr>
            <w:rFonts w:ascii="Palatino Linotype" w:eastAsia="Times New Roman" w:hAnsi="Palatino Linotype" w:cs="Times New Roman"/>
            <w:i/>
            <w:sz w:val="20"/>
            <w:szCs w:val="20"/>
            <w:bdr w:val="none" w:sz="0" w:space="0" w:color="auto" w:frame="1"/>
            <w:lang w:eastAsia="it-IT"/>
          </w:rPr>
          <w:t>Del procedimento davanti al tribunale</w:t>
        </w:r>
      </w:hyperlink>
    </w:p>
    <w:p w:rsidR="0061015F" w:rsidRPr="009E035F" w:rsidRDefault="00A17D09" w:rsidP="00741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hyperlink r:id="rId10" w:history="1">
        <w:r w:rsidR="0061015F" w:rsidRPr="009E035F">
          <w:rPr>
            <w:rFonts w:ascii="Palatino Linotype" w:eastAsia="Times New Roman" w:hAnsi="Palatino Linotype" w:cs="Times New Roman"/>
            <w:sz w:val="20"/>
            <w:szCs w:val="20"/>
            <w:bdr w:val="none" w:sz="0" w:space="0" w:color="auto" w:frame="1"/>
            <w:lang w:eastAsia="it-IT"/>
          </w:rPr>
          <w:t xml:space="preserve">Capo I – </w:t>
        </w:r>
        <w:r w:rsidR="0061015F" w:rsidRPr="009E035F">
          <w:rPr>
            <w:rFonts w:ascii="Palatino Linotype" w:eastAsia="Times New Roman" w:hAnsi="Palatino Linotype" w:cs="Times New Roman"/>
            <w:i/>
            <w:sz w:val="20"/>
            <w:szCs w:val="20"/>
            <w:bdr w:val="none" w:sz="0" w:space="0" w:color="auto" w:frame="1"/>
            <w:lang w:eastAsia="it-IT"/>
          </w:rPr>
          <w:t>Dell’introduzione della causa</w:t>
        </w:r>
      </w:hyperlink>
    </w:p>
    <w:p w:rsidR="0061015F" w:rsidRPr="009E035F" w:rsidRDefault="00A17D09" w:rsidP="00741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0"/>
          <w:szCs w:val="20"/>
          <w:lang w:eastAsia="it-IT"/>
        </w:rPr>
      </w:pPr>
      <w:hyperlink r:id="rId11" w:history="1">
        <w:r w:rsidR="0061015F" w:rsidRPr="009E035F">
          <w:rPr>
            <w:rFonts w:ascii="Palatino Linotype" w:eastAsia="Times New Roman" w:hAnsi="Palatino Linotype" w:cs="Times New Roman"/>
            <w:sz w:val="20"/>
            <w:szCs w:val="20"/>
            <w:bdr w:val="none" w:sz="0" w:space="0" w:color="auto" w:frame="1"/>
            <w:lang w:eastAsia="it-IT"/>
          </w:rPr>
          <w:t xml:space="preserve">Sezione I – </w:t>
        </w:r>
        <w:r w:rsidR="0061015F" w:rsidRPr="009E035F">
          <w:rPr>
            <w:rFonts w:ascii="Palatino Linotype" w:eastAsia="Times New Roman" w:hAnsi="Palatino Linotype" w:cs="Times New Roman"/>
            <w:i/>
            <w:sz w:val="20"/>
            <w:szCs w:val="20"/>
            <w:bdr w:val="none" w:sz="0" w:space="0" w:color="auto" w:frame="1"/>
            <w:lang w:eastAsia="it-IT"/>
          </w:rPr>
          <w:t>Della citazione e della costituzione delle parti</w:t>
        </w:r>
      </w:hyperlink>
    </w:p>
    <w:p w:rsidR="0061015F" w:rsidRDefault="0061015F" w:rsidP="0061015F">
      <w:pPr>
        <w:widowControl w:val="0"/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</w:p>
    <w:p w:rsidR="00741478" w:rsidRPr="0061015F" w:rsidRDefault="00741478" w:rsidP="0061015F">
      <w:pPr>
        <w:widowControl w:val="0"/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</w:p>
    <w:p w:rsidR="0061015F" w:rsidRDefault="0061015F" w:rsidP="0061015F">
      <w:pPr>
        <w:widowControl w:val="0"/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b/>
          <w:sz w:val="24"/>
          <w:szCs w:val="24"/>
          <w:lang w:eastAsia="it-IT"/>
        </w:rPr>
        <w:t>Art. 163 – Contenuto della citazione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>.</w:t>
      </w:r>
      <w:bookmarkStart w:id="0" w:name="_GoBack"/>
      <w:bookmarkEnd w:id="0"/>
    </w:p>
    <w:p w:rsidR="0061015F" w:rsidRPr="0061015F" w:rsidRDefault="0061015F" w:rsidP="00741478">
      <w:pPr>
        <w:widowControl w:val="0"/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La </w:t>
      </w:r>
      <w:hyperlink r:id="rId12" w:tooltip="Dizionario Giuridico Ragionato: Domand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domanda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si propone mediante citazione a comparire a udienza fissa</w:t>
      </w:r>
      <w:r w:rsidR="008B6F85">
        <w:rPr>
          <w:rStyle w:val="Rimandonotaapidipagina"/>
          <w:rFonts w:ascii="Palatino Linotype" w:eastAsia="Times New Roman" w:hAnsi="Palatino Linotype" w:cs="Times New Roman"/>
          <w:sz w:val="24"/>
          <w:szCs w:val="24"/>
          <w:lang w:eastAsia="it-IT"/>
        </w:rPr>
        <w:footnoteReference w:id="1"/>
      </w:r>
      <w:r w:rsidR="003D134A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3D134A" w:rsidRPr="003D134A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 xml:space="preserve">[si in ius </w:t>
      </w:r>
      <w:proofErr w:type="spellStart"/>
      <w:r w:rsidR="003D134A" w:rsidRPr="003D134A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vocat</w:t>
      </w:r>
      <w:proofErr w:type="spellEnd"/>
      <w:r w:rsidR="003D134A" w:rsidRPr="003D134A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 xml:space="preserve"> </w:t>
      </w:r>
      <w:proofErr w:type="spellStart"/>
      <w:r w:rsidR="003D134A" w:rsidRPr="003D134A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ito</w:t>
      </w:r>
      <w:proofErr w:type="spellEnd"/>
      <w:r w:rsidR="003D134A" w:rsidRPr="003D134A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]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.</w:t>
      </w:r>
    </w:p>
    <w:p w:rsidR="0061015F" w:rsidRPr="0061015F" w:rsidRDefault="0061015F" w:rsidP="00741478">
      <w:pPr>
        <w:widowControl w:val="0"/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Il presidente del tribunale stabilisce al principio dell’</w:t>
      </w:r>
      <w:hyperlink r:id="rId13" w:tooltip="Dizionario Giuridico Ragionato: Anno giudiziario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anno giudiziario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con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14" w:tooltip="Dizionario Giuridico Ragionato: Decreto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decreto</w:t>
        </w:r>
      </w:hyperlink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approvato dal primo presidente della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15" w:tooltip="Dizionario Giuridico Ragionato: Corte d'appello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corte di appello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i giorni della settimana e le ore delle udienze destinate esclusivamente alla prima comparizione delle parti</w:t>
      </w:r>
      <w:r w:rsidR="008B6F85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8B6F85" w:rsidRPr="008B6F85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[</w:t>
      </w:r>
      <w:proofErr w:type="spellStart"/>
      <w:r w:rsidR="008B6F85" w:rsidRPr="008B6F85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dies</w:t>
      </w:r>
      <w:proofErr w:type="spellEnd"/>
      <w:r w:rsidR="008B6F85" w:rsidRPr="008B6F85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 xml:space="preserve"> fasti …</w:t>
      </w:r>
      <w:r w:rsidR="008B6F85" w:rsidRPr="008B6F85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]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.</w:t>
      </w:r>
    </w:p>
    <w:p w:rsidR="0061015F" w:rsidRPr="0061015F" w:rsidRDefault="0061015F" w:rsidP="00741478">
      <w:pPr>
        <w:widowControl w:val="0"/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L’atto di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16" w:tooltip="Dizionario Giuridico Ragionato: Atto di citazione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citazione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deve contenere:</w:t>
      </w:r>
    </w:p>
    <w:p w:rsidR="0061015F" w:rsidRPr="0061015F" w:rsidRDefault="0061015F" w:rsidP="0061015F">
      <w:pPr>
        <w:widowControl w:val="0"/>
        <w:shd w:val="clear" w:color="auto" w:fill="FFFFFF"/>
        <w:spacing w:after="0" w:line="240" w:lineRule="auto"/>
        <w:ind w:left="360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1) l’indicazione del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17" w:tooltip="Dizionario Giuridico Ragionato: Tribunale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tribunale</w:t>
        </w:r>
      </w:hyperlink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davanti al quale la domanda è proposta;</w:t>
      </w:r>
      <w:r w:rsidR="0019619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086BBD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[</w:t>
      </w:r>
      <w:proofErr w:type="spellStart"/>
      <w:r w:rsid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iudex</w:t>
      </w:r>
      <w:proofErr w:type="spellEnd"/>
      <w:r w:rsid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 xml:space="preserve"> </w:t>
      </w:r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e</w:t>
      </w:r>
      <w:r w:rsid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sto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]</w:t>
      </w:r>
    </w:p>
    <w:p w:rsidR="0061015F" w:rsidRPr="0061015F" w:rsidRDefault="0061015F" w:rsidP="0061015F">
      <w:pPr>
        <w:widowControl w:val="0"/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2) il nome, il cognome, la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18" w:tooltip="Dizionario Giuridico Ragionato: Residenz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residenza</w:t>
        </w:r>
      </w:hyperlink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e il codice fiscale dell’attore, il nome, il cognome, il codice fiscale, la residenza o il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19" w:tooltip="Dizionario Giuridico Ragionato: Domicilio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domicilio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o la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20" w:tooltip="Dizionario Giuridico Ragionato: Dimor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dimora</w:t>
        </w:r>
      </w:hyperlink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del convenuto e delle persone che rispettivamente li rappresentano o li assistono. Se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21" w:tooltip="Dizionario Giuridico Ragionato: Attore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attore</w:t>
        </w:r>
      </w:hyperlink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o </w:t>
      </w:r>
      <w:hyperlink r:id="rId22" w:tooltip="Dizionario Giuridico Ragionato: Convenuto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convenuto</w:t>
        </w:r>
      </w:hyperlink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è una </w:t>
      </w:r>
      <w:hyperlink r:id="rId23" w:tooltip="Dizionario Giuridico Ragionato: Persona giuridic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persona giuridica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un’</w:t>
      </w:r>
      <w:hyperlink r:id="rId24" w:tooltip="Dizionario Giuridico Ragionato: Associazione non riconosciut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associazione non riconosciuta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o un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25" w:tooltip="Dizionario Giuridico Ragionato: Comitato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comitato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la citazione deve contenere la denominazione o la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26" w:tooltip="Dizionario Giuridico Ragionato: Ditt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ditta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con l’indicazione dell’organo o ufficio che ne ha la rappresentanza in giudizio;</w:t>
      </w:r>
      <w:r w:rsidR="0019619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[</w:t>
      </w:r>
      <w:proofErr w:type="spellStart"/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Numerio</w:t>
      </w:r>
      <w:proofErr w:type="spellEnd"/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 xml:space="preserve"> </w:t>
      </w:r>
      <w:proofErr w:type="spellStart"/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Negidio</w:t>
      </w:r>
      <w:proofErr w:type="spellEnd"/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 xml:space="preserve"> 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 xml:space="preserve">e </w:t>
      </w:r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 xml:space="preserve">Aulo </w:t>
      </w:r>
      <w:proofErr w:type="spellStart"/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Agerio</w:t>
      </w:r>
      <w:proofErr w:type="spellEnd"/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]</w:t>
      </w:r>
    </w:p>
    <w:p w:rsidR="0061015F" w:rsidRPr="0061015F" w:rsidRDefault="0061015F" w:rsidP="0061015F">
      <w:pPr>
        <w:widowControl w:val="0"/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3) la determinazione</w:t>
      </w:r>
      <w:r w:rsidR="00D91CC5">
        <w:rPr>
          <w:rStyle w:val="Rimandonotaapidipagina"/>
          <w:rFonts w:ascii="Palatino Linotype" w:eastAsia="Times New Roman" w:hAnsi="Palatino Linotype" w:cs="Times New Roman"/>
          <w:sz w:val="24"/>
          <w:szCs w:val="24"/>
          <w:lang w:eastAsia="it-IT"/>
        </w:rPr>
        <w:footnoteReference w:id="2"/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della cosa oggetto della domanda;</w:t>
      </w:r>
      <w:r w:rsidR="0019619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[</w:t>
      </w:r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 xml:space="preserve">si </w:t>
      </w:r>
      <w:proofErr w:type="spellStart"/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>paret</w:t>
      </w:r>
      <w:proofErr w:type="spellEnd"/>
      <w:r w:rsidR="00196198" w:rsidRPr="00196198">
        <w:rPr>
          <w:rFonts w:ascii="Palatino Linotype" w:eastAsia="Times New Roman" w:hAnsi="Palatino Linotype" w:cs="Times New Roman"/>
          <w:smallCaps/>
          <w:color w:val="FF0000"/>
          <w:sz w:val="24"/>
          <w:szCs w:val="24"/>
          <w:lang w:eastAsia="it-IT"/>
        </w:rPr>
        <w:t xml:space="preserve"> …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]</w:t>
      </w:r>
    </w:p>
    <w:p w:rsidR="0061015F" w:rsidRPr="0061015F" w:rsidRDefault="0061015F" w:rsidP="0061015F">
      <w:pPr>
        <w:widowControl w:val="0"/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4) l’esposizione dei fatti e degli elementi di diritto costituenti le ragioni della domanda, con le relative conclusioni</w:t>
      </w:r>
      <w:r w:rsidR="00E56B9A">
        <w:rPr>
          <w:rStyle w:val="Rimandonotaapidipagina"/>
          <w:rFonts w:ascii="Palatino Linotype" w:eastAsia="Times New Roman" w:hAnsi="Palatino Linotype" w:cs="Times New Roman"/>
          <w:sz w:val="24"/>
          <w:szCs w:val="24"/>
          <w:lang w:eastAsia="it-IT"/>
        </w:rPr>
        <w:footnoteReference w:id="3"/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;</w:t>
      </w:r>
      <w:r w:rsidR="0019619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[</w:t>
      </w:r>
      <w:proofErr w:type="spellStart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praescriptiones</w:t>
      </w:r>
      <w:proofErr w:type="spellEnd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 xml:space="preserve"> et </w:t>
      </w:r>
      <w:proofErr w:type="spellStart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exceptiones</w:t>
      </w:r>
      <w:proofErr w:type="spellEnd"/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]</w:t>
      </w:r>
    </w:p>
    <w:p w:rsidR="0061015F" w:rsidRPr="0061015F" w:rsidRDefault="0061015F" w:rsidP="0061015F">
      <w:pPr>
        <w:widowControl w:val="0"/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5) l’indicazione specifica dei</w:t>
      </w:r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27" w:tooltip="Dizionario Giuridico Ragionato: Mezzi di prov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mezzi di prova</w:t>
        </w:r>
      </w:hyperlink>
      <w:r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dei quali l’attore intende valersi e in particolare dei documenti che offre in comunicazione;</w:t>
      </w:r>
      <w:r w:rsidR="0019619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[elementi che le parti si sono comunicate]</w:t>
      </w:r>
    </w:p>
    <w:p w:rsidR="0061015F" w:rsidRPr="0061015F" w:rsidRDefault="0061015F" w:rsidP="00741478">
      <w:pPr>
        <w:widowControl w:val="0"/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6) il nome e il cognome del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28" w:tooltip="Dizionario Giuridico Ragionato: Procuratore (in giudizio)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procuratore</w:t>
        </w:r>
      </w:hyperlink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e l’indicazione della procura, qualora questa sia stata già rilasciata;</w:t>
      </w:r>
      <w:r w:rsidR="0019619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[</w:t>
      </w:r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cognitor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 xml:space="preserve">, o </w:t>
      </w:r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procurator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 xml:space="preserve">, o </w:t>
      </w:r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defensor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 xml:space="preserve"> (ma ora solo con mandato difensivo)]</w:t>
      </w:r>
    </w:p>
    <w:p w:rsidR="0061015F" w:rsidRPr="0061015F" w:rsidRDefault="0061015F" w:rsidP="00741478">
      <w:pPr>
        <w:widowControl w:val="0"/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7) l’indicazione del giorno dell’</w:t>
      </w:r>
      <w:hyperlink r:id="rId29" w:tooltip="Dizionario Giuridico Ragionato: Udienz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udienza</w:t>
        </w:r>
      </w:hyperlink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di comparizione; l’invito al convenuto a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30" w:tooltip="Dizionario Giuridico Ragionato: Costituzione (in giudizio)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costituirsi</w:t>
        </w:r>
      </w:hyperlink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nel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31" w:tooltip="Dizionario Giuridico Ragionato: Termine (processuale)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termine</w:t>
        </w:r>
      </w:hyperlink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di venti giorni prima dell’udienza indicata ai sensi e nelle forme stabilite dall’articolo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32" w:tooltip="Costituzione del convenuto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166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ovvero di dieci giorni prima in caso di abbreviazione dei termini, e a comparire, nell’udienza indicata, dinanzi al giudice designato ai sensi dell’articolo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33" w:tooltip="Designazione del giudice istruttore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168</w:t>
        </w:r>
        <w:r w:rsidR="00741478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-</w:t>
        </w:r>
        <w:r w:rsidRPr="00196198">
          <w:rPr>
            <w:rFonts w:ascii="Palatino Linotype" w:eastAsia="Times New Roman" w:hAnsi="Palatino Linotype" w:cs="Times New Roman"/>
            <w:i/>
            <w:sz w:val="24"/>
            <w:szCs w:val="24"/>
            <w:bdr w:val="none" w:sz="0" w:space="0" w:color="auto" w:frame="1"/>
            <w:lang w:eastAsia="it-IT"/>
          </w:rPr>
          <w:t>bis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con l’avvertimento che la costituzione oltre i suddetti termini implica le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34" w:tooltip="Dizionario Giuridico Ragionato: Decadenz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decadenze</w:t>
        </w:r>
      </w:hyperlink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di cui agli artt.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35" w:tooltip="Incompetenz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38</w:t>
        </w:r>
      </w:hyperlink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e </w:t>
      </w:r>
      <w:hyperlink r:id="rId36" w:tooltip="Comparsa di risposta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167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.</w:t>
      </w:r>
      <w:r w:rsidR="0019619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[</w:t>
      </w:r>
      <w:proofErr w:type="spellStart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tibi</w:t>
      </w:r>
      <w:proofErr w:type="spellEnd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 xml:space="preserve"> </w:t>
      </w:r>
      <w:proofErr w:type="spellStart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condico</w:t>
      </w:r>
      <w:proofErr w:type="spellEnd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 xml:space="preserve"> = </w:t>
      </w:r>
      <w:proofErr w:type="spellStart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>vocatio</w:t>
      </w:r>
      <w:proofErr w:type="spellEnd"/>
      <w:r w:rsidR="00196198" w:rsidRPr="00196198">
        <w:rPr>
          <w:rFonts w:ascii="Palatino Linotype" w:eastAsia="Times New Roman" w:hAnsi="Palatino Linotype" w:cs="Times New Roman"/>
          <w:i/>
          <w:color w:val="FF0000"/>
          <w:sz w:val="24"/>
          <w:szCs w:val="24"/>
          <w:lang w:eastAsia="it-IT"/>
        </w:rPr>
        <w:t xml:space="preserve"> in ius</w:t>
      </w:r>
      <w:r w:rsidR="00196198" w:rsidRPr="00196198">
        <w:rPr>
          <w:rFonts w:ascii="Palatino Linotype" w:eastAsia="Times New Roman" w:hAnsi="Palatino Linotype" w:cs="Times New Roman"/>
          <w:color w:val="FF0000"/>
          <w:sz w:val="24"/>
          <w:szCs w:val="24"/>
          <w:lang w:eastAsia="it-IT"/>
        </w:rPr>
        <w:t>]</w:t>
      </w:r>
    </w:p>
    <w:p w:rsidR="00741478" w:rsidRPr="0061015F" w:rsidRDefault="0061015F" w:rsidP="00741478">
      <w:pPr>
        <w:widowControl w:val="0"/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Palatino Linotype" w:eastAsia="Times New Roman" w:hAnsi="Palatino Linotype" w:cs="Times New Roman"/>
          <w:sz w:val="24"/>
          <w:szCs w:val="24"/>
          <w:lang w:eastAsia="it-IT"/>
        </w:rPr>
      </w:pP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L’atto di citazione, sottoscritto a norma dell’articolo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37" w:tooltip="Contenuto e sottoscrizione degli atti di parte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125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è consegnato dalla parte o dal procuratore all’</w:t>
      </w:r>
      <w:hyperlink r:id="rId38" w:tooltip="Dizionario Giuridico Ragionato: Ufficiale giudiziario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ufficiale giudiziario</w:t>
        </w:r>
      </w:hyperlink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, il quale lo notifica a norma degli articoli</w:t>
      </w:r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hyperlink r:id="rId39" w:tooltip="Notificazioni" w:history="1">
        <w:r w:rsidRPr="0061015F">
          <w:rPr>
            <w:rFonts w:ascii="Palatino Linotype" w:eastAsia="Times New Roman" w:hAnsi="Palatino Linotype" w:cs="Times New Roman"/>
            <w:sz w:val="24"/>
            <w:szCs w:val="24"/>
            <w:bdr w:val="none" w:sz="0" w:space="0" w:color="auto" w:frame="1"/>
            <w:lang w:eastAsia="it-IT"/>
          </w:rPr>
          <w:t>137</w:t>
        </w:r>
      </w:hyperlink>
      <w:r w:rsidR="00741478">
        <w:rPr>
          <w:rFonts w:ascii="Palatino Linotype" w:eastAsia="Times New Roman" w:hAnsi="Palatino Linotype" w:cs="Times New Roman"/>
          <w:sz w:val="24"/>
          <w:szCs w:val="24"/>
          <w:lang w:eastAsia="it-IT"/>
        </w:rPr>
        <w:t xml:space="preserve"> </w:t>
      </w:r>
      <w:r w:rsidRPr="0061015F">
        <w:rPr>
          <w:rFonts w:ascii="Palatino Linotype" w:eastAsia="Times New Roman" w:hAnsi="Palatino Linotype" w:cs="Times New Roman"/>
          <w:sz w:val="24"/>
          <w:szCs w:val="24"/>
          <w:lang w:eastAsia="it-IT"/>
        </w:rPr>
        <w:t>e seguenti.</w:t>
      </w:r>
    </w:p>
    <w:sectPr w:rsidR="00741478" w:rsidRPr="0061015F" w:rsidSect="0061015F">
      <w:headerReference w:type="default" r:id="rId40"/>
      <w:footerReference w:type="default" r:id="rId41"/>
      <w:pgSz w:w="11906" w:h="16838" w:code="9"/>
      <w:pgMar w:top="1134" w:right="1134" w:bottom="1134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15F" w:rsidRDefault="0061015F" w:rsidP="0061015F">
      <w:pPr>
        <w:spacing w:after="0" w:line="240" w:lineRule="auto"/>
      </w:pPr>
      <w:r>
        <w:separator/>
      </w:r>
    </w:p>
  </w:endnote>
  <w:endnote w:type="continuationSeparator" w:id="0">
    <w:p w:rsidR="0061015F" w:rsidRDefault="0061015F" w:rsidP="0061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5934468"/>
      <w:docPartObj>
        <w:docPartGallery w:val="Page Numbers (Bottom of Page)"/>
        <w:docPartUnique/>
      </w:docPartObj>
    </w:sdtPr>
    <w:sdtEndPr/>
    <w:sdtContent>
      <w:p w:rsidR="0061015F" w:rsidRDefault="0061015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D09">
          <w:rPr>
            <w:noProof/>
          </w:rPr>
          <w:t>1</w:t>
        </w:r>
        <w:r>
          <w:fldChar w:fldCharType="end"/>
        </w:r>
      </w:p>
    </w:sdtContent>
  </w:sdt>
  <w:p w:rsidR="0061015F" w:rsidRDefault="0061015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15F" w:rsidRDefault="0061015F" w:rsidP="0061015F">
      <w:pPr>
        <w:spacing w:after="0" w:line="240" w:lineRule="auto"/>
      </w:pPr>
      <w:r>
        <w:separator/>
      </w:r>
    </w:p>
  </w:footnote>
  <w:footnote w:type="continuationSeparator" w:id="0">
    <w:p w:rsidR="0061015F" w:rsidRDefault="0061015F" w:rsidP="0061015F">
      <w:pPr>
        <w:spacing w:after="0" w:line="240" w:lineRule="auto"/>
      </w:pPr>
      <w:r>
        <w:continuationSeparator/>
      </w:r>
    </w:p>
  </w:footnote>
  <w:footnote w:id="1">
    <w:p w:rsidR="008B6F85" w:rsidRPr="00390FF1" w:rsidRDefault="008B6F85" w:rsidP="008B6F85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390FF1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390FF1">
        <w:rPr>
          <w:rFonts w:ascii="Palatino Linotype" w:hAnsi="Palatino Linotype"/>
          <w:sz w:val="18"/>
          <w:szCs w:val="18"/>
        </w:rPr>
        <w:t xml:space="preserve"> “Fissa” nel senso di fissata lì per lì dall’attore</w:t>
      </w:r>
      <w:r>
        <w:rPr>
          <w:rFonts w:ascii="Palatino Linotype" w:hAnsi="Palatino Linotype"/>
          <w:sz w:val="18"/>
          <w:szCs w:val="18"/>
        </w:rPr>
        <w:t>, sebbene poi si trasformi in quella del calendario di udienze</w:t>
      </w:r>
      <w:r w:rsidRPr="00390FF1"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>del Giudice</w:t>
      </w:r>
      <w:r w:rsidRPr="00390FF1"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 xml:space="preserve">designato </w:t>
      </w:r>
      <w:r w:rsidRPr="00390FF1">
        <w:rPr>
          <w:rFonts w:ascii="Palatino Linotype" w:hAnsi="Palatino Linotype"/>
          <w:sz w:val="18"/>
          <w:szCs w:val="18"/>
        </w:rPr>
        <w:t xml:space="preserve">dall’Ufficio </w:t>
      </w:r>
      <w:proofErr w:type="spellStart"/>
      <w:r w:rsidRPr="00390FF1">
        <w:rPr>
          <w:rFonts w:ascii="Palatino Linotype" w:hAnsi="Palatino Linotype"/>
          <w:sz w:val="18"/>
          <w:szCs w:val="18"/>
        </w:rPr>
        <w:t>adìto</w:t>
      </w:r>
      <w:proofErr w:type="spellEnd"/>
      <w:r w:rsidRPr="00390FF1">
        <w:rPr>
          <w:rFonts w:ascii="Palatino Linotype" w:hAnsi="Palatino Linotype"/>
          <w:sz w:val="18"/>
          <w:szCs w:val="18"/>
        </w:rPr>
        <w:t>.</w:t>
      </w:r>
    </w:p>
  </w:footnote>
  <w:footnote w:id="2">
    <w:p w:rsidR="00D91CC5" w:rsidRPr="00390FF1" w:rsidRDefault="00D91CC5" w:rsidP="00390FF1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390FF1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390FF1">
        <w:rPr>
          <w:rFonts w:ascii="Palatino Linotype" w:hAnsi="Palatino Linotype"/>
          <w:sz w:val="18"/>
          <w:szCs w:val="18"/>
        </w:rPr>
        <w:t xml:space="preserve"> Notare il “determinazione”, che concorre con la determinazione che si avrà con della </w:t>
      </w:r>
      <w:r w:rsidRPr="00390FF1">
        <w:rPr>
          <w:rFonts w:ascii="Palatino Linotype" w:hAnsi="Palatino Linotype"/>
          <w:i/>
          <w:sz w:val="18"/>
          <w:szCs w:val="18"/>
        </w:rPr>
        <w:t>litis contestatio</w:t>
      </w:r>
      <w:r w:rsidRPr="00390FF1">
        <w:rPr>
          <w:rFonts w:ascii="Palatino Linotype" w:hAnsi="Palatino Linotype"/>
          <w:sz w:val="18"/>
          <w:szCs w:val="18"/>
        </w:rPr>
        <w:t>.</w:t>
      </w:r>
    </w:p>
  </w:footnote>
  <w:footnote w:id="3">
    <w:p w:rsidR="00E56B9A" w:rsidRPr="00390FF1" w:rsidRDefault="00E56B9A" w:rsidP="00390FF1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390FF1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390FF1">
        <w:rPr>
          <w:rFonts w:ascii="Palatino Linotype" w:hAnsi="Palatino Linotype"/>
          <w:sz w:val="18"/>
          <w:szCs w:val="18"/>
        </w:rPr>
        <w:t xml:space="preserve"> Altro tema teso alla determinazione dell’oggetto della domanda.</w:t>
      </w:r>
      <w:r w:rsidR="00920D57" w:rsidRPr="00390FF1">
        <w:rPr>
          <w:rFonts w:ascii="Palatino Linotype" w:hAnsi="Palatino Linotype"/>
          <w:sz w:val="18"/>
          <w:szCs w:val="18"/>
        </w:rPr>
        <w:t xml:space="preserve"> </w:t>
      </w:r>
      <w:proofErr w:type="gramStart"/>
      <w:r w:rsidR="00920D57" w:rsidRPr="00390FF1">
        <w:rPr>
          <w:rFonts w:ascii="Palatino Linotype" w:hAnsi="Palatino Linotype"/>
          <w:sz w:val="18"/>
          <w:szCs w:val="18"/>
        </w:rPr>
        <w:t>E’</w:t>
      </w:r>
      <w:proofErr w:type="gramEnd"/>
      <w:r w:rsidR="00920D57" w:rsidRPr="00390FF1">
        <w:rPr>
          <w:rFonts w:ascii="Palatino Linotype" w:hAnsi="Palatino Linotype"/>
          <w:sz w:val="18"/>
          <w:szCs w:val="18"/>
        </w:rPr>
        <w:t xml:space="preserve"> abbandonata [già da età giustinianea] la necessità di indicare l’azione che si chiede con il suo nome, co</w:t>
      </w:r>
      <w:r w:rsidR="00086BBD" w:rsidRPr="00390FF1">
        <w:rPr>
          <w:rFonts w:ascii="Palatino Linotype" w:hAnsi="Palatino Linotype"/>
          <w:sz w:val="18"/>
          <w:szCs w:val="18"/>
        </w:rPr>
        <w:t xml:space="preserve">sa di cui rimane traccia </w:t>
      </w:r>
      <w:r w:rsidR="00920D57" w:rsidRPr="00390FF1">
        <w:rPr>
          <w:rFonts w:ascii="Palatino Linotype" w:hAnsi="Palatino Linotype"/>
          <w:sz w:val="18"/>
          <w:szCs w:val="18"/>
        </w:rPr>
        <w:t xml:space="preserve">ancora in D. 2, 14, 1, 4 e D. 2, 14, 7, 1. La ragione </w:t>
      </w:r>
      <w:r w:rsidR="009E035F" w:rsidRPr="00390FF1">
        <w:rPr>
          <w:rFonts w:ascii="Palatino Linotype" w:hAnsi="Palatino Linotype"/>
          <w:sz w:val="18"/>
          <w:szCs w:val="18"/>
        </w:rPr>
        <w:t xml:space="preserve">era </w:t>
      </w:r>
      <w:r w:rsidR="00920D57" w:rsidRPr="00390FF1">
        <w:rPr>
          <w:rFonts w:ascii="Palatino Linotype" w:hAnsi="Palatino Linotype"/>
          <w:sz w:val="18"/>
          <w:szCs w:val="18"/>
        </w:rPr>
        <w:t>sor</w:t>
      </w:r>
      <w:r w:rsidR="009E035F" w:rsidRPr="00390FF1">
        <w:rPr>
          <w:rFonts w:ascii="Palatino Linotype" w:hAnsi="Palatino Linotype"/>
          <w:sz w:val="18"/>
          <w:szCs w:val="18"/>
        </w:rPr>
        <w:t xml:space="preserve">ta </w:t>
      </w:r>
      <w:r w:rsidR="00920D57" w:rsidRPr="00390FF1">
        <w:rPr>
          <w:rFonts w:ascii="Palatino Linotype" w:hAnsi="Palatino Linotype"/>
          <w:sz w:val="18"/>
          <w:szCs w:val="18"/>
        </w:rPr>
        <w:t>con i contratti innominati, come si vede in D. 19, 5, 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5F" w:rsidRPr="00A17D09" w:rsidRDefault="0061015F" w:rsidP="0061015F">
    <w:pPr>
      <w:pStyle w:val="Intestazione"/>
      <w:jc w:val="right"/>
      <w:rPr>
        <w:rFonts w:ascii="Palatino Linotype" w:hAnsi="Palatino Linotype"/>
        <w:b/>
        <w:sz w:val="20"/>
        <w:szCs w:val="20"/>
      </w:rPr>
    </w:pPr>
    <w:proofErr w:type="spellStart"/>
    <w:r w:rsidRPr="00A17D09">
      <w:rPr>
        <w:rFonts w:ascii="Palatino Linotype" w:hAnsi="Palatino Linotype"/>
        <w:b/>
        <w:sz w:val="20"/>
        <w:szCs w:val="20"/>
      </w:rPr>
      <w:t>C.p.c.</w:t>
    </w:r>
    <w:proofErr w:type="spellEnd"/>
    <w:r w:rsidRPr="00A17D09">
      <w:rPr>
        <w:rFonts w:ascii="Palatino Linotype" w:hAnsi="Palatino Linotype"/>
        <w:b/>
        <w:sz w:val="20"/>
        <w:szCs w:val="20"/>
      </w:rPr>
      <w:t xml:space="preserve"> art. 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B1F"/>
    <w:multiLevelType w:val="multilevel"/>
    <w:tmpl w:val="421C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07DF2"/>
    <w:multiLevelType w:val="multilevel"/>
    <w:tmpl w:val="E548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5F"/>
    <w:rsid w:val="00086BBD"/>
    <w:rsid w:val="00196198"/>
    <w:rsid w:val="00390FF1"/>
    <w:rsid w:val="003D134A"/>
    <w:rsid w:val="00562FD9"/>
    <w:rsid w:val="0061015F"/>
    <w:rsid w:val="00741478"/>
    <w:rsid w:val="008B6F85"/>
    <w:rsid w:val="00920D57"/>
    <w:rsid w:val="009E035F"/>
    <w:rsid w:val="00A17D09"/>
    <w:rsid w:val="00D00D67"/>
    <w:rsid w:val="00D91CC5"/>
    <w:rsid w:val="00E5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4AA8"/>
  <w15:chartTrackingRefBased/>
  <w15:docId w15:val="{7CFD47ED-C12D-46C1-92D0-35669870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101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101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015F"/>
  </w:style>
  <w:style w:type="paragraph" w:styleId="Pidipagina">
    <w:name w:val="footer"/>
    <w:basedOn w:val="Normale"/>
    <w:link w:val="PidipaginaCarattere"/>
    <w:uiPriority w:val="99"/>
    <w:unhideWhenUsed/>
    <w:rsid w:val="006101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015F"/>
  </w:style>
  <w:style w:type="character" w:customStyle="1" w:styleId="Titolo2Carattere">
    <w:name w:val="Titolo 2 Carattere"/>
    <w:basedOn w:val="Carpredefinitoparagrafo"/>
    <w:link w:val="Titolo2"/>
    <w:uiPriority w:val="9"/>
    <w:rsid w:val="0061015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1015F"/>
    <w:rPr>
      <w:color w:val="0000FF"/>
      <w:u w:val="single"/>
    </w:rPr>
  </w:style>
  <w:style w:type="character" w:customStyle="1" w:styleId="postauthor">
    <w:name w:val="post_author"/>
    <w:basedOn w:val="Carpredefinitoparagrafo"/>
    <w:rsid w:val="0061015F"/>
  </w:style>
  <w:style w:type="paragraph" w:customStyle="1" w:styleId="articolo">
    <w:name w:val="articolo"/>
    <w:basedOn w:val="Normale"/>
    <w:rsid w:val="0061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comma">
    <w:name w:val="comma"/>
    <w:basedOn w:val="Normale"/>
    <w:rsid w:val="0061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91CC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91CC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91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66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64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vvocato.it/dizionario-giuridico-ragionato-3782" TargetMode="External"/><Relationship Id="rId18" Type="http://schemas.openxmlformats.org/officeDocument/2006/relationships/hyperlink" Target="https://www.avvocato.it/dizionario-giuridico-ragionato-3615" TargetMode="External"/><Relationship Id="rId26" Type="http://schemas.openxmlformats.org/officeDocument/2006/relationships/hyperlink" Target="https://www.avvocato.it/dizionario-giuridico-ragionato-3055" TargetMode="External"/><Relationship Id="rId39" Type="http://schemas.openxmlformats.org/officeDocument/2006/relationships/hyperlink" Target="https://www.avvocato.it/codice-di-procedura-civile-libro-primo-titolo-vi-capo-i-sezione-iv-art137" TargetMode="External"/><Relationship Id="rId21" Type="http://schemas.openxmlformats.org/officeDocument/2006/relationships/hyperlink" Target="https://www.avvocato.it/dizionario-giuridico-ragionato-3147" TargetMode="External"/><Relationship Id="rId34" Type="http://schemas.openxmlformats.org/officeDocument/2006/relationships/hyperlink" Target="https://www.avvocato.it/dizionario-giuridico-ragionato-3776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vvocato.it/dizionario-giuridico-ragionato-3781" TargetMode="External"/><Relationship Id="rId20" Type="http://schemas.openxmlformats.org/officeDocument/2006/relationships/hyperlink" Target="https://www.avvocato.it/dizionario-giuridico-ragionato-3617" TargetMode="External"/><Relationship Id="rId29" Type="http://schemas.openxmlformats.org/officeDocument/2006/relationships/hyperlink" Target="https://www.avvocato.it/dizionario-giuridico-ragionato-5889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vvocato.it/codice-di-procedura-civile-libro-secondo-titolo-i-capo-i-sezione-i/" TargetMode="External"/><Relationship Id="rId24" Type="http://schemas.openxmlformats.org/officeDocument/2006/relationships/hyperlink" Target="https://www.avvocato.it/dizionario-giuridico-ragionato-643" TargetMode="External"/><Relationship Id="rId32" Type="http://schemas.openxmlformats.org/officeDocument/2006/relationships/hyperlink" Target="https://www.avvocato.it/codice-di-procedura-civile-libro-secondo-titolo-i-capo-i-sezione-i-art166" TargetMode="External"/><Relationship Id="rId37" Type="http://schemas.openxmlformats.org/officeDocument/2006/relationships/hyperlink" Target="https://www.avvocato.it/codice-di-procedura-civile-libro-primo-titolo-vi-capo-i-sezione-i-art125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avvocato.it/dizionario-giuridico-ragionato-3783" TargetMode="External"/><Relationship Id="rId23" Type="http://schemas.openxmlformats.org/officeDocument/2006/relationships/hyperlink" Target="https://www.avvocato.it/dizionario-giuridico-ragionato-3618" TargetMode="External"/><Relationship Id="rId28" Type="http://schemas.openxmlformats.org/officeDocument/2006/relationships/hyperlink" Target="https://www.avvocato.it/dizionario-giuridico-ragionato-3676" TargetMode="External"/><Relationship Id="rId36" Type="http://schemas.openxmlformats.org/officeDocument/2006/relationships/hyperlink" Target="https://www.avvocato.it/codice-di-procedura-civile-libro-secondo-titolo-i-capo-i-sezione-i-art167" TargetMode="External"/><Relationship Id="rId10" Type="http://schemas.openxmlformats.org/officeDocument/2006/relationships/hyperlink" Target="https://www.avvocato.it/codice-di-procedura-civile-libro-secondo-titolo-i-capo-i/" TargetMode="External"/><Relationship Id="rId19" Type="http://schemas.openxmlformats.org/officeDocument/2006/relationships/hyperlink" Target="https://www.avvocato.it/dizionario-giuridico-ragionato-1865" TargetMode="External"/><Relationship Id="rId31" Type="http://schemas.openxmlformats.org/officeDocument/2006/relationships/hyperlink" Target="https://www.avvocato.it/dizionario-giuridico-ragionato-37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vocato.it/codice-di-procedura-civile-libro-secondo-titolo-i/" TargetMode="External"/><Relationship Id="rId14" Type="http://schemas.openxmlformats.org/officeDocument/2006/relationships/hyperlink" Target="https://www.avvocato.it/dizionario-giuridico-ragionato-3764" TargetMode="External"/><Relationship Id="rId22" Type="http://schemas.openxmlformats.org/officeDocument/2006/relationships/hyperlink" Target="https://www.avvocato.it/dizionario-giuridico-ragionato-3785" TargetMode="External"/><Relationship Id="rId27" Type="http://schemas.openxmlformats.org/officeDocument/2006/relationships/hyperlink" Target="https://www.avvocato.it/dizionario-giuridico-ragionato-3812" TargetMode="External"/><Relationship Id="rId30" Type="http://schemas.openxmlformats.org/officeDocument/2006/relationships/hyperlink" Target="https://www.avvocato.it/dizionario-giuridico-ragionato-3787" TargetMode="External"/><Relationship Id="rId35" Type="http://schemas.openxmlformats.org/officeDocument/2006/relationships/hyperlink" Target="https://www.avvocato.it/codice-di-procedura-civile-libro-primo-titolo-i-capo-i-sezione-v-art38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avvocato.it/codice-di-procedura-civile-libro-second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vvocato.it/dizionario-giuridico-ragionato-3724" TargetMode="External"/><Relationship Id="rId17" Type="http://schemas.openxmlformats.org/officeDocument/2006/relationships/hyperlink" Target="https://www.avvocato.it/dizionario-giuridico-ragionato-3582" TargetMode="External"/><Relationship Id="rId25" Type="http://schemas.openxmlformats.org/officeDocument/2006/relationships/hyperlink" Target="https://www.avvocato.it/dizionario-giuridico-ragionato-3621" TargetMode="External"/><Relationship Id="rId33" Type="http://schemas.openxmlformats.org/officeDocument/2006/relationships/hyperlink" Target="https://www.avvocato.it/codice-di-procedura-civile-libro-secondo-titolo-i-capo-i-sezione-i-art168bis" TargetMode="External"/><Relationship Id="rId38" Type="http://schemas.openxmlformats.org/officeDocument/2006/relationships/hyperlink" Target="https://www.avvocato.it/dizionario-giuridico-ragionato-368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90187-8EF3-46CB-8ADD-CA43185B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Fascione</dc:creator>
  <cp:keywords/>
  <dc:description/>
  <cp:lastModifiedBy>Lorenzo Fascione</cp:lastModifiedBy>
  <cp:revision>13</cp:revision>
  <dcterms:created xsi:type="dcterms:W3CDTF">2021-10-27T09:56:00Z</dcterms:created>
  <dcterms:modified xsi:type="dcterms:W3CDTF">2022-03-04T15:38:00Z</dcterms:modified>
</cp:coreProperties>
</file>