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Mariner Completion Checklist</w:t>
      </w:r>
    </w:p>
    <w:p>
      <w:pPr>
        <w:pStyle w:val="Subtitle"/>
      </w:pPr>
      <w:r>
        <w:t>Sale of the Seabrook Quay Hotel business and assets</w:t>
      </w:r>
    </w:p>
    <w:p>
      <w:r>
        <w:t>Working version 7 | 27 May 2026 | Proposed completion 2 June 2026</w:t>
        <w:br/>
        <w:t>Prepared for Northpoint Hospitality Limited | Client internal copy</w:t>
      </w:r>
    </w:p>
    <w:p>
      <w:pPr>
        <w:spacing w:after="160"/>
      </w:pPr>
      <w:r>
        <w:t>SLL  Seabrook Leisure Limited (seller)    NPH  Northpoint Hospitality Limited (buyer)</w:t>
        <w:br/>
        <w:t>WL  Wrenfield Legal LLP (buyer solicitors)    BP  Bellport Partners (seller solicitors)</w:t>
      </w:r>
    </w:p>
    <w:p>
      <w:r>
        <w:t>Fictional specimen for house-style reference only. Matter-specific entries are not a precedent list of required deliverables.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648"/>
        <w:gridCol w:w="4752"/>
        <w:gridCol w:w="1800"/>
        <w:gridCol w:w="2232"/>
        <w:gridCol w:w="1440"/>
        <w:gridCol w:w="1296"/>
        <w:gridCol w:w="1944"/>
      </w:tblGrid>
      <w:tr>
        <w:trPr>
          <w:tblHeader/>
        </w:trPr>
        <w:tc>
          <w:tcPr>
            <w:tcW w:type="dxa" w:w="648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Ref</w:t>
            </w:r>
          </w:p>
        </w:tc>
        <w:tc>
          <w:tcPr>
            <w:tcW w:type="dxa" w:w="4752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Document or action</w:t>
            </w:r>
          </w:p>
        </w:tc>
        <w:tc>
          <w:tcPr>
            <w:tcW w:type="dxa" w:w="1800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232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440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296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44"/>
            <w:shd w:fill="243746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b/>
                <w:color w:val="FFFFFF"/>
                <w:sz w:val="18"/>
              </w:rPr>
              <w:t>Internal notes</w:t>
            </w:r>
          </w:p>
        </w:tc>
      </w:tr>
      <w:tr>
        <w:tc>
          <w:tcPr>
            <w:tcW w:type="dxa" w:w="14112"/>
            <w:gridSpan w:val="7"/>
            <w:shd w:fill="DCE6EE"/>
            <w:vAlign w:val="center"/>
          </w:tcPr>
          <w:p>
            <w:pPr>
              <w:keepNext/>
              <w:spacing w:after="60" w:before="60"/>
            </w:pPr>
            <w:r>
              <w:rPr>
                <w:rFonts w:ascii="Cambria" w:hAnsi="Cambria"/>
                <w:b/>
                <w:sz w:val="18"/>
              </w:rPr>
              <w:t>A Before signing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A.1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Agree the scope of the hotel assets and excluded equipment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Both parties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Before exchange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sch 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Complete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Keep the Seller's antique launch outside the sale perimeter.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A.2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Confirm client authority for the £175,000 price retention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NPH / WL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Before exchange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Client instruction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Complete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Client will not increase the retention without investment committee approval.</w:t>
            </w:r>
          </w:p>
        </w:tc>
      </w:tr>
      <w:tr>
        <w:tc>
          <w:tcPr>
            <w:tcW w:type="dxa" w:w="14112"/>
            <w:gridSpan w:val="7"/>
            <w:shd w:fill="DCE6EE"/>
            <w:vAlign w:val="center"/>
          </w:tcPr>
          <w:p>
            <w:pPr>
              <w:keepNext/>
              <w:spacing w:after="60" w:before="60"/>
            </w:pPr>
            <w:r>
              <w:rPr>
                <w:rFonts w:ascii="Cambria" w:hAnsi="Cambria"/>
                <w:b/>
                <w:sz w:val="18"/>
              </w:rPr>
              <w:t>B Signing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B.1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Execute and exchange the asset purchase agreement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NPH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On exchange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3.1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Complete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Exchanged at 16:20 on 14 May 2026.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B.2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Pay the contractual deposit to the stakeholder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NPH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On exchange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3.2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Complete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Deposit receipt held on Mariner finance file.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B.3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Deliver the disclosure letter and receipt acknowledgement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NPH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On exchange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3.3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Complete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Seller resisted disclosure of the service lift report; now attached.</w:t>
            </w:r>
          </w:p>
        </w:tc>
      </w:tr>
      <w:tr>
        <w:tc>
          <w:tcPr>
            <w:tcW w:type="dxa" w:w="14112"/>
            <w:gridSpan w:val="7"/>
            <w:shd w:fill="DCE6EE"/>
            <w:vAlign w:val="center"/>
          </w:tcPr>
          <w:p>
            <w:pPr>
              <w:keepNext/>
              <w:spacing w:after="60" w:before="60"/>
            </w:pPr>
            <w:r>
              <w:rPr>
                <w:rFonts w:ascii="Cambria" w:hAnsi="Cambria"/>
                <w:b/>
                <w:sz w:val="18"/>
              </w:rPr>
              <w:t>C Before completion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C.1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Obtain the landlord's licence to assign the hotel lease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BP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Before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4.1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In progress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Landlord's counsel awaits the Northpoint parent accounts.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C.2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Agree apportionments for bookings and advance room deposits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NPH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3 Business Days before completion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5.2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In progress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Check the £22,400 coach-party deposit against booking ledger.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C.3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Deliver the agreed employee information and consultation record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5 Business Days before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6.4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Awaiting draft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Employment team reviewing the night-manager arrangements.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C.4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Agree the catering supplier novation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NPH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Before completion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sch 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In progress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Do not accept the revised minimum-spend commitment without client approval.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C.5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Confirm buyer property-insurance cover and handover contacts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NPH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Before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7.2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To confirm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Broker to confirm cover from actual handover, not proposed date.</w:t>
            </w:r>
          </w:p>
        </w:tc>
      </w:tr>
      <w:tr>
        <w:tc>
          <w:tcPr>
            <w:tcW w:type="dxa" w:w="14112"/>
            <w:gridSpan w:val="7"/>
            <w:shd w:fill="DCE6EE"/>
            <w:vAlign w:val="center"/>
          </w:tcPr>
          <w:p>
            <w:pPr>
              <w:keepNext/>
              <w:spacing w:after="60" w:before="60"/>
            </w:pPr>
            <w:r>
              <w:rPr>
                <w:rFonts w:ascii="Cambria" w:hAnsi="Cambria"/>
                <w:b/>
                <w:sz w:val="18"/>
              </w:rPr>
              <w:t>D Completion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D.1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Execute the lease assignment and release the licence to assign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NPH / BP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At completion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sch 4 para 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Awaiting signature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Use engrossment dated 26 May only.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D.2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Pay the balance of consideration and agreed apportionments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NPH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At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7.3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Not started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Retain £175,000 under the agreed stakeholder arrangement.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D.3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Deliver keys and signed inventory for the 42-bedroom hotel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After funds receipt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sch 4 para 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To confirm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Site manager to photograph meter readings and damaged kitchen panels.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D.4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Release the catering novation and assign transferable bookings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NPH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At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sch 4 para 4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Awaiting signature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Wedding booking M26-014 remains subject to the separate customer consent.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D.5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Confirm completion and authorise the staff announcement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WL / BP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After release of documents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7.5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Not started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Do not send the announcement while licence release is outstanding.</w:t>
            </w:r>
          </w:p>
        </w:tc>
      </w:tr>
      <w:tr>
        <w:tc>
          <w:tcPr>
            <w:tcW w:type="dxa" w:w="14112"/>
            <w:gridSpan w:val="7"/>
            <w:shd w:fill="DCE6EE"/>
            <w:vAlign w:val="center"/>
          </w:tcPr>
          <w:p>
            <w:pPr>
              <w:keepNext/>
              <w:spacing w:after="60" w:before="60"/>
            </w:pPr>
            <w:r>
              <w:rPr>
                <w:rFonts w:ascii="Cambria" w:hAnsi="Cambria"/>
                <w:b/>
                <w:sz w:val="18"/>
              </w:rPr>
              <w:t>E After completion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E.1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Deliver the final apportionment reconciliation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10 Business Days after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8.1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Not started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Review minibar stock separately from ordinary operating supplies.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E.2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Submit the agreed lease registration application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WL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Within applicable filing period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8.3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To confirm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Property team to confirm the statutory timetable for this lease.</w:t>
            </w:r>
          </w:p>
        </w:tc>
      </w:tr>
      <w:tr>
        <w:trPr>
          <w:cantSplit/>
        </w:trPr>
        <w:tc>
          <w:tcPr>
            <w:tcW w:type="dxa" w:w="648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E.3</w:t>
            </w:r>
          </w:p>
        </w:tc>
        <w:tc>
          <w:tcPr>
            <w:tcW w:type="dxa" w:w="475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Obtain the missing refrigeration maintenance records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SLL / BP</w:t>
            </w:r>
          </w:p>
        </w:tc>
        <w:tc>
          <w:tcPr>
            <w:tcW w:type="dxa" w:w="2232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20 calendar days after completion</w:t>
            </w:r>
          </w:p>
        </w:tc>
        <w:tc>
          <w:tcPr>
            <w:tcW w:type="dxa" w:w="1440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8.5</w:t>
            </w:r>
          </w:p>
        </w:tc>
        <w:tc>
          <w:tcPr>
            <w:tcW w:type="dxa" w:w="1296"/>
            <w:shd w:fill="F3F5F7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Not started</w:t>
            </w:r>
          </w:p>
        </w:tc>
        <w:tc>
          <w:tcPr>
            <w:tcW w:type="dxa" w:w="1944"/>
            <w:shd w:fill="F3F5F7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Client has asked for the original contractor service history.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E.4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Review release of the price retention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NPH / SLL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6 months after completion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APA cl 9.2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mbria" w:hAnsi="Cambria"/>
                <w:sz w:val="18"/>
              </w:rPr>
              <w:t>Not started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rFonts w:ascii="Cambria" w:hAnsi="Cambria"/>
                <w:sz w:val="18"/>
              </w:rPr>
              <w:t>Release depends on the agreed roof-work evidence, not passage of time alone.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5840" w:h="12240" w:orient="landscape"/>
      <w:pgMar w:top="1008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WRENFIELD LEGAL LLP                                      MARINER 26 041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Cambria" w:hAnsi="Cambri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cstheme="majorBidi" w:ascii="Cambria" w:hAnsi="Cambria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cstheme="majorBidi" w:ascii="Cambria" w:hAnsi="Cambria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cstheme="majorBidi" w:ascii="Cambria" w:hAnsi="Cambria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Cambria" w:hAnsi="Cambri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Mariner Completion Checklist</dc:title>
  <dc:subject/>
  <dc:creator>Wrenfield Legal LLP fictional firm</dc:creator>
  <cp:keywords/>
  <dc:description>Fictional materials for manual testing only</dc:description>
  <cp:lastModifiedBy>Fictional transaction test materials</cp:lastModifiedBy>
  <cp:revision>1</cp:revision>
  <dcterms:created xsi:type="dcterms:W3CDTF">2013-12-23T23:15:00Z</dcterms:created>
  <dcterms:modified xsi:type="dcterms:W3CDTF">2013-12-23T23:15:00Z</dcterms:modified>
  <cp:category/>
</cp:coreProperties>
</file>