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76" w:rsidRPr="00252E97" w:rsidRDefault="00B53D95" w:rsidP="000E4E76">
      <w:pPr>
        <w:pStyle w:val="ListParagraph"/>
        <w:numPr>
          <w:ilvl w:val="0"/>
          <w:numId w:val="1"/>
        </w:numPr>
        <w:jc w:val="both"/>
        <w:rPr>
          <w:b/>
          <w:color w:val="548DD4" w:themeColor="text2" w:themeTint="99"/>
        </w:rPr>
      </w:pPr>
      <w:r>
        <w:rPr>
          <w:b/>
          <w:color w:val="548DD4" w:themeColor="text2" w:themeTint="99"/>
        </w:rPr>
        <w:t xml:space="preserve">Govt. </w:t>
      </w:r>
      <w:r w:rsidR="009A6C1F" w:rsidRPr="00252E97">
        <w:rPr>
          <w:b/>
          <w:color w:val="548DD4" w:themeColor="text2" w:themeTint="99"/>
        </w:rPr>
        <w:t>Compliance</w:t>
      </w:r>
    </w:p>
    <w:p w:rsidR="009A6C1F" w:rsidRPr="002F66FA" w:rsidRDefault="009A6C1F" w:rsidP="002F66FA">
      <w:pPr>
        <w:pStyle w:val="ListParagraph"/>
        <w:numPr>
          <w:ilvl w:val="1"/>
          <w:numId w:val="1"/>
        </w:numPr>
        <w:jc w:val="both"/>
        <w:rPr>
          <w:b/>
        </w:rPr>
      </w:pPr>
      <w:bookmarkStart w:id="0" w:name="_GoBack"/>
      <w:bookmarkEnd w:id="0"/>
      <w:r w:rsidRPr="002F66FA">
        <w:rPr>
          <w:b/>
          <w:color w:val="C00000"/>
        </w:rPr>
        <w:t>Corporate Filings</w:t>
      </w:r>
    </w:p>
    <w:p w:rsidR="009A6C1F" w:rsidRPr="00252E97" w:rsidRDefault="009A6C1F" w:rsidP="004522C5">
      <w:pPr>
        <w:pStyle w:val="ListParagraph"/>
        <w:numPr>
          <w:ilvl w:val="2"/>
          <w:numId w:val="11"/>
        </w:numPr>
        <w:jc w:val="both"/>
        <w:rPr>
          <w:b/>
        </w:rPr>
      </w:pPr>
      <w:r w:rsidRPr="00252E97">
        <w:rPr>
          <w:b/>
        </w:rPr>
        <w:t>Charge Management</w:t>
      </w:r>
      <w:r w:rsidR="008E5100">
        <w:rPr>
          <w:b/>
        </w:rPr>
        <w:t>:</w:t>
      </w:r>
    </w:p>
    <w:p w:rsidR="009A6C1F" w:rsidRPr="00252E97" w:rsidRDefault="009A6C1F" w:rsidP="004522C5">
      <w:pPr>
        <w:pStyle w:val="ListParagraph"/>
        <w:numPr>
          <w:ilvl w:val="3"/>
          <w:numId w:val="11"/>
        </w:numPr>
        <w:jc w:val="both"/>
        <w:rPr>
          <w:b/>
        </w:rPr>
      </w:pPr>
      <w:r w:rsidRPr="00252E97">
        <w:rPr>
          <w:b/>
        </w:rPr>
        <w:t>Basic information:</w:t>
      </w:r>
    </w:p>
    <w:p w:rsidR="009A6C1F" w:rsidRPr="00252E97" w:rsidRDefault="009A6C1F" w:rsidP="009A6C1F">
      <w:pPr>
        <w:pStyle w:val="ListParagraph"/>
        <w:ind w:left="1440"/>
        <w:jc w:val="both"/>
        <w:rPr>
          <w:rFonts w:cs="Helvetica"/>
        </w:rPr>
      </w:pPr>
      <w:r w:rsidRPr="00252E97">
        <w:rPr>
          <w:rFonts w:cs="Helvetica"/>
        </w:rPr>
        <w:t>Charge is a type of security created on the prop</w:t>
      </w:r>
      <w:r w:rsidR="00D9565A">
        <w:rPr>
          <w:rFonts w:cs="Helvetica"/>
        </w:rPr>
        <w:t>erty of the company as security</w:t>
      </w:r>
      <w:r w:rsidRPr="00252E97">
        <w:rPr>
          <w:rFonts w:cs="Helvetica"/>
        </w:rPr>
        <w:t>. It can be fixed charge that is on imm</w:t>
      </w:r>
      <w:r w:rsidR="00D9565A">
        <w:rPr>
          <w:rFonts w:cs="Helvetica"/>
        </w:rPr>
        <w:t xml:space="preserve">ovable property of the Company </w:t>
      </w:r>
      <w:r w:rsidRPr="00252E97">
        <w:rPr>
          <w:rFonts w:cs="Helvetica"/>
        </w:rPr>
        <w:t xml:space="preserve">or a floating charge that is created when charge is created over changing assets like stock in trade. It is the duty of every company to register the charges with the ROC The rationale of registration of charge is to aware the public at large who is intending to deal with the company financially, commercially or in any other capacity. </w:t>
      </w:r>
    </w:p>
    <w:p w:rsidR="009A6C1F" w:rsidRPr="00252E97" w:rsidRDefault="009A6C1F" w:rsidP="009A6C1F">
      <w:pPr>
        <w:pStyle w:val="ListParagraph"/>
        <w:ind w:left="1440"/>
        <w:jc w:val="both"/>
        <w:rPr>
          <w:rFonts w:cs="Helvetica"/>
        </w:rPr>
      </w:pPr>
      <w:r w:rsidRPr="00252E97">
        <w:rPr>
          <w:rFonts w:cs="Helvetica"/>
        </w:rPr>
        <w:t>As per Companies Act, companies are required to file particulars of a charge within 30 days of the creation thereof.</w:t>
      </w:r>
    </w:p>
    <w:p w:rsidR="009A6C1F" w:rsidRDefault="00D9565A" w:rsidP="009A6C1F">
      <w:pPr>
        <w:pStyle w:val="ListParagraph"/>
        <w:ind w:left="1440"/>
        <w:jc w:val="both"/>
        <w:rPr>
          <w:rFonts w:cs="Helvetica"/>
        </w:rPr>
      </w:pPr>
      <w:r>
        <w:rPr>
          <w:rFonts w:cs="Helvetica"/>
        </w:rPr>
        <w:t xml:space="preserve">LEGALRAJ </w:t>
      </w:r>
      <w:r w:rsidR="009A6C1F" w:rsidRPr="00252E97">
        <w:rPr>
          <w:rFonts w:cs="Helvetica"/>
        </w:rPr>
        <w:t>can assist you to register charges with the ROC. The average time taken to file for registration of charges is about 5-11 working days, subject to government processing time and client document submission.</w:t>
      </w:r>
    </w:p>
    <w:p w:rsidR="00D9565A" w:rsidRPr="00252E97" w:rsidRDefault="00D9565A" w:rsidP="009A6C1F">
      <w:pPr>
        <w:pStyle w:val="ListParagraph"/>
        <w:ind w:left="1440"/>
        <w:jc w:val="both"/>
      </w:pPr>
    </w:p>
    <w:p w:rsidR="009A6C1F" w:rsidRPr="00252E97" w:rsidRDefault="009A6C1F" w:rsidP="004522C5">
      <w:pPr>
        <w:pStyle w:val="ListParagraph"/>
        <w:numPr>
          <w:ilvl w:val="3"/>
          <w:numId w:val="11"/>
        </w:numPr>
        <w:jc w:val="both"/>
        <w:rPr>
          <w:b/>
        </w:rPr>
      </w:pPr>
      <w:r w:rsidRPr="00252E97">
        <w:rPr>
          <w:rFonts w:cs="Arial"/>
          <w:b/>
          <w:spacing w:val="15"/>
        </w:rPr>
        <w:t>Creation and Satisfaction of Charges</w:t>
      </w:r>
    </w:p>
    <w:p w:rsidR="009A6C1F" w:rsidRPr="00252E97" w:rsidRDefault="009A6C1F" w:rsidP="004522C5">
      <w:pPr>
        <w:pStyle w:val="ListParagraph"/>
        <w:numPr>
          <w:ilvl w:val="4"/>
          <w:numId w:val="11"/>
        </w:numPr>
        <w:jc w:val="both"/>
      </w:pPr>
      <w:r w:rsidRPr="00252E97">
        <w:rPr>
          <w:rFonts w:cs="Arial"/>
          <w:b/>
        </w:rPr>
        <w:t xml:space="preserve">Register of Charges: It is mandatory </w:t>
      </w:r>
      <w:r w:rsidRPr="00252E97">
        <w:t xml:space="preserve">to keep and maintain Register of Charges in the format prescribed. </w:t>
      </w:r>
    </w:p>
    <w:p w:rsidR="009A6C1F" w:rsidRPr="00252E97" w:rsidRDefault="009A6C1F" w:rsidP="004522C5">
      <w:pPr>
        <w:pStyle w:val="ListParagraph"/>
        <w:numPr>
          <w:ilvl w:val="4"/>
          <w:numId w:val="11"/>
        </w:numPr>
        <w:jc w:val="both"/>
      </w:pPr>
      <w:r w:rsidRPr="00252E97">
        <w:rPr>
          <w:rFonts w:cs="Arial"/>
          <w:b/>
        </w:rPr>
        <w:t>Certificate of Registration:</w:t>
      </w:r>
      <w:r w:rsidRPr="00252E97">
        <w:t xml:space="preserve"> When a charge is created and filed with the Registrar, the Registrar of Companies would issue a Certificate of Registration of the said charge to the person in whose favor the charge is created.</w:t>
      </w:r>
    </w:p>
    <w:p w:rsidR="009A6C1F" w:rsidRPr="00252E97" w:rsidRDefault="009A6C1F" w:rsidP="004522C5">
      <w:pPr>
        <w:pStyle w:val="ListParagraph"/>
        <w:numPr>
          <w:ilvl w:val="4"/>
          <w:numId w:val="11"/>
        </w:numPr>
        <w:jc w:val="both"/>
      </w:pPr>
      <w:r w:rsidRPr="00252E97">
        <w:rPr>
          <w:rFonts w:cs="Arial"/>
          <w:b/>
        </w:rPr>
        <w:t>Charge Modification:</w:t>
      </w:r>
      <w:r w:rsidRPr="00252E97">
        <w:t xml:space="preserve"> In case the terms, conditions, extend or operation of a charge created on a company and filed with the Registrar is changed, then the company must intimate ROC by complying the provisions related to modification of charge.</w:t>
      </w:r>
    </w:p>
    <w:p w:rsidR="009A6C1F" w:rsidRPr="00252E97" w:rsidRDefault="009A6C1F" w:rsidP="004522C5">
      <w:pPr>
        <w:pStyle w:val="ListParagraph"/>
        <w:numPr>
          <w:ilvl w:val="4"/>
          <w:numId w:val="11"/>
        </w:numPr>
        <w:jc w:val="both"/>
      </w:pPr>
      <w:r w:rsidRPr="00252E97">
        <w:rPr>
          <w:rFonts w:cs="Arial"/>
          <w:b/>
        </w:rPr>
        <w:t>Non-Registration:</w:t>
      </w:r>
      <w:r w:rsidRPr="00252E97">
        <w:t xml:space="preserve"> Non-registration of charge is a compoundable offence.  As per Companies Act, 2013, non-registration of a charge makes the company and officers of the company liable for fines and punishment.</w:t>
      </w:r>
    </w:p>
    <w:p w:rsidR="009A6C1F" w:rsidRPr="00252E97" w:rsidRDefault="009A6C1F" w:rsidP="004522C5">
      <w:pPr>
        <w:pStyle w:val="ListParagraph"/>
        <w:numPr>
          <w:ilvl w:val="4"/>
          <w:numId w:val="11"/>
        </w:numPr>
        <w:jc w:val="both"/>
      </w:pPr>
      <w:r w:rsidRPr="00252E97">
        <w:rPr>
          <w:rFonts w:cs="Arial"/>
          <w:b/>
        </w:rPr>
        <w:t>Charge Satisfaction:</w:t>
      </w:r>
      <w:r w:rsidRPr="00252E97">
        <w:t xml:space="preserve"> When the charge created on a property or asset of a company is satisfied in full, the company must give intimation to the Registrar on satisfaction of the charge.</w:t>
      </w:r>
    </w:p>
    <w:p w:rsidR="009A6C1F" w:rsidRPr="00252E97" w:rsidRDefault="009A6C1F" w:rsidP="009A6C1F">
      <w:pPr>
        <w:pStyle w:val="ListParagraph"/>
        <w:ind w:left="1440"/>
        <w:jc w:val="both"/>
      </w:pPr>
    </w:p>
    <w:p w:rsidR="009A6C1F" w:rsidRPr="00252E97" w:rsidRDefault="009A6C1F" w:rsidP="004522C5">
      <w:pPr>
        <w:pStyle w:val="ListParagraph"/>
        <w:numPr>
          <w:ilvl w:val="3"/>
          <w:numId w:val="11"/>
        </w:numPr>
        <w:jc w:val="both"/>
        <w:rPr>
          <w:b/>
        </w:rPr>
      </w:pPr>
      <w:r w:rsidRPr="00252E97">
        <w:rPr>
          <w:rFonts w:cs="Arial"/>
          <w:b/>
        </w:rPr>
        <w:t>How we help with charge creation &amp; satisfaction:</w:t>
      </w:r>
    </w:p>
    <w:p w:rsidR="009A6C1F" w:rsidRPr="00252E97" w:rsidRDefault="009A6C1F" w:rsidP="004522C5">
      <w:pPr>
        <w:pStyle w:val="ListParagraph"/>
        <w:numPr>
          <w:ilvl w:val="4"/>
          <w:numId w:val="11"/>
        </w:numPr>
        <w:jc w:val="both"/>
      </w:pPr>
      <w:r w:rsidRPr="00252E97">
        <w:rPr>
          <w:rFonts w:cs="Arial"/>
          <w:b/>
        </w:rPr>
        <w:t xml:space="preserve">Consultation: </w:t>
      </w:r>
      <w:r w:rsidRPr="00252E97">
        <w:rPr>
          <w:rFonts w:cs="Arial"/>
        </w:rPr>
        <w:t>We will review</w:t>
      </w:r>
      <w:r w:rsidRPr="00252E97">
        <w:rPr>
          <w:rFonts w:cs="Arial"/>
          <w:b/>
        </w:rPr>
        <w:t xml:space="preserve"> </w:t>
      </w:r>
      <w:r w:rsidRPr="00252E97">
        <w:rPr>
          <w:rFonts w:cs="Helvetica"/>
        </w:rPr>
        <w:t xml:space="preserve">loan documentation and the Articles of Association to understand the provisions related to charges and </w:t>
      </w:r>
      <w:r w:rsidRPr="00252E97">
        <w:rPr>
          <w:rFonts w:cs="Arial"/>
        </w:rPr>
        <w:t xml:space="preserve">as per the complexities involved, we can assist you with </w:t>
      </w:r>
      <w:r w:rsidRPr="00252E97">
        <w:rPr>
          <w:rFonts w:cs="Helvetica"/>
        </w:rPr>
        <w:t>the procedure for charge registration, modification or satisfaction.</w:t>
      </w:r>
    </w:p>
    <w:p w:rsidR="009A6C1F" w:rsidRPr="00252E97" w:rsidRDefault="009A6C1F" w:rsidP="004522C5">
      <w:pPr>
        <w:pStyle w:val="ListParagraph"/>
        <w:numPr>
          <w:ilvl w:val="4"/>
          <w:numId w:val="11"/>
        </w:numPr>
        <w:jc w:val="both"/>
      </w:pPr>
      <w:r w:rsidRPr="00252E97">
        <w:rPr>
          <w:rFonts w:cs="Arial"/>
          <w:b/>
        </w:rPr>
        <w:t xml:space="preserve">Board Resolutions: </w:t>
      </w:r>
      <w:r w:rsidRPr="00252E97">
        <w:rPr>
          <w:rFonts w:cs="Helvetica"/>
        </w:rPr>
        <w:t xml:space="preserve">Then we will provide timelines, documents and do the compliances for you. </w:t>
      </w:r>
    </w:p>
    <w:p w:rsidR="00D9565A" w:rsidRPr="00252E97" w:rsidRDefault="009A6C1F" w:rsidP="004707B9">
      <w:pPr>
        <w:pStyle w:val="ListParagraph"/>
        <w:numPr>
          <w:ilvl w:val="4"/>
          <w:numId w:val="11"/>
        </w:numPr>
        <w:jc w:val="both"/>
      </w:pPr>
      <w:r w:rsidRPr="00252E97">
        <w:rPr>
          <w:rFonts w:cs="Arial"/>
          <w:b/>
        </w:rPr>
        <w:t xml:space="preserve">Filing: </w:t>
      </w:r>
      <w:r w:rsidRPr="00252E97">
        <w:rPr>
          <w:rFonts w:cs="Arial"/>
        </w:rPr>
        <w:t xml:space="preserve">We will timely file applicable returns, documents and other formalities </w:t>
      </w:r>
      <w:r w:rsidRPr="00252E97">
        <w:rPr>
          <w:rFonts w:cs="Helvetica"/>
        </w:rPr>
        <w:t>with the Ministry of Corporate Affairs to effectuate charge registration, modification or satisfaction.</w:t>
      </w:r>
    </w:p>
    <w:sectPr w:rsidR="00D9565A" w:rsidRPr="00252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0B5E"/>
    <w:multiLevelType w:val="multilevel"/>
    <w:tmpl w:val="385CA99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CD03716"/>
    <w:multiLevelType w:val="multilevel"/>
    <w:tmpl w:val="19F42C78"/>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0"/>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B0C63BE"/>
    <w:multiLevelType w:val="multilevel"/>
    <w:tmpl w:val="43C428CE"/>
    <w:lvl w:ilvl="0">
      <w:start w:val="3"/>
      <w:numFmt w:val="decimal"/>
      <w:lvlText w:val="%1)"/>
      <w:lvlJc w:val="left"/>
      <w:pPr>
        <w:ind w:left="360" w:hanging="360"/>
      </w:pPr>
      <w:rPr>
        <w:rFonts w:hint="default"/>
        <w:color w:val="548DD4" w:themeColor="text2" w:themeTint="99"/>
      </w:rPr>
    </w:lvl>
    <w:lvl w:ilvl="1">
      <w:start w:val="2"/>
      <w:numFmt w:val="lowerLetter"/>
      <w:lvlText w:val="%2)"/>
      <w:lvlJc w:val="left"/>
      <w:pPr>
        <w:ind w:left="720" w:hanging="360"/>
      </w:pPr>
      <w:rPr>
        <w:rFonts w:hint="default"/>
        <w:color w:val="C00000"/>
      </w:rPr>
    </w:lvl>
    <w:lvl w:ilvl="2">
      <w:start w:val="8"/>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FBD3077"/>
    <w:multiLevelType w:val="hybridMultilevel"/>
    <w:tmpl w:val="BEB80C6C"/>
    <w:lvl w:ilvl="0" w:tplc="4B6CFB3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68976DE"/>
    <w:multiLevelType w:val="multilevel"/>
    <w:tmpl w:val="9A0C568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2"/>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DD43C23"/>
    <w:multiLevelType w:val="multilevel"/>
    <w:tmpl w:val="1C9E31BC"/>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A6A08E8"/>
    <w:multiLevelType w:val="multilevel"/>
    <w:tmpl w:val="8856DAE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926EC9"/>
    <w:multiLevelType w:val="multilevel"/>
    <w:tmpl w:val="51266F0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73223D6"/>
    <w:multiLevelType w:val="multilevel"/>
    <w:tmpl w:val="0D7A6100"/>
    <w:lvl w:ilvl="0">
      <w:start w:val="3"/>
      <w:numFmt w:val="decimal"/>
      <w:lvlText w:val="%1)"/>
      <w:lvlJc w:val="left"/>
      <w:pPr>
        <w:ind w:left="360" w:hanging="360"/>
      </w:pPr>
      <w:rPr>
        <w:rFonts w:hint="default"/>
        <w:color w:val="548DD4" w:themeColor="text2" w:themeTint="99"/>
      </w:rPr>
    </w:lvl>
    <w:lvl w:ilvl="1">
      <w:start w:val="2"/>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12A32FA"/>
    <w:multiLevelType w:val="multilevel"/>
    <w:tmpl w:val="09C06470"/>
    <w:lvl w:ilvl="0">
      <w:start w:val="1"/>
      <w:numFmt w:val="decimal"/>
      <w:lvlText w:val="%1)"/>
      <w:lvlJc w:val="left"/>
      <w:pPr>
        <w:ind w:left="360" w:hanging="360"/>
      </w:pPr>
      <w:rPr>
        <w:color w:val="548DD4" w:themeColor="text2" w:themeTint="99"/>
      </w:rPr>
    </w:lvl>
    <w:lvl w:ilvl="1">
      <w:start w:val="1"/>
      <w:numFmt w:val="lowerLetter"/>
      <w:lvlText w:val="%2)"/>
      <w:lvlJc w:val="left"/>
      <w:pPr>
        <w:ind w:left="720" w:hanging="360"/>
      </w:pPr>
      <w:rPr>
        <w:color w:val="C00000"/>
      </w:rPr>
    </w:lvl>
    <w:lvl w:ilvl="2">
      <w:start w:val="1"/>
      <w:numFmt w:val="lowerRoman"/>
      <w:lvlText w:val="%3)"/>
      <w:lvlJc w:val="left"/>
      <w:pPr>
        <w:ind w:left="1080" w:hanging="360"/>
      </w:pPr>
    </w:lvl>
    <w:lvl w:ilvl="3">
      <w:start w:val="1"/>
      <w:numFmt w:val="decimal"/>
      <w:lvlText w:val="(%4)"/>
      <w:lvlJc w:val="left"/>
      <w:pPr>
        <w:ind w:left="1440" w:hanging="360"/>
      </w:pPr>
      <w:rPr>
        <w:b/>
        <w:color w:val="auto"/>
      </w:rPr>
    </w:lvl>
    <w:lvl w:ilvl="4">
      <w:start w:val="1"/>
      <w:numFmt w:val="lowerLetter"/>
      <w:lvlText w:val="(%5)"/>
      <w:lvlJc w:val="left"/>
      <w:pPr>
        <w:ind w:left="1800" w:hanging="360"/>
      </w:pPr>
      <w:rPr>
        <w:b/>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
  </w:num>
  <w:num w:numId="3">
    <w:abstractNumId w:val="7"/>
  </w:num>
  <w:num w:numId="4">
    <w:abstractNumId w:val="8"/>
  </w:num>
  <w:num w:numId="5">
    <w:abstractNumId w:val="4"/>
  </w:num>
  <w:num w:numId="6">
    <w:abstractNumId w:val="3"/>
  </w:num>
  <w:num w:numId="7">
    <w:abstractNumId w:val="9"/>
  </w:num>
  <w:num w:numId="8">
    <w:abstractNumId w:val="0"/>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C5"/>
    <w:rsid w:val="000322E2"/>
    <w:rsid w:val="000A3270"/>
    <w:rsid w:val="000E4E76"/>
    <w:rsid w:val="00132DFA"/>
    <w:rsid w:val="001D5CD0"/>
    <w:rsid w:val="00226395"/>
    <w:rsid w:val="002B2C4A"/>
    <w:rsid w:val="002D5D64"/>
    <w:rsid w:val="002F66FA"/>
    <w:rsid w:val="00375282"/>
    <w:rsid w:val="003C061C"/>
    <w:rsid w:val="0042119D"/>
    <w:rsid w:val="004231EE"/>
    <w:rsid w:val="0043524F"/>
    <w:rsid w:val="004522C5"/>
    <w:rsid w:val="004707B9"/>
    <w:rsid w:val="004A5EC5"/>
    <w:rsid w:val="00593EFC"/>
    <w:rsid w:val="005F5545"/>
    <w:rsid w:val="005F601F"/>
    <w:rsid w:val="0062200F"/>
    <w:rsid w:val="006518CB"/>
    <w:rsid w:val="00752BA0"/>
    <w:rsid w:val="00874011"/>
    <w:rsid w:val="008977B4"/>
    <w:rsid w:val="008D5C8F"/>
    <w:rsid w:val="008E5100"/>
    <w:rsid w:val="00950238"/>
    <w:rsid w:val="009A6C1F"/>
    <w:rsid w:val="009B2C8C"/>
    <w:rsid w:val="009C3246"/>
    <w:rsid w:val="00A62BFF"/>
    <w:rsid w:val="00B53D95"/>
    <w:rsid w:val="00B80C9F"/>
    <w:rsid w:val="00C05A53"/>
    <w:rsid w:val="00D92AE9"/>
    <w:rsid w:val="00D9565A"/>
    <w:rsid w:val="00DA09DB"/>
    <w:rsid w:val="00E01FD0"/>
    <w:rsid w:val="00F06B3E"/>
    <w:rsid w:val="00F13317"/>
    <w:rsid w:val="00F35C02"/>
    <w:rsid w:val="00FA7F99"/>
    <w:rsid w:val="00FB0E36"/>
    <w:rsid w:val="00FB59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dcterms:created xsi:type="dcterms:W3CDTF">2018-04-27T07:15:00Z</dcterms:created>
  <dcterms:modified xsi:type="dcterms:W3CDTF">2018-05-30T09:34:00Z</dcterms:modified>
</cp:coreProperties>
</file>