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93A26" w14:textId="77777777" w:rsidR="009D5335" w:rsidRPr="001139AC" w:rsidRDefault="009D5335" w:rsidP="009D5335">
      <w:pPr>
        <w:spacing w:line="360" w:lineRule="auto"/>
        <w:jc w:val="center"/>
        <w:rPr>
          <w:b/>
          <w:bCs/>
          <w:sz w:val="30"/>
          <w:szCs w:val="30"/>
        </w:rPr>
      </w:pPr>
      <w:bookmarkStart w:id="0" w:name="_Hlk175162522"/>
      <w:bookmarkStart w:id="1" w:name="OLE_LINK3"/>
      <w:bookmarkEnd w:id="0"/>
      <w:r w:rsidRPr="001139AC">
        <w:rPr>
          <w:b/>
          <w:bCs/>
          <w:sz w:val="30"/>
          <w:szCs w:val="30"/>
        </w:rPr>
        <w:t>UNIVERSITY OF MILANO-BICOCCA</w:t>
      </w:r>
    </w:p>
    <w:p w14:paraId="4948A117" w14:textId="77777777" w:rsidR="009D5335" w:rsidRPr="001139AC" w:rsidRDefault="009D5335" w:rsidP="009D5335">
      <w:pPr>
        <w:spacing w:line="360" w:lineRule="auto"/>
        <w:jc w:val="center"/>
        <w:rPr>
          <w:sz w:val="28"/>
          <w:szCs w:val="28"/>
        </w:rPr>
      </w:pPr>
      <w:r w:rsidRPr="001139AC">
        <w:rPr>
          <w:sz w:val="28"/>
          <w:szCs w:val="28"/>
        </w:rPr>
        <w:t>School of Economics and Statistics</w:t>
      </w:r>
    </w:p>
    <w:p w14:paraId="0258CEAB" w14:textId="77777777" w:rsidR="009D5335" w:rsidRPr="001139AC" w:rsidRDefault="009D5335" w:rsidP="009D5335">
      <w:pPr>
        <w:spacing w:line="360" w:lineRule="auto"/>
        <w:jc w:val="center"/>
        <w:rPr>
          <w:sz w:val="28"/>
          <w:szCs w:val="28"/>
        </w:rPr>
      </w:pPr>
      <w:r w:rsidRPr="001139AC">
        <w:rPr>
          <w:sz w:val="28"/>
          <w:szCs w:val="28"/>
        </w:rPr>
        <w:t xml:space="preserve">Master’s Degree in “International Economics” </w:t>
      </w:r>
    </w:p>
    <w:p w14:paraId="23FD2B66" w14:textId="77777777" w:rsidR="009D5335" w:rsidRPr="001139AC" w:rsidRDefault="009D5335" w:rsidP="009D5335">
      <w:pPr>
        <w:spacing w:line="360" w:lineRule="auto"/>
        <w:jc w:val="center"/>
      </w:pPr>
      <w:r w:rsidRPr="001139AC">
        <w:rPr>
          <w:sz w:val="28"/>
          <w:szCs w:val="28"/>
        </w:rPr>
        <w:t xml:space="preserve"> </w:t>
      </w:r>
    </w:p>
    <w:p w14:paraId="4276A127" w14:textId="77777777" w:rsidR="009D5335" w:rsidRPr="001139AC" w:rsidRDefault="009D5335" w:rsidP="009D5335">
      <w:pPr>
        <w:spacing w:line="360" w:lineRule="auto"/>
        <w:jc w:val="center"/>
      </w:pPr>
      <w:r w:rsidRPr="001139AC">
        <w:rPr>
          <w:b/>
          <w:bCs/>
        </w:rPr>
        <w:t xml:space="preserve"> </w:t>
      </w:r>
    </w:p>
    <w:p w14:paraId="5C112F61" w14:textId="77777777" w:rsidR="009D5335" w:rsidRPr="001139AC" w:rsidRDefault="009D5335" w:rsidP="009D5335">
      <w:pPr>
        <w:spacing w:line="360" w:lineRule="auto"/>
        <w:jc w:val="center"/>
      </w:pPr>
      <w:r w:rsidRPr="001139AC">
        <w:rPr>
          <w:noProof/>
        </w:rPr>
        <w:drawing>
          <wp:inline distT="0" distB="0" distL="0" distR="0" wp14:anchorId="197FDDD8" wp14:editId="46EC865B">
            <wp:extent cx="1009524" cy="1076190"/>
            <wp:effectExtent l="0" t="0" r="0" b="0"/>
            <wp:docPr id="909595606" name="Picture 909595606" descr="A logo with a st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95606" name="Picture 909595606" descr="A logo with a star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009524" cy="1076190"/>
                    </a:xfrm>
                    <a:prstGeom prst="rect">
                      <a:avLst/>
                    </a:prstGeom>
                  </pic:spPr>
                </pic:pic>
              </a:graphicData>
            </a:graphic>
          </wp:inline>
        </w:drawing>
      </w:r>
    </w:p>
    <w:p w14:paraId="1A5390C1" w14:textId="77777777" w:rsidR="009D5335" w:rsidRPr="001139AC" w:rsidRDefault="009D5335" w:rsidP="009D5335">
      <w:pPr>
        <w:spacing w:line="360" w:lineRule="auto"/>
        <w:jc w:val="center"/>
      </w:pPr>
      <w:r w:rsidRPr="001139AC">
        <w:rPr>
          <w:b/>
          <w:bCs/>
          <w:sz w:val="36"/>
          <w:szCs w:val="36"/>
        </w:rPr>
        <w:t xml:space="preserve"> </w:t>
      </w:r>
    </w:p>
    <w:p w14:paraId="766047A6" w14:textId="70C3F351" w:rsidR="009D5335" w:rsidRPr="001139AC" w:rsidRDefault="009D5335" w:rsidP="009D5335">
      <w:pPr>
        <w:spacing w:line="360" w:lineRule="auto"/>
        <w:jc w:val="center"/>
      </w:pPr>
    </w:p>
    <w:p w14:paraId="66A9B22C" w14:textId="77777777" w:rsidR="009D5335" w:rsidRPr="001139AC" w:rsidRDefault="009D5335" w:rsidP="009D5335">
      <w:pPr>
        <w:spacing w:line="360" w:lineRule="auto"/>
        <w:jc w:val="center"/>
      </w:pPr>
      <w:r w:rsidRPr="001139AC">
        <w:rPr>
          <w:b/>
          <w:bCs/>
          <w:sz w:val="28"/>
          <w:szCs w:val="28"/>
        </w:rPr>
        <w:t xml:space="preserve"> </w:t>
      </w:r>
    </w:p>
    <w:p w14:paraId="17254064" w14:textId="77777777" w:rsidR="009D5335" w:rsidRPr="001139AC" w:rsidRDefault="009D5335" w:rsidP="009D5335">
      <w:pPr>
        <w:spacing w:line="360" w:lineRule="auto"/>
        <w:jc w:val="center"/>
      </w:pPr>
      <w:r w:rsidRPr="001139AC">
        <w:rPr>
          <w:b/>
          <w:bCs/>
          <w:sz w:val="28"/>
          <w:szCs w:val="28"/>
        </w:rPr>
        <w:t xml:space="preserve"> </w:t>
      </w:r>
    </w:p>
    <w:p w14:paraId="0B240037" w14:textId="6D77E6E1" w:rsidR="009D5335" w:rsidRPr="00093507" w:rsidRDefault="009D5335" w:rsidP="009D5335">
      <w:pPr>
        <w:spacing w:line="360" w:lineRule="auto"/>
        <w:jc w:val="both"/>
        <w:rPr>
          <w:sz w:val="28"/>
          <w:szCs w:val="28"/>
          <w:lang w:val="it-IT"/>
        </w:rPr>
      </w:pPr>
      <w:r w:rsidRPr="00093507">
        <w:rPr>
          <w:sz w:val="28"/>
          <w:szCs w:val="28"/>
          <w:lang w:val="it-IT"/>
        </w:rPr>
        <w:t xml:space="preserve">Advisor: </w:t>
      </w:r>
    </w:p>
    <w:p w14:paraId="7F29072F" w14:textId="77777777" w:rsidR="009D5335" w:rsidRPr="00093507" w:rsidRDefault="009D5335" w:rsidP="009D5335">
      <w:pPr>
        <w:spacing w:line="360" w:lineRule="auto"/>
        <w:jc w:val="both"/>
        <w:rPr>
          <w:lang w:val="it-IT"/>
        </w:rPr>
      </w:pPr>
      <w:r w:rsidRPr="00093507">
        <w:rPr>
          <w:sz w:val="28"/>
          <w:szCs w:val="28"/>
          <w:lang w:val="it-IT"/>
        </w:rPr>
        <w:t xml:space="preserve"> </w:t>
      </w:r>
    </w:p>
    <w:p w14:paraId="640581AB" w14:textId="77777777" w:rsidR="009D5335" w:rsidRPr="00093507" w:rsidRDefault="009D5335" w:rsidP="009D5335">
      <w:pPr>
        <w:spacing w:line="360" w:lineRule="auto"/>
        <w:jc w:val="right"/>
        <w:rPr>
          <w:lang w:val="it-IT"/>
        </w:rPr>
      </w:pPr>
      <w:r w:rsidRPr="00093507">
        <w:rPr>
          <w:sz w:val="28"/>
          <w:szCs w:val="28"/>
          <w:lang w:val="it-IT"/>
        </w:rPr>
        <w:t xml:space="preserve"> </w:t>
      </w:r>
    </w:p>
    <w:p w14:paraId="424C7708" w14:textId="77777777" w:rsidR="009D5335" w:rsidRPr="00093507" w:rsidRDefault="009D5335" w:rsidP="009D5335">
      <w:pPr>
        <w:spacing w:line="360" w:lineRule="auto"/>
        <w:ind w:left="4956" w:firstLine="708"/>
        <w:rPr>
          <w:sz w:val="28"/>
          <w:szCs w:val="28"/>
          <w:lang w:val="it-IT"/>
        </w:rPr>
      </w:pPr>
      <w:proofErr w:type="spellStart"/>
      <w:r w:rsidRPr="00093507">
        <w:rPr>
          <w:sz w:val="28"/>
          <w:szCs w:val="28"/>
          <w:lang w:val="it-IT"/>
        </w:rPr>
        <w:t>Final</w:t>
      </w:r>
      <w:proofErr w:type="spellEnd"/>
      <w:r w:rsidRPr="00093507">
        <w:rPr>
          <w:sz w:val="28"/>
          <w:szCs w:val="28"/>
          <w:lang w:val="it-IT"/>
        </w:rPr>
        <w:t xml:space="preserve"> Dissertation of:</w:t>
      </w:r>
    </w:p>
    <w:p w14:paraId="7DF3352F" w14:textId="327191F3" w:rsidR="009D5335" w:rsidRPr="00093507" w:rsidRDefault="009D5335" w:rsidP="009D5335">
      <w:pPr>
        <w:tabs>
          <w:tab w:val="left" w:pos="6120"/>
        </w:tabs>
        <w:spacing w:line="360" w:lineRule="auto"/>
        <w:rPr>
          <w:sz w:val="28"/>
          <w:szCs w:val="28"/>
          <w:lang w:val="it-IT"/>
        </w:rPr>
      </w:pPr>
      <w:r w:rsidRPr="00093507">
        <w:rPr>
          <w:sz w:val="28"/>
          <w:szCs w:val="28"/>
          <w:lang w:val="it-IT"/>
        </w:rPr>
        <w:t xml:space="preserve">                                                                                 </w:t>
      </w:r>
    </w:p>
    <w:p w14:paraId="764C5976" w14:textId="77777777" w:rsidR="009D5335" w:rsidRPr="00093507" w:rsidRDefault="009D5335" w:rsidP="009D5335">
      <w:pPr>
        <w:spacing w:line="360" w:lineRule="auto"/>
        <w:jc w:val="center"/>
        <w:rPr>
          <w:lang w:val="it-IT"/>
        </w:rPr>
      </w:pPr>
      <w:r w:rsidRPr="00093507">
        <w:rPr>
          <w:sz w:val="28"/>
          <w:szCs w:val="28"/>
          <w:lang w:val="it-IT"/>
        </w:rPr>
        <w:t xml:space="preserve"> </w:t>
      </w:r>
    </w:p>
    <w:p w14:paraId="6A10FAC7" w14:textId="77777777" w:rsidR="009D5335" w:rsidRPr="00093507" w:rsidRDefault="009D5335" w:rsidP="009D5335">
      <w:pPr>
        <w:spacing w:line="360" w:lineRule="auto"/>
        <w:jc w:val="center"/>
        <w:rPr>
          <w:lang w:val="it-IT"/>
        </w:rPr>
      </w:pPr>
      <w:r w:rsidRPr="00093507">
        <w:rPr>
          <w:sz w:val="28"/>
          <w:szCs w:val="28"/>
          <w:lang w:val="it-IT"/>
        </w:rPr>
        <w:t xml:space="preserve"> </w:t>
      </w:r>
    </w:p>
    <w:p w14:paraId="28718853" w14:textId="77777777" w:rsidR="009D5335" w:rsidRPr="00093507" w:rsidRDefault="009D5335" w:rsidP="009D5335">
      <w:pPr>
        <w:spacing w:line="360" w:lineRule="auto"/>
        <w:jc w:val="center"/>
        <w:rPr>
          <w:lang w:val="it-IT"/>
        </w:rPr>
      </w:pPr>
      <w:r w:rsidRPr="00093507">
        <w:rPr>
          <w:sz w:val="28"/>
          <w:szCs w:val="28"/>
          <w:lang w:val="it-IT"/>
        </w:rPr>
        <w:t xml:space="preserve"> </w:t>
      </w:r>
    </w:p>
    <w:p w14:paraId="26879E70" w14:textId="77777777" w:rsidR="009D5335" w:rsidRPr="00093507" w:rsidRDefault="009D5335" w:rsidP="009D5335">
      <w:pPr>
        <w:spacing w:line="360" w:lineRule="auto"/>
        <w:jc w:val="center"/>
        <w:rPr>
          <w:lang w:val="it-IT"/>
        </w:rPr>
      </w:pPr>
      <w:r w:rsidRPr="00093507">
        <w:rPr>
          <w:sz w:val="28"/>
          <w:szCs w:val="28"/>
          <w:lang w:val="it-IT"/>
        </w:rPr>
        <w:t xml:space="preserve"> </w:t>
      </w:r>
    </w:p>
    <w:p w14:paraId="78964E5D" w14:textId="3CF0E5DD" w:rsidR="009D5335" w:rsidRPr="00E06B1B" w:rsidRDefault="009D5335" w:rsidP="00FA5263">
      <w:pPr>
        <w:spacing w:line="360" w:lineRule="auto"/>
        <w:rPr>
          <w:sz w:val="28"/>
          <w:szCs w:val="28"/>
        </w:rPr>
      </w:pPr>
      <w:r w:rsidRPr="001139AC">
        <w:rPr>
          <w:sz w:val="28"/>
          <w:szCs w:val="28"/>
        </w:rPr>
        <w:t>Academic Year 202</w:t>
      </w:r>
      <w:r w:rsidRPr="00E06B1B">
        <w:rPr>
          <w:sz w:val="28"/>
          <w:szCs w:val="28"/>
        </w:rPr>
        <w:t>4</w:t>
      </w:r>
      <w:r w:rsidRPr="001139AC">
        <w:rPr>
          <w:sz w:val="28"/>
          <w:szCs w:val="28"/>
        </w:rPr>
        <w:t>-2</w:t>
      </w:r>
      <w:r w:rsidR="00FA5263" w:rsidRPr="00E06B1B">
        <w:rPr>
          <w:sz w:val="28"/>
          <w:szCs w:val="28"/>
        </w:rPr>
        <w:t>025</w:t>
      </w:r>
    </w:p>
    <w:p w14:paraId="7CF3A4A4" w14:textId="77777777" w:rsidR="00FA5263" w:rsidRPr="00E06B1B" w:rsidRDefault="00FA5263" w:rsidP="00FA5263">
      <w:pPr>
        <w:spacing w:line="360" w:lineRule="auto"/>
        <w:rPr>
          <w:sz w:val="28"/>
          <w:szCs w:val="28"/>
        </w:rPr>
      </w:pPr>
    </w:p>
    <w:p w14:paraId="65085E1F" w14:textId="77777777" w:rsidR="00FA5263" w:rsidRPr="00E06B1B" w:rsidRDefault="00FA5263" w:rsidP="00FA5263">
      <w:pPr>
        <w:spacing w:line="360" w:lineRule="auto"/>
        <w:rPr>
          <w:sz w:val="28"/>
          <w:szCs w:val="28"/>
        </w:rPr>
      </w:pPr>
    </w:p>
    <w:p w14:paraId="310910E5" w14:textId="77777777" w:rsidR="00FA5263" w:rsidRPr="00E06B1B" w:rsidRDefault="00FA5263" w:rsidP="00FA5263">
      <w:pPr>
        <w:spacing w:line="360" w:lineRule="auto"/>
        <w:rPr>
          <w:sz w:val="28"/>
          <w:szCs w:val="28"/>
        </w:rPr>
      </w:pPr>
    </w:p>
    <w:p w14:paraId="1D2F8BB1" w14:textId="77777777" w:rsidR="00FA5263" w:rsidRPr="00E06B1B" w:rsidRDefault="00FA5263" w:rsidP="00FA5263">
      <w:pPr>
        <w:spacing w:line="360" w:lineRule="auto"/>
        <w:rPr>
          <w:sz w:val="28"/>
          <w:szCs w:val="28"/>
        </w:rPr>
      </w:pPr>
    </w:p>
    <w:p w14:paraId="06547F21" w14:textId="77777777" w:rsidR="00FA5263" w:rsidRPr="00E06B1B" w:rsidRDefault="00FA5263" w:rsidP="00FA5263">
      <w:pPr>
        <w:spacing w:line="360" w:lineRule="auto"/>
        <w:rPr>
          <w:sz w:val="28"/>
          <w:szCs w:val="28"/>
        </w:rPr>
      </w:pPr>
    </w:p>
    <w:p w14:paraId="2A512CB5" w14:textId="77777777" w:rsidR="00FA5263" w:rsidRPr="00E06B1B" w:rsidRDefault="00FA5263" w:rsidP="00FA5263">
      <w:pPr>
        <w:spacing w:line="360" w:lineRule="auto"/>
        <w:rPr>
          <w:sz w:val="28"/>
          <w:szCs w:val="28"/>
        </w:rPr>
      </w:pPr>
    </w:p>
    <w:p w14:paraId="5E08513E" w14:textId="77777777" w:rsidR="00FA5263" w:rsidRPr="00E06B1B" w:rsidRDefault="00FA5263" w:rsidP="00FA5263">
      <w:pPr>
        <w:spacing w:line="360" w:lineRule="auto"/>
      </w:pPr>
    </w:p>
    <w:p w14:paraId="454CED28" w14:textId="1E749D05" w:rsidR="003447CF" w:rsidRPr="00144AB5" w:rsidRDefault="003447CF" w:rsidP="003447CF">
      <w:pPr>
        <w:rPr>
          <w:b/>
          <w:sz w:val="32"/>
          <w:szCs w:val="32"/>
        </w:rPr>
      </w:pPr>
      <w:r w:rsidRPr="00144AB5">
        <w:rPr>
          <w:b/>
          <w:sz w:val="32"/>
          <w:szCs w:val="32"/>
        </w:rPr>
        <w:lastRenderedPageBreak/>
        <w:t xml:space="preserve">Chapter 1: </w:t>
      </w:r>
      <w:r w:rsidR="00CD6D40">
        <w:rPr>
          <w:b/>
          <w:sz w:val="32"/>
          <w:szCs w:val="32"/>
        </w:rPr>
        <w:t xml:space="preserve"> </w:t>
      </w:r>
    </w:p>
    <w:p w14:paraId="3332F126" w14:textId="269C23A4" w:rsidR="003447CF" w:rsidRPr="00144AB5" w:rsidRDefault="003447CF" w:rsidP="003447CF">
      <w:pPr>
        <w:rPr>
          <w:b/>
          <w:sz w:val="32"/>
          <w:szCs w:val="32"/>
        </w:rPr>
      </w:pPr>
      <w:r w:rsidRPr="00144AB5">
        <w:rPr>
          <w:b/>
          <w:sz w:val="32"/>
          <w:szCs w:val="32"/>
        </w:rPr>
        <w:t>The economic situation of Kazakhstan during the last years of Soviet rule, and the transition to the market economy.</w:t>
      </w:r>
    </w:p>
    <w:p w14:paraId="4459FB92" w14:textId="77777777" w:rsidR="003447CF" w:rsidRPr="00C9348F" w:rsidRDefault="003447CF" w:rsidP="003447CF">
      <w:pPr>
        <w:pStyle w:val="2"/>
        <w:numPr>
          <w:ilvl w:val="1"/>
          <w:numId w:val="1"/>
        </w:numPr>
        <w:tabs>
          <w:tab w:val="num" w:pos="360"/>
        </w:tabs>
        <w:spacing w:before="0" w:after="0" w:line="360" w:lineRule="auto"/>
        <w:ind w:left="0" w:firstLine="0"/>
        <w:rPr>
          <w:rFonts w:ascii="Times New Roman" w:eastAsia="Times New Roman" w:hAnsi="Times New Roman" w:cs="Times New Roman"/>
          <w:b/>
          <w:color w:val="auto"/>
        </w:rPr>
      </w:pPr>
      <w:r w:rsidRPr="00C9348F">
        <w:rPr>
          <w:rFonts w:ascii="Times New Roman" w:eastAsia="Times New Roman" w:hAnsi="Times New Roman" w:cs="Times New Roman"/>
          <w:b/>
          <w:color w:val="auto"/>
        </w:rPr>
        <w:t xml:space="preserve">Economic Structure of Kazakhstan Under Soviet Union </w:t>
      </w:r>
    </w:p>
    <w:p w14:paraId="4B14F5CB" w14:textId="77777777" w:rsidR="003447CF" w:rsidRPr="00C9348F" w:rsidRDefault="003447CF" w:rsidP="003447CF">
      <w:pPr>
        <w:pStyle w:val="a7"/>
        <w:numPr>
          <w:ilvl w:val="1"/>
          <w:numId w:val="1"/>
        </w:numPr>
        <w:rPr>
          <w:b/>
          <w:sz w:val="32"/>
          <w:szCs w:val="32"/>
        </w:rPr>
      </w:pPr>
      <w:r w:rsidRPr="00C9348F">
        <w:rPr>
          <w:b/>
          <w:sz w:val="32"/>
          <w:szCs w:val="32"/>
        </w:rPr>
        <w:t>Collapse of the Soviet Union and Immediate Challenges</w:t>
      </w:r>
    </w:p>
    <w:p w14:paraId="629F2A5B" w14:textId="3269FE0D" w:rsidR="00E0070B" w:rsidRDefault="00E0070B" w:rsidP="003447CF">
      <w:pPr>
        <w:pStyle w:val="a7"/>
        <w:numPr>
          <w:ilvl w:val="1"/>
          <w:numId w:val="1"/>
        </w:numPr>
        <w:rPr>
          <w:b/>
          <w:sz w:val="32"/>
          <w:szCs w:val="32"/>
        </w:rPr>
      </w:pPr>
      <w:r w:rsidRPr="00C9348F">
        <w:rPr>
          <w:b/>
          <w:sz w:val="32"/>
          <w:szCs w:val="32"/>
        </w:rPr>
        <w:t xml:space="preserve">Institutional and </w:t>
      </w:r>
      <w:r w:rsidR="00612434" w:rsidRPr="00C9348F">
        <w:rPr>
          <w:b/>
          <w:sz w:val="32"/>
          <w:szCs w:val="32"/>
        </w:rPr>
        <w:t>economic</w:t>
      </w:r>
      <w:r w:rsidRPr="00C9348F">
        <w:rPr>
          <w:b/>
          <w:sz w:val="32"/>
          <w:szCs w:val="32"/>
        </w:rPr>
        <w:t xml:space="preserve"> transition to a market economy </w:t>
      </w:r>
    </w:p>
    <w:p w14:paraId="5F221639" w14:textId="77777777" w:rsidR="00236555" w:rsidRPr="00144AB5" w:rsidRDefault="00236555" w:rsidP="00236555">
      <w:pPr>
        <w:rPr>
          <w:b/>
        </w:rPr>
      </w:pPr>
    </w:p>
    <w:p w14:paraId="0875FE99" w14:textId="77777777" w:rsidR="003447CF" w:rsidRPr="00144AB5" w:rsidRDefault="003447CF"/>
    <w:p w14:paraId="05055CA2" w14:textId="77777777" w:rsidR="003447CF" w:rsidRPr="00EB32C8" w:rsidRDefault="003447CF"/>
    <w:p w14:paraId="00259659" w14:textId="77777777" w:rsidR="003447CF" w:rsidRPr="00144AB5" w:rsidRDefault="003447CF"/>
    <w:p w14:paraId="1A1DAC05" w14:textId="77777777" w:rsidR="003447CF" w:rsidRPr="00144AB5" w:rsidRDefault="003447CF"/>
    <w:p w14:paraId="2C887415" w14:textId="77777777" w:rsidR="003447CF" w:rsidRPr="00144AB5" w:rsidRDefault="003447CF"/>
    <w:p w14:paraId="0DA9E5A3" w14:textId="77777777" w:rsidR="003447CF" w:rsidRPr="00144AB5" w:rsidRDefault="003447CF"/>
    <w:p w14:paraId="7C24D8A0" w14:textId="77777777" w:rsidR="003447CF" w:rsidRPr="00144AB5" w:rsidRDefault="003447CF"/>
    <w:p w14:paraId="4ADB7D50" w14:textId="77777777" w:rsidR="003447CF" w:rsidRPr="00144AB5" w:rsidRDefault="003447CF"/>
    <w:p w14:paraId="364141FB" w14:textId="697A5632" w:rsidR="003447CF" w:rsidRPr="00C86A4C" w:rsidRDefault="00F049F9" w:rsidP="00C86A4C">
      <w:pPr>
        <w:jc w:val="both"/>
        <w:rPr>
          <w:bCs/>
          <w:sz w:val="32"/>
          <w:szCs w:val="32"/>
        </w:rPr>
      </w:pPr>
      <w:bookmarkStart w:id="2" w:name="OLE_LINK1"/>
      <w:r w:rsidRPr="00C86A4C">
        <w:rPr>
          <w:bCs/>
          <w:sz w:val="32"/>
          <w:szCs w:val="32"/>
        </w:rPr>
        <w:t xml:space="preserve">Chapter 2: </w:t>
      </w:r>
      <w:r w:rsidR="002C587D" w:rsidRPr="00C86A4C">
        <w:rPr>
          <w:bCs/>
          <w:sz w:val="32"/>
          <w:szCs w:val="32"/>
        </w:rPr>
        <w:t xml:space="preserve"> </w:t>
      </w:r>
      <w:r w:rsidR="00C83E5C" w:rsidRPr="00C86A4C">
        <w:rPr>
          <w:bCs/>
          <w:sz w:val="32"/>
          <w:szCs w:val="32"/>
        </w:rPr>
        <w:t>From Independence to Integration: The Development of Kazakhstan–EU Relations</w:t>
      </w:r>
    </w:p>
    <w:bookmarkEnd w:id="2"/>
    <w:p w14:paraId="57A4B375" w14:textId="5354019C" w:rsidR="003447CF" w:rsidRPr="00C86A4C" w:rsidRDefault="00E73485" w:rsidP="00C86A4C">
      <w:pPr>
        <w:jc w:val="both"/>
        <w:rPr>
          <w:bCs/>
          <w:sz w:val="32"/>
          <w:szCs w:val="32"/>
        </w:rPr>
      </w:pPr>
      <w:r w:rsidRPr="00C86A4C">
        <w:rPr>
          <w:bCs/>
          <w:sz w:val="32"/>
          <w:szCs w:val="32"/>
        </w:rPr>
        <w:t>2.1</w:t>
      </w:r>
      <w:r w:rsidR="00181264" w:rsidRPr="00C86A4C">
        <w:rPr>
          <w:bCs/>
          <w:sz w:val="32"/>
          <w:szCs w:val="32"/>
        </w:rPr>
        <w:t xml:space="preserve"> </w:t>
      </w:r>
      <w:r w:rsidR="00D60F9F" w:rsidRPr="00C86A4C">
        <w:rPr>
          <w:bCs/>
          <w:sz w:val="32"/>
          <w:szCs w:val="32"/>
        </w:rPr>
        <w:t xml:space="preserve">Kazakhstan’s </w:t>
      </w:r>
      <w:r w:rsidR="00BC5EB6" w:rsidRPr="00C86A4C">
        <w:rPr>
          <w:bCs/>
          <w:sz w:val="32"/>
          <w:szCs w:val="32"/>
        </w:rPr>
        <w:t xml:space="preserve">multi vector </w:t>
      </w:r>
      <w:r w:rsidR="00576C01">
        <w:rPr>
          <w:bCs/>
          <w:sz w:val="32"/>
          <w:szCs w:val="32"/>
        </w:rPr>
        <w:t xml:space="preserve">foreign </w:t>
      </w:r>
      <w:r w:rsidR="00BC5EB6" w:rsidRPr="00C86A4C">
        <w:rPr>
          <w:bCs/>
          <w:sz w:val="32"/>
          <w:szCs w:val="32"/>
        </w:rPr>
        <w:t>policy</w:t>
      </w:r>
      <w:r w:rsidR="00576C01">
        <w:rPr>
          <w:bCs/>
          <w:sz w:val="32"/>
          <w:szCs w:val="32"/>
        </w:rPr>
        <w:t xml:space="preserve"> </w:t>
      </w:r>
    </w:p>
    <w:p w14:paraId="6EF2D2F1" w14:textId="616069F3" w:rsidR="00E73485" w:rsidRPr="00D74630" w:rsidRDefault="00E73485" w:rsidP="00C86A4C">
      <w:pPr>
        <w:jc w:val="both"/>
        <w:rPr>
          <w:sz w:val="32"/>
          <w:szCs w:val="32"/>
        </w:rPr>
      </w:pPr>
      <w:r w:rsidRPr="00C86A4C">
        <w:rPr>
          <w:bCs/>
          <w:sz w:val="32"/>
          <w:szCs w:val="32"/>
        </w:rPr>
        <w:t>2.2</w:t>
      </w:r>
      <w:r w:rsidR="00210C91" w:rsidRPr="00C86A4C">
        <w:rPr>
          <w:bCs/>
          <w:sz w:val="32"/>
          <w:szCs w:val="32"/>
        </w:rPr>
        <w:t xml:space="preserve"> </w:t>
      </w:r>
      <w:r w:rsidR="00695620" w:rsidRPr="00C86A4C">
        <w:rPr>
          <w:bCs/>
          <w:sz w:val="32"/>
          <w:szCs w:val="32"/>
        </w:rPr>
        <w:t xml:space="preserve">The establishment of relationships between </w:t>
      </w:r>
      <w:r w:rsidR="0045688C">
        <w:rPr>
          <w:bCs/>
          <w:sz w:val="32"/>
          <w:szCs w:val="32"/>
        </w:rPr>
        <w:t>Kazakhstan</w:t>
      </w:r>
      <w:r w:rsidR="00695620" w:rsidRPr="00C86A4C">
        <w:rPr>
          <w:bCs/>
          <w:sz w:val="32"/>
          <w:szCs w:val="32"/>
        </w:rPr>
        <w:t xml:space="preserve"> and Europ</w:t>
      </w:r>
      <w:r w:rsidR="0045688C">
        <w:rPr>
          <w:bCs/>
          <w:sz w:val="32"/>
          <w:szCs w:val="32"/>
        </w:rPr>
        <w:t>ean Union</w:t>
      </w:r>
      <w:r w:rsidR="00695620" w:rsidRPr="00C86A4C">
        <w:rPr>
          <w:bCs/>
          <w:sz w:val="32"/>
          <w:szCs w:val="32"/>
        </w:rPr>
        <w:t xml:space="preserve"> (from historical </w:t>
      </w:r>
      <w:r w:rsidR="00C86A4C" w:rsidRPr="00C86A4C">
        <w:rPr>
          <w:bCs/>
          <w:sz w:val="32"/>
          <w:szCs w:val="32"/>
        </w:rPr>
        <w:t>perspective</w:t>
      </w:r>
      <w:r w:rsidR="00695620" w:rsidRPr="00C86A4C">
        <w:rPr>
          <w:bCs/>
          <w:sz w:val="32"/>
          <w:szCs w:val="32"/>
        </w:rPr>
        <w:t>)</w:t>
      </w:r>
    </w:p>
    <w:p w14:paraId="7179B8C8" w14:textId="4EC43821" w:rsidR="005C004F" w:rsidRPr="00C86A4C" w:rsidRDefault="005C004F" w:rsidP="00C86A4C">
      <w:pPr>
        <w:jc w:val="both"/>
        <w:rPr>
          <w:bCs/>
          <w:sz w:val="32"/>
          <w:szCs w:val="32"/>
        </w:rPr>
      </w:pPr>
      <w:r w:rsidRPr="00C86A4C">
        <w:rPr>
          <w:bCs/>
          <w:sz w:val="32"/>
          <w:szCs w:val="32"/>
        </w:rPr>
        <w:t>2.3</w:t>
      </w:r>
      <w:r w:rsidR="007755A3" w:rsidRPr="00C86A4C">
        <w:rPr>
          <w:bCs/>
          <w:sz w:val="32"/>
          <w:szCs w:val="32"/>
        </w:rPr>
        <w:t xml:space="preserve"> Economic Cooperation Between the EU and Kazakhstan</w:t>
      </w:r>
    </w:p>
    <w:p w14:paraId="2AA6B34B" w14:textId="3009DCFB" w:rsidR="005E79BB" w:rsidRPr="00C86A4C" w:rsidRDefault="00E73485" w:rsidP="00C86A4C">
      <w:pPr>
        <w:jc w:val="both"/>
        <w:rPr>
          <w:bCs/>
          <w:sz w:val="32"/>
          <w:szCs w:val="32"/>
        </w:rPr>
      </w:pPr>
      <w:r w:rsidRPr="00C86A4C">
        <w:rPr>
          <w:bCs/>
          <w:sz w:val="32"/>
          <w:szCs w:val="32"/>
        </w:rPr>
        <w:t>2.</w:t>
      </w:r>
      <w:r w:rsidR="005E79BB" w:rsidRPr="00C86A4C">
        <w:rPr>
          <w:bCs/>
          <w:sz w:val="32"/>
          <w:szCs w:val="32"/>
        </w:rPr>
        <w:t xml:space="preserve">4 </w:t>
      </w:r>
      <w:r w:rsidR="002A4110">
        <w:rPr>
          <w:bCs/>
          <w:sz w:val="32"/>
          <w:szCs w:val="32"/>
        </w:rPr>
        <w:t>An analysis of</w:t>
      </w:r>
      <w:r w:rsidR="00307ADC">
        <w:rPr>
          <w:bCs/>
          <w:sz w:val="32"/>
          <w:szCs w:val="32"/>
        </w:rPr>
        <w:t xml:space="preserve"> Enhanced</w:t>
      </w:r>
      <w:r w:rsidR="000F2425" w:rsidRPr="00C86A4C">
        <w:rPr>
          <w:bCs/>
          <w:sz w:val="32"/>
          <w:szCs w:val="32"/>
        </w:rPr>
        <w:t xml:space="preserve"> Partnership and Cooperation Agreement (EPCA)</w:t>
      </w:r>
    </w:p>
    <w:p w14:paraId="0F6A0274" w14:textId="6C73B82D" w:rsidR="00E73485" w:rsidRPr="00C86A4C" w:rsidRDefault="00695620" w:rsidP="00C86A4C">
      <w:pPr>
        <w:jc w:val="both"/>
        <w:rPr>
          <w:bCs/>
          <w:sz w:val="32"/>
          <w:szCs w:val="32"/>
        </w:rPr>
      </w:pPr>
      <w:r w:rsidRPr="00C86A4C">
        <w:rPr>
          <w:bCs/>
          <w:sz w:val="32"/>
          <w:szCs w:val="32"/>
        </w:rPr>
        <w:t xml:space="preserve"> </w:t>
      </w:r>
      <w:r w:rsidR="00EC718D" w:rsidRPr="00C86A4C">
        <w:rPr>
          <w:bCs/>
          <w:sz w:val="32"/>
          <w:szCs w:val="32"/>
        </w:rPr>
        <w:t>2.5</w:t>
      </w:r>
      <w:r w:rsidR="00C86A4C" w:rsidRPr="00C86A4C">
        <w:rPr>
          <w:bCs/>
          <w:sz w:val="32"/>
          <w:szCs w:val="32"/>
        </w:rPr>
        <w:t xml:space="preserve"> Comparative Trade Analysis: Kazakhstan–EU and Kazakhstan–EAEU (2015–2024)</w:t>
      </w:r>
    </w:p>
    <w:p w14:paraId="44CDBE23" w14:textId="4D801A68" w:rsidR="000350F7" w:rsidRPr="00C86A4C" w:rsidRDefault="000350F7">
      <w:pPr>
        <w:rPr>
          <w:b/>
          <w:sz w:val="32"/>
          <w:szCs w:val="32"/>
        </w:rPr>
      </w:pPr>
    </w:p>
    <w:p w14:paraId="6E189BC6" w14:textId="77777777" w:rsidR="003447CF" w:rsidRPr="00C86A4C" w:rsidRDefault="003447CF">
      <w:pPr>
        <w:rPr>
          <w:b/>
          <w:sz w:val="32"/>
          <w:szCs w:val="32"/>
        </w:rPr>
      </w:pPr>
    </w:p>
    <w:p w14:paraId="773FA984" w14:textId="05524FDC" w:rsidR="003447CF" w:rsidRPr="002229ED" w:rsidRDefault="00634788">
      <w:pPr>
        <w:rPr>
          <w:b/>
          <w:sz w:val="32"/>
          <w:szCs w:val="32"/>
        </w:rPr>
      </w:pPr>
      <w:bookmarkStart w:id="3" w:name="OLE_LINK2"/>
      <w:r w:rsidRPr="001D38BE">
        <w:rPr>
          <w:b/>
          <w:sz w:val="32"/>
          <w:szCs w:val="32"/>
        </w:rPr>
        <w:t xml:space="preserve">Chapter 3: </w:t>
      </w:r>
      <w:r w:rsidR="00190291" w:rsidRPr="001D38BE">
        <w:rPr>
          <w:b/>
          <w:sz w:val="32"/>
          <w:szCs w:val="32"/>
        </w:rPr>
        <w:t>European Union Programs</w:t>
      </w:r>
      <w:r w:rsidR="007E324D">
        <w:rPr>
          <w:b/>
          <w:sz w:val="32"/>
          <w:szCs w:val="32"/>
        </w:rPr>
        <w:t xml:space="preserve"> in </w:t>
      </w:r>
      <w:r w:rsidR="00CD6D40">
        <w:rPr>
          <w:b/>
          <w:sz w:val="32"/>
          <w:szCs w:val="32"/>
        </w:rPr>
        <w:t>Kazakhstan</w:t>
      </w:r>
      <w:r w:rsidR="00190291" w:rsidRPr="001D38BE">
        <w:rPr>
          <w:b/>
          <w:sz w:val="32"/>
          <w:szCs w:val="32"/>
        </w:rPr>
        <w:t xml:space="preserve"> and</w:t>
      </w:r>
      <w:r w:rsidR="007C408D">
        <w:rPr>
          <w:b/>
          <w:sz w:val="32"/>
          <w:szCs w:val="32"/>
        </w:rPr>
        <w:t xml:space="preserve"> </w:t>
      </w:r>
      <w:r w:rsidR="007E324D">
        <w:rPr>
          <w:b/>
          <w:sz w:val="32"/>
          <w:szCs w:val="32"/>
        </w:rPr>
        <w:t>prospects</w:t>
      </w:r>
      <w:r w:rsidR="00284830" w:rsidRPr="006F7E9D">
        <w:rPr>
          <w:b/>
          <w:sz w:val="32"/>
          <w:szCs w:val="32"/>
        </w:rPr>
        <w:t xml:space="preserve"> </w:t>
      </w:r>
    </w:p>
    <w:p w14:paraId="46062F95" w14:textId="73B8F3F5" w:rsidR="00CD5B5D" w:rsidRPr="00886FE4" w:rsidRDefault="00E73485">
      <w:r w:rsidRPr="00886FE4">
        <w:t>3.</w:t>
      </w:r>
      <w:r w:rsidR="006F7E9D">
        <w:t>1</w:t>
      </w:r>
      <w:r w:rsidR="006F7E9D" w:rsidRPr="006F7E9D">
        <w:t xml:space="preserve"> </w:t>
      </w:r>
      <w:r w:rsidR="006F7E9D">
        <w:t>Foreign Direct Investment (FDI) in Kazakhstan</w:t>
      </w:r>
    </w:p>
    <w:p w14:paraId="6F1B07D3" w14:textId="735DF5E3" w:rsidR="00E73485" w:rsidRDefault="00E73485">
      <w:r w:rsidRPr="00886FE4">
        <w:t>3.2</w:t>
      </w:r>
      <w:r w:rsidR="00CD5B5D">
        <w:t xml:space="preserve"> </w:t>
      </w:r>
      <w:r w:rsidR="007E324D">
        <w:t>The TACIS Program and Technical Assistance in Kazakhstan</w:t>
      </w:r>
    </w:p>
    <w:p w14:paraId="0903DF1A" w14:textId="67534F67" w:rsidR="007E324D" w:rsidRDefault="007E324D">
      <w:r>
        <w:t xml:space="preserve">3.3 </w:t>
      </w:r>
      <w:r w:rsidRPr="007E324D">
        <w:t>Future Prospects of EU–Kazakhstan Relations</w:t>
      </w:r>
    </w:p>
    <w:bookmarkEnd w:id="1"/>
    <w:bookmarkEnd w:id="3"/>
    <w:p w14:paraId="035B6C45" w14:textId="77777777" w:rsidR="00CD5B5D" w:rsidRPr="00886FE4" w:rsidRDefault="00CD5B5D"/>
    <w:p w14:paraId="25A12908" w14:textId="77777777" w:rsidR="002E4302" w:rsidRPr="001E248B" w:rsidRDefault="002E4302" w:rsidP="003447CF">
      <w:pPr>
        <w:pStyle w:val="10"/>
        <w:spacing w:before="0" w:after="0" w:line="360" w:lineRule="auto"/>
        <w:rPr>
          <w:b/>
          <w:highlight w:val="yellow"/>
        </w:rPr>
      </w:pPr>
      <w:bookmarkStart w:id="4" w:name="_Toc190261526"/>
    </w:p>
    <w:p w14:paraId="1D64FCEA" w14:textId="77777777" w:rsidR="002E4302" w:rsidRPr="001E248B" w:rsidRDefault="002E4302" w:rsidP="003447CF">
      <w:pPr>
        <w:pStyle w:val="10"/>
        <w:spacing w:before="0" w:after="0" w:line="360" w:lineRule="auto"/>
        <w:rPr>
          <w:b/>
          <w:highlight w:val="yellow"/>
        </w:rPr>
      </w:pPr>
    </w:p>
    <w:p w14:paraId="5FB0BE52" w14:textId="32AFCD55" w:rsidR="003447CF" w:rsidRPr="008C79D9" w:rsidRDefault="003447CF" w:rsidP="003447CF">
      <w:pPr>
        <w:pStyle w:val="10"/>
        <w:spacing w:before="0" w:after="0" w:line="360" w:lineRule="auto"/>
        <w:rPr>
          <w:b/>
        </w:rPr>
      </w:pPr>
      <w:r w:rsidRPr="002E4302">
        <w:rPr>
          <w:b/>
          <w:highlight w:val="yellow"/>
        </w:rPr>
        <w:t>INTRODUCTION</w:t>
      </w:r>
      <w:bookmarkEnd w:id="4"/>
    </w:p>
    <w:p w14:paraId="621BC898" w14:textId="77777777" w:rsidR="00AB52F4" w:rsidRPr="008C79D9" w:rsidRDefault="00AB52F4" w:rsidP="00AB52F4"/>
    <w:p w14:paraId="08243F29" w14:textId="77777777" w:rsidR="00AB52F4" w:rsidRPr="008C79D9" w:rsidRDefault="00AB52F4" w:rsidP="00AB52F4"/>
    <w:p w14:paraId="66E78711" w14:textId="77777777" w:rsidR="00AB52F4" w:rsidRPr="008C79D9" w:rsidRDefault="00AB52F4" w:rsidP="00AB52F4"/>
    <w:p w14:paraId="2FCF8F00" w14:textId="77777777" w:rsidR="00AB52F4" w:rsidRPr="008C79D9" w:rsidRDefault="00AB52F4" w:rsidP="00AB52F4"/>
    <w:p w14:paraId="4D9B3128" w14:textId="77777777" w:rsidR="00AB52F4" w:rsidRPr="008C79D9" w:rsidRDefault="00AB52F4" w:rsidP="00AB52F4"/>
    <w:p w14:paraId="5093A1F5" w14:textId="77777777" w:rsidR="00AB52F4" w:rsidRPr="008C79D9" w:rsidRDefault="00AB52F4" w:rsidP="00AB52F4"/>
    <w:p w14:paraId="503FB447" w14:textId="75CFDFCE" w:rsidR="00007242" w:rsidRPr="008C79D9" w:rsidRDefault="004E0A25" w:rsidP="00AB52F4">
      <w:pPr>
        <w:spacing w:line="360" w:lineRule="auto"/>
        <w:ind w:firstLine="708"/>
        <w:jc w:val="both"/>
        <w:rPr>
          <w:rFonts w:eastAsiaTheme="majorEastAsia"/>
        </w:rPr>
      </w:pPr>
      <w:r w:rsidRPr="004E0A25">
        <w:rPr>
          <w:rFonts w:eastAsiaTheme="majorEastAsia"/>
        </w:rPr>
        <w:t xml:space="preserve">It is worth noting that one of the most important elements of state sovereignty is the foreign policy of the state. Foreign policy is the face of the state. Since its independence, Kazakhstan has been positioning itself as a neutral state for peacekeeping. As the center of Asia, the country uses a multi-vector policy to maintain relations with China, Russia, Central Asian countries and the European Union. One of the main questions of this diploma is how </w:t>
      </w:r>
      <w:r w:rsidR="00007242" w:rsidRPr="004E0A25">
        <w:rPr>
          <w:rFonts w:eastAsiaTheme="majorEastAsia"/>
        </w:rPr>
        <w:t>Kazakhstan’s</w:t>
      </w:r>
      <w:r w:rsidRPr="004E0A25">
        <w:rPr>
          <w:rFonts w:eastAsiaTheme="majorEastAsia"/>
        </w:rPr>
        <w:t xml:space="preserve"> relationship with the Europe evolved over time and how it is affected Kazakh's economy. The Republic of Kazakhstan, in turn, is attractive to Europe because of its geographical position as a transportation corridor connecting Europe and Asia and its natural resources. Thus, for the state of the republic, maintaining relations with Europe is a top priority. The beginning of relations can be considered the period from January 25, 1995, when in Brussels, President Nazarbayev and President of the EU Council L. Juppe signed an agreement on partnership and cooperation. In this thesis I have examined the Republic of Kazakhstan during the Soviet Union with a focus on the post-Soviet years and the period from independence to 2020.</w:t>
      </w:r>
    </w:p>
    <w:p w14:paraId="3BC91249" w14:textId="7715ACB8" w:rsidR="00D76619" w:rsidRPr="00D76619" w:rsidRDefault="0081745C" w:rsidP="00D76619">
      <w:pPr>
        <w:spacing w:line="360" w:lineRule="auto"/>
        <w:jc w:val="both"/>
        <w:rPr>
          <w:rFonts w:eastAsiaTheme="majorEastAsia"/>
        </w:rPr>
      </w:pPr>
      <w:r>
        <w:rPr>
          <w:rFonts w:eastAsiaTheme="majorEastAsia"/>
        </w:rPr>
        <w:tab/>
      </w:r>
      <w:r w:rsidR="009A2843" w:rsidRPr="00A52F3B">
        <w:rPr>
          <w:rFonts w:eastAsiaTheme="majorEastAsia"/>
          <w:highlight w:val="yellow"/>
        </w:rPr>
        <w:t xml:space="preserve">This work aims to </w:t>
      </w:r>
      <w:r w:rsidR="00C760EA" w:rsidRPr="00A52F3B">
        <w:rPr>
          <w:rFonts w:eastAsiaTheme="majorEastAsia"/>
          <w:highlight w:val="yellow"/>
        </w:rPr>
        <w:t>answer</w:t>
      </w:r>
      <w:r w:rsidR="00804626" w:rsidRPr="00A52F3B">
        <w:rPr>
          <w:rFonts w:eastAsiaTheme="majorEastAsia"/>
          <w:highlight w:val="yellow"/>
        </w:rPr>
        <w:t xml:space="preserve"> the </w:t>
      </w:r>
      <w:r w:rsidR="006A2487" w:rsidRPr="00A52F3B">
        <w:rPr>
          <w:rFonts w:eastAsiaTheme="majorEastAsia"/>
          <w:highlight w:val="yellow"/>
        </w:rPr>
        <w:t xml:space="preserve">next critical questions: </w:t>
      </w:r>
      <w:r w:rsidR="00B84E23" w:rsidRPr="00A52F3B">
        <w:rPr>
          <w:rFonts w:eastAsiaTheme="majorEastAsia"/>
          <w:highlight w:val="yellow"/>
        </w:rPr>
        <w:t xml:space="preserve">How did the economic structure of Kazakhstan during the Soviet era influence the country’s </w:t>
      </w:r>
      <w:r w:rsidR="008C79D9" w:rsidRPr="00A52F3B">
        <w:rPr>
          <w:rFonts w:eastAsiaTheme="majorEastAsia"/>
          <w:highlight w:val="yellow"/>
        </w:rPr>
        <w:t>foreign</w:t>
      </w:r>
      <w:r w:rsidR="00B84E23" w:rsidRPr="00A52F3B">
        <w:rPr>
          <w:rFonts w:eastAsiaTheme="majorEastAsia"/>
          <w:highlight w:val="yellow"/>
        </w:rPr>
        <w:t xml:space="preserve"> strategy for integration with the European Union after </w:t>
      </w:r>
      <w:r w:rsidR="001F5D09" w:rsidRPr="00A52F3B">
        <w:rPr>
          <w:rFonts w:eastAsiaTheme="majorEastAsia"/>
          <w:highlight w:val="yellow"/>
        </w:rPr>
        <w:t>independence?</w:t>
      </w:r>
      <w:r w:rsidR="00413231" w:rsidRPr="00A52F3B">
        <w:rPr>
          <w:rFonts w:eastAsiaTheme="majorEastAsia"/>
          <w:highlight w:val="yellow"/>
        </w:rPr>
        <w:t xml:space="preserve"> In what ways has Kazakhstan’s economy benefited from its relationship with the European Union, and what impact have European Programs had on institutional reforms and economic diversification?</w:t>
      </w:r>
      <w:r w:rsidR="00413231">
        <w:rPr>
          <w:rFonts w:eastAsiaTheme="majorEastAsia"/>
        </w:rPr>
        <w:t xml:space="preserve"> </w:t>
      </w:r>
      <w:r w:rsidR="00B00B30">
        <w:rPr>
          <w:rFonts w:eastAsiaTheme="majorEastAsia"/>
        </w:rPr>
        <w:t xml:space="preserve">In order to answer the following </w:t>
      </w:r>
      <w:r w:rsidR="006B3102">
        <w:rPr>
          <w:rFonts w:eastAsiaTheme="majorEastAsia"/>
        </w:rPr>
        <w:t>questions,</w:t>
      </w:r>
      <w:r w:rsidR="00B00B30">
        <w:rPr>
          <w:rFonts w:eastAsiaTheme="majorEastAsia"/>
        </w:rPr>
        <w:t xml:space="preserve"> the study is divided into 3 main chapters</w:t>
      </w:r>
      <w:r w:rsidR="00572B25">
        <w:rPr>
          <w:rFonts w:eastAsiaTheme="majorEastAsia"/>
        </w:rPr>
        <w:t xml:space="preserve">. </w:t>
      </w:r>
      <w:r w:rsidR="00572B25">
        <w:rPr>
          <w:rFonts w:eastAsiaTheme="majorEastAsia"/>
        </w:rPr>
        <w:br/>
      </w:r>
      <w:r w:rsidR="00572B25">
        <w:rPr>
          <w:rFonts w:eastAsiaTheme="majorEastAsia"/>
        </w:rPr>
        <w:tab/>
      </w:r>
      <w:r w:rsidR="00A52F3B">
        <w:rPr>
          <w:rFonts w:eastAsiaTheme="majorEastAsia"/>
        </w:rPr>
        <w:t>First</w:t>
      </w:r>
      <w:r w:rsidR="00D76619" w:rsidRPr="00D76619">
        <w:rPr>
          <w:rFonts w:eastAsiaTheme="majorEastAsia"/>
        </w:rPr>
        <w:t xml:space="preserve"> chapter analyzes the main problems and challenges that Kazakhstan faced at the turn of </w:t>
      </w:r>
      <w:r w:rsidR="00BE6F01" w:rsidRPr="00D76619">
        <w:rPr>
          <w:rFonts w:eastAsiaTheme="majorEastAsia"/>
        </w:rPr>
        <w:t>independence</w:t>
      </w:r>
      <w:r w:rsidR="00D76619" w:rsidRPr="00D76619">
        <w:rPr>
          <w:rFonts w:eastAsiaTheme="majorEastAsia"/>
        </w:rPr>
        <w:t xml:space="preserve">. Particular attention is paid to the macroeconomic consequences </w:t>
      </w:r>
      <w:r w:rsidR="00D76619" w:rsidRPr="00D76619">
        <w:rPr>
          <w:rFonts w:eastAsiaTheme="majorEastAsia"/>
        </w:rPr>
        <w:lastRenderedPageBreak/>
        <w:t>of the collapse of the Union: decline in production, budget deficit, loss of external markets and destruction of established economic ties with other republics of the former USSR.</w:t>
      </w:r>
    </w:p>
    <w:p w14:paraId="35AB6345" w14:textId="4E2C6308" w:rsidR="00EB1919" w:rsidRPr="00D76619" w:rsidRDefault="00D76619" w:rsidP="00D76619">
      <w:pPr>
        <w:spacing w:line="360" w:lineRule="auto"/>
        <w:ind w:firstLine="708"/>
        <w:jc w:val="both"/>
        <w:rPr>
          <w:rFonts w:eastAsiaTheme="majorEastAsia"/>
        </w:rPr>
      </w:pPr>
      <w:r w:rsidRPr="00D76619">
        <w:rPr>
          <w:rFonts w:eastAsiaTheme="majorEastAsia"/>
        </w:rPr>
        <w:t xml:space="preserve"> Statistical data on the growth and decline of the national product, inflation, foreign trade balance and balance of payments indicators are provided. The chapter also contains an analysis of the first steps in the transition to a market economy - price liberalization, privatization, creation of a national currency, and institutional reforms aimed at creating a competitive environment and attracting foreign investment. Thus, the first chapter forms the foundation for understanding the economic transformation of the country in the 1990s and prepares the reader to consider the processes of further integration of Kazakhstan into the world </w:t>
      </w:r>
      <w:r w:rsidR="00BE6F01" w:rsidRPr="00D76619">
        <w:rPr>
          <w:rFonts w:eastAsiaTheme="majorEastAsia"/>
        </w:rPr>
        <w:t>economy.</w:t>
      </w:r>
      <w:r w:rsidR="00387378" w:rsidRPr="00D76619">
        <w:rPr>
          <w:rFonts w:eastAsiaTheme="majorEastAsia"/>
        </w:rPr>
        <w:t xml:space="preserve"> </w:t>
      </w:r>
    </w:p>
    <w:p w14:paraId="11851773" w14:textId="77777777" w:rsidR="00EB1919" w:rsidRPr="00D76619" w:rsidRDefault="00EB1919"/>
    <w:p w14:paraId="03CAF0EB" w14:textId="7C6A6C44" w:rsidR="003447CF" w:rsidRPr="008C79D9" w:rsidRDefault="00A900BD">
      <w:r w:rsidRPr="008C79D9">
        <w:tab/>
      </w:r>
    </w:p>
    <w:p w14:paraId="56239608" w14:textId="77777777" w:rsidR="009F1908" w:rsidRPr="008C79D9" w:rsidRDefault="009F1908"/>
    <w:p w14:paraId="199D056D" w14:textId="77777777" w:rsidR="009F1908" w:rsidRPr="008C79D9" w:rsidRDefault="009F1908"/>
    <w:p w14:paraId="07D4DD9D" w14:textId="77777777" w:rsidR="009F1908" w:rsidRPr="008C79D9" w:rsidRDefault="009F1908"/>
    <w:p w14:paraId="074FD45A" w14:textId="77777777" w:rsidR="009F1908" w:rsidRPr="008C79D9" w:rsidRDefault="009F1908"/>
    <w:p w14:paraId="3204B558" w14:textId="77777777" w:rsidR="009F1908" w:rsidRPr="008C79D9" w:rsidRDefault="009F1908"/>
    <w:p w14:paraId="1A198695" w14:textId="77777777" w:rsidR="009F1908" w:rsidRPr="008C79D9" w:rsidRDefault="009F1908"/>
    <w:p w14:paraId="7C07B426" w14:textId="77777777" w:rsidR="009F1908" w:rsidRPr="008C79D9" w:rsidRDefault="009F1908"/>
    <w:p w14:paraId="118B06A3" w14:textId="77777777" w:rsidR="009F1908" w:rsidRPr="008C79D9" w:rsidRDefault="009F1908"/>
    <w:p w14:paraId="5F10816D" w14:textId="77777777" w:rsidR="009F1908" w:rsidRPr="008C79D9" w:rsidRDefault="009F1908"/>
    <w:p w14:paraId="5F2870B9" w14:textId="77777777" w:rsidR="009F1908" w:rsidRPr="008C79D9" w:rsidRDefault="009F1908"/>
    <w:p w14:paraId="243E24CB" w14:textId="77777777" w:rsidR="009F1908" w:rsidRPr="008C79D9" w:rsidRDefault="009F1908"/>
    <w:p w14:paraId="1701C678" w14:textId="77777777" w:rsidR="009F1908" w:rsidRPr="008C79D9" w:rsidRDefault="009F1908"/>
    <w:p w14:paraId="1F063317" w14:textId="77777777" w:rsidR="009F1908" w:rsidRPr="008C79D9" w:rsidRDefault="009F1908"/>
    <w:p w14:paraId="53B6A5E9" w14:textId="77777777" w:rsidR="009F1908" w:rsidRPr="008C79D9" w:rsidRDefault="009F1908"/>
    <w:p w14:paraId="404E61C5" w14:textId="77777777" w:rsidR="009F1908" w:rsidRPr="008C79D9" w:rsidRDefault="009F1908"/>
    <w:p w14:paraId="7E071059" w14:textId="77777777" w:rsidR="009F1908" w:rsidRPr="008C79D9" w:rsidRDefault="009F1908"/>
    <w:p w14:paraId="736E0E92" w14:textId="77777777" w:rsidR="009F1908" w:rsidRPr="008C79D9" w:rsidRDefault="009F1908"/>
    <w:p w14:paraId="75ADB0E0" w14:textId="77777777" w:rsidR="009F1908" w:rsidRPr="008C79D9" w:rsidRDefault="009F1908"/>
    <w:p w14:paraId="51A9E18E" w14:textId="77777777" w:rsidR="009F1908" w:rsidRPr="008C79D9" w:rsidRDefault="009F1908"/>
    <w:p w14:paraId="6EDC794B" w14:textId="77777777" w:rsidR="009F1908" w:rsidRPr="008C79D9" w:rsidRDefault="009F1908"/>
    <w:p w14:paraId="234D78D2" w14:textId="77777777" w:rsidR="009F1908" w:rsidRPr="008C79D9" w:rsidRDefault="009F1908"/>
    <w:p w14:paraId="767E8100" w14:textId="77777777" w:rsidR="003447CF" w:rsidRPr="001E248B" w:rsidRDefault="003447CF"/>
    <w:p w14:paraId="00152833" w14:textId="77777777" w:rsidR="002E4302" w:rsidRPr="001E248B" w:rsidRDefault="002E4302"/>
    <w:p w14:paraId="08F975AD" w14:textId="77777777" w:rsidR="003447CF" w:rsidRPr="00D76619" w:rsidRDefault="003447CF"/>
    <w:p w14:paraId="19AACD96" w14:textId="77777777" w:rsidR="003447CF" w:rsidRPr="00D76619" w:rsidRDefault="003447CF"/>
    <w:p w14:paraId="5C34985E" w14:textId="77777777" w:rsidR="002A3E1E" w:rsidRPr="00D76619" w:rsidRDefault="002A3E1E"/>
    <w:p w14:paraId="26CFDFEF" w14:textId="77777777" w:rsidR="00DC44D4" w:rsidRPr="00D76619" w:rsidRDefault="00DC44D4"/>
    <w:p w14:paraId="498D1689" w14:textId="77777777" w:rsidR="003447CF" w:rsidRPr="00D76619" w:rsidRDefault="003447CF"/>
    <w:p w14:paraId="7CA058B1" w14:textId="77777777" w:rsidR="003447CF" w:rsidRPr="00144AB5" w:rsidRDefault="003447CF" w:rsidP="003447CF">
      <w:pPr>
        <w:pStyle w:val="2"/>
        <w:numPr>
          <w:ilvl w:val="1"/>
          <w:numId w:val="2"/>
        </w:numPr>
        <w:tabs>
          <w:tab w:val="num" w:pos="360"/>
        </w:tabs>
        <w:spacing w:before="0" w:after="0" w:line="360" w:lineRule="auto"/>
        <w:ind w:left="0" w:firstLine="0"/>
        <w:rPr>
          <w:rFonts w:ascii="Times New Roman" w:eastAsiaTheme="minorHAnsi" w:hAnsi="Times New Roman" w:cs="Times New Roman"/>
          <w:b/>
          <w:color w:val="auto"/>
          <w:sz w:val="24"/>
          <w:szCs w:val="24"/>
        </w:rPr>
      </w:pPr>
      <w:r w:rsidRPr="00144AB5">
        <w:rPr>
          <w:rFonts w:ascii="Times New Roman" w:eastAsiaTheme="minorHAnsi" w:hAnsi="Times New Roman" w:cs="Times New Roman"/>
          <w:b/>
          <w:color w:val="auto"/>
          <w:sz w:val="24"/>
          <w:szCs w:val="24"/>
        </w:rPr>
        <w:lastRenderedPageBreak/>
        <w:t>Economic Structure of Kazakhstan Under Soviet Union</w:t>
      </w:r>
    </w:p>
    <w:p w14:paraId="53AFF09D" w14:textId="77777777" w:rsidR="00BA6ECB" w:rsidRDefault="003447CF" w:rsidP="00BA6ECB">
      <w:pPr>
        <w:spacing w:line="360" w:lineRule="auto"/>
        <w:ind w:firstLine="708"/>
        <w:jc w:val="both"/>
        <w:rPr>
          <w:shd w:val="clear" w:color="auto" w:fill="FFFFFF"/>
        </w:rPr>
      </w:pPr>
      <w:r w:rsidRPr="00144AB5">
        <w:t>The 5 republics of Central Asia – Kazakhstan, Kyrgyzstan, Tajikistan, Turkmenistan, and Uzbekistan spent the whole twentieth century under the governance of the USSR and the Soviet centralized economy. Over this period, the economies of these countries grew significantly. However, most experts argue that the Soviet Union's economy was mostly colonial. This economy was based on extracting natural resources such as oil, gas, gold, and metals. According to Mark Harrison, the Soviet economy could grow, but countries with centralized economies were gone. The Soviet Union had no future. Nobody wants to see this country return</w:t>
      </w:r>
      <w:r w:rsidRPr="00792ED2">
        <w:rPr>
          <w:rStyle w:val="ae"/>
          <w:shd w:val="clear" w:color="auto" w:fill="FFFFFF"/>
        </w:rPr>
        <w:footnoteReference w:id="2"/>
      </w:r>
      <w:r w:rsidR="00C9348F">
        <w:rPr>
          <w:shd w:val="clear" w:color="auto" w:fill="FFFFFF"/>
        </w:rPr>
        <w:t xml:space="preserve">. </w:t>
      </w:r>
    </w:p>
    <w:p w14:paraId="5E35A001" w14:textId="77777777" w:rsidR="00BA6ECB" w:rsidRDefault="003447CF" w:rsidP="00BA6ECB">
      <w:pPr>
        <w:spacing w:line="360" w:lineRule="auto"/>
        <w:ind w:firstLine="708"/>
        <w:jc w:val="both"/>
        <w:rPr>
          <w:shd w:val="clear" w:color="auto" w:fill="FFFFFF"/>
        </w:rPr>
      </w:pPr>
      <w:r w:rsidRPr="00144AB5">
        <w:t>Central Asian countries were part of the Soviet centralized economy for about 70 years from 1920 to 1991. With the collapse of the Soviet Union, the “command” economy no longer exists, which excludes future observations of its outcomes. During these 70 years, the centralized economy had a lot of reforms and changes. For instance, by the time of the collapse of the USSR in 1991, the countries in Central Asia reached a significantly higher level of social and economic development compared to the time that countries were operating before the joining of the Soviet Union. The urban population increased significantly, because starting from the 1930s, the USSR highlighted the policy of development because the government realized that they were behind hostile “imperialist powers”. In the seven Soviet decades, urbanization increased much further than in the previous millennium. The types of economic activity and sectors responsible for scientific and technological progress were formed and concentrated. Since the 1960s, the dominant share of GDP was generated there, and the majority of the population resided in urban areas</w:t>
      </w:r>
      <w:r w:rsidRPr="00792ED2">
        <w:rPr>
          <w:rStyle w:val="ae"/>
          <w:shd w:val="clear" w:color="auto" w:fill="FFFFFF"/>
        </w:rPr>
        <w:footnoteReference w:id="3"/>
      </w:r>
      <w:r w:rsidRPr="00144AB5">
        <w:rPr>
          <w:shd w:val="clear" w:color="auto" w:fill="FFFFFF"/>
        </w:rPr>
        <w:t>.</w:t>
      </w:r>
    </w:p>
    <w:p w14:paraId="4826249F" w14:textId="4473F701" w:rsidR="003447CF" w:rsidRPr="00BA6ECB" w:rsidRDefault="003447CF" w:rsidP="003447CF">
      <w:pPr>
        <w:spacing w:line="360" w:lineRule="auto"/>
        <w:ind w:firstLine="708"/>
        <w:jc w:val="both"/>
        <w:rPr>
          <w:shd w:val="clear" w:color="auto" w:fill="FFFFFF"/>
        </w:rPr>
      </w:pPr>
      <w:r w:rsidRPr="00144AB5">
        <w:t>Although the USSR achieved economic success in Central Asia, these results fell short of its strategic expectations. The economy of the Kazakh SSR was based on agriculture, cotton production, and other agricultural crops, as well as extractive industries, including oil, natural gas, gold, and non-ferrous metals</w:t>
      </w:r>
      <w:r w:rsidR="00F33238">
        <w:t>, which also</w:t>
      </w:r>
      <w:r w:rsidRPr="00144AB5">
        <w:t xml:space="preserve"> included the unified Kazakhstan economic region. During the governance of the Soviet Union, it was significantly modified due to investments made by the Soviet Union and programs </w:t>
      </w:r>
      <w:r w:rsidRPr="00144AB5">
        <w:lastRenderedPageBreak/>
        <w:t>aimed at the modernization of this region</w:t>
      </w:r>
      <w:r w:rsidR="00F33238">
        <w:t>.</w:t>
      </w:r>
      <w:r w:rsidRPr="00144AB5">
        <w:t xml:space="preserve"> For instance, the program which was launched in the 1960s by Brezhnev under the control of </w:t>
      </w:r>
      <w:proofErr w:type="spellStart"/>
      <w:r w:rsidRPr="00144AB5">
        <w:t>Dunmukhamed</w:t>
      </w:r>
      <w:proofErr w:type="spellEnd"/>
      <w:r w:rsidRPr="00144AB5">
        <w:t xml:space="preserve"> </w:t>
      </w:r>
      <w:proofErr w:type="spellStart"/>
      <w:r w:rsidRPr="00144AB5">
        <w:t>Kunaev</w:t>
      </w:r>
      <w:proofErr w:type="spellEnd"/>
      <w:r w:rsidRPr="00144AB5">
        <w:t xml:space="preserve">, focused on the transformation of Kazakhstan into a main industrial center of the Soviet Union, with a strong focus on mining, metallurgy, oil and gas extraction, energy production and heavy machinery manufacturing. Thus, from 1955 to 1990, around 45 cities were built, including industrial centers such as Rudny, </w:t>
      </w:r>
      <w:proofErr w:type="spellStart"/>
      <w:r w:rsidRPr="00144AB5">
        <w:t>Ekibastuz</w:t>
      </w:r>
      <w:proofErr w:type="spellEnd"/>
      <w:r w:rsidRPr="00144AB5">
        <w:t>, Aktau, and Temirtau. By the 1980s, Kazakhstan provided a significant share of high-voltage equipment, rolling, and enrichment production throughout the Soviet Union</w:t>
      </w:r>
      <w:r>
        <w:rPr>
          <w:rStyle w:val="ae"/>
          <w:shd w:val="clear" w:color="auto" w:fill="FFFFFF"/>
        </w:rPr>
        <w:footnoteReference w:id="4"/>
      </w:r>
      <w:r w:rsidRPr="00144AB5">
        <w:rPr>
          <w:shd w:val="clear" w:color="auto" w:fill="FFFFFF"/>
        </w:rPr>
        <w:t>.</w:t>
      </w:r>
    </w:p>
    <w:p w14:paraId="7A57B084" w14:textId="23A64976" w:rsidR="003447CF" w:rsidRPr="00144AB5" w:rsidRDefault="003447CF" w:rsidP="00276A2E">
      <w:pPr>
        <w:spacing w:line="252" w:lineRule="auto"/>
        <w:rPr>
          <w:b/>
        </w:rPr>
      </w:pPr>
      <w:r w:rsidRPr="00144AB5">
        <w:rPr>
          <w:b/>
        </w:rPr>
        <w:t>Figure 1. National material product (NMP) growth, USSR and Soviet Central Asia, 1960–1983</w:t>
      </w:r>
      <w:r w:rsidRPr="002B7175">
        <w:rPr>
          <w:noProof/>
          <w:sz w:val="22"/>
          <w:szCs w:val="22"/>
        </w:rPr>
        <w:drawing>
          <wp:inline distT="0" distB="0" distL="0" distR="0" wp14:anchorId="1DFEE782" wp14:editId="322F4B30">
            <wp:extent cx="5376545" cy="2598344"/>
            <wp:effectExtent l="0" t="0" r="8255" b="18415"/>
            <wp:docPr id="872748652" name="Диаграмма 1">
              <a:extLst xmlns:a="http://schemas.openxmlformats.org/drawingml/2006/main">
                <a:ext uri="{FF2B5EF4-FFF2-40B4-BE49-F238E27FC236}">
                  <a16:creationId xmlns:a16="http://schemas.microsoft.com/office/drawing/2014/main" id="{0BD5B533-74F7-A22F-56FF-76EF82D906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144AB5">
        <w:rPr>
          <w:sz w:val="22"/>
          <w:szCs w:val="22"/>
        </w:rPr>
        <w:t xml:space="preserve">Sources: Isaac Scarborough, Central Asia in the Soviet Command Economy, Oxford Research Encyclopedias (2021),  </w:t>
      </w:r>
      <w:hyperlink r:id="rId13" w:history="1">
        <w:r w:rsidRPr="00144AB5">
          <w:rPr>
            <w:sz w:val="22"/>
            <w:szCs w:val="22"/>
          </w:rPr>
          <w:t>https://doi.org/10.1093/acrefore/9780190277727.013.504</w:t>
        </w:r>
      </w:hyperlink>
      <w:r w:rsidRPr="00144AB5">
        <w:rPr>
          <w:sz w:val="22"/>
          <w:szCs w:val="22"/>
        </w:rPr>
        <w:t>.</w:t>
      </w:r>
    </w:p>
    <w:p w14:paraId="7A3AEA19" w14:textId="77777777" w:rsidR="003447CF" w:rsidRPr="00144AB5" w:rsidRDefault="003447CF" w:rsidP="00BA6ECB">
      <w:pPr>
        <w:keepNext/>
        <w:spacing w:after="240" w:line="360" w:lineRule="auto"/>
        <w:jc w:val="both"/>
        <w:rPr>
          <w:sz w:val="22"/>
          <w:szCs w:val="22"/>
        </w:rPr>
      </w:pPr>
    </w:p>
    <w:p w14:paraId="6BD9F1DD" w14:textId="753E832A" w:rsidR="003447CF" w:rsidRPr="00144AB5" w:rsidRDefault="00E32605" w:rsidP="003447CF">
      <w:pPr>
        <w:keepNext/>
        <w:spacing w:after="240" w:line="360" w:lineRule="auto"/>
        <w:ind w:firstLine="708"/>
        <w:jc w:val="both"/>
      </w:pPr>
      <w:r>
        <w:t>Figure 1</w:t>
      </w:r>
      <w:r w:rsidR="003447CF" w:rsidRPr="00144AB5">
        <w:t xml:space="preserve"> represents the annual growth rates of the National Material Product for Kazakh SSR, including the USSR from 1961 to 1981. This indicator (NMP) was the Soviet statistical tool, similar to the Western concept of GDP but it doesn’t consider most service sectors and focused on material production. As we can see from the chart, the data for the Kazakh SSR varies significantly. Compared to the stable growth of the USSR, the Kazakh SSR experienced sudden increases and decreases. Significant economic changes </w:t>
      </w:r>
      <w:r w:rsidR="003447CF" w:rsidRPr="00144AB5">
        <w:lastRenderedPageBreak/>
        <w:t>began in the 1960s due to the Soviet government's implementation of a series of large-scale projects related to developing new lands in Kazakhstan. These projects included the construction of industrial plants, metal-processing facilities, and oil transportation infrastructure, primarily to support the extraction of resources and to improve industrial output. During the 1970s, the economy remained unstable, experiencing fluctuations in growth over periods. The earliest 1980s indicated that the NMP in the Kazakh SSR started to slow down, aligning more closely with the overall Soviet economic growth. This decline reflected the growth inefficiency of the Soviet Economic model, which was heavily reliant on heavy industry, agriculture, and centralized planning. As advanced economies around the world adopted more flexible and market-driven models, the Soviet system was not able to compete with modern economies, ultimately leading to the prolonged economic crisis that culminated in the collapse of the Soviet Union in 1991.</w:t>
      </w:r>
    </w:p>
    <w:p w14:paraId="4218776B" w14:textId="77777777" w:rsidR="00275BC2" w:rsidRDefault="003447CF" w:rsidP="00275BC2">
      <w:pPr>
        <w:keepNext/>
        <w:spacing w:after="240" w:line="360" w:lineRule="auto"/>
        <w:ind w:firstLine="708"/>
        <w:jc w:val="both"/>
      </w:pPr>
      <w:r w:rsidRPr="00144AB5">
        <w:t xml:space="preserve">For 20 years, from 1960 to 1980, Dinmukhamed </w:t>
      </w:r>
      <w:proofErr w:type="spellStart"/>
      <w:r w:rsidRPr="00144AB5">
        <w:t>Kunaev</w:t>
      </w:r>
      <w:proofErr w:type="spellEnd"/>
      <w:r w:rsidRPr="00144AB5">
        <w:t xml:space="preserve"> headed the Kazakh SSR. During his rule, the economy of Kazakhstan diversified significantly, leading to better outcomes. For instance, over the 15 years, more than 1000 plants were built, including engineering facilities, metal processing, and oil enterprises. He had good relations with the leader of the USSR, which allowed him to shift the focus of Moscow to the development and industrialization of Kazakhstan. Nowadays, many political scientists agree that under </w:t>
      </w:r>
      <w:proofErr w:type="spellStart"/>
      <w:r w:rsidRPr="00144AB5">
        <w:t>Kunaev’s</w:t>
      </w:r>
      <w:proofErr w:type="spellEnd"/>
      <w:r w:rsidRPr="00144AB5">
        <w:t xml:space="preserve"> leadership, Kazakhstan has transformed and entered the top three largest economies among Soviet Republics. Moreover, the republic became a major oil supplier due to the discovery of new oil fields in the Caspian Sea region. According to this, three of the country’s largest oil refineries were constructed and still they continue to operate today</w:t>
      </w:r>
      <w:r w:rsidRPr="00BF3045">
        <w:rPr>
          <w:rStyle w:val="ae"/>
          <w:shd w:val="clear" w:color="auto" w:fill="FFFFFF"/>
        </w:rPr>
        <w:footnoteReference w:id="5"/>
      </w:r>
      <w:r w:rsidRPr="00144AB5">
        <w:t xml:space="preserve">. </w:t>
      </w:r>
    </w:p>
    <w:p w14:paraId="366B573A" w14:textId="6FB61ECA" w:rsidR="003447CF" w:rsidRPr="00144AB5" w:rsidRDefault="003447CF" w:rsidP="00275BC2">
      <w:pPr>
        <w:keepNext/>
        <w:spacing w:after="240" w:line="360" w:lineRule="auto"/>
        <w:ind w:firstLine="708"/>
        <w:jc w:val="both"/>
      </w:pPr>
      <w:r w:rsidRPr="00144AB5">
        <w:t xml:space="preserve">Moreover, it is important to highlight that the Soviet Union pursued a policy of "equalization." This meant providing support to the “poorer republics,” especially the countries of Central Asia, to ensure balanced and stable development among all Soviet republics. For instance, Central Asian republics, including Kazakhstan, were allowed to </w:t>
      </w:r>
      <w:r w:rsidRPr="00144AB5">
        <w:lastRenderedPageBreak/>
        <w:t>keep almost all (90–100%) of the sales taxes they collected (called turnover taxes)</w:t>
      </w:r>
      <w:r w:rsidRPr="002C58BB">
        <w:rPr>
          <w:rStyle w:val="ae"/>
          <w:shd w:val="clear" w:color="auto" w:fill="FFFFFF"/>
        </w:rPr>
        <w:footnoteReference w:id="6"/>
      </w:r>
      <w:r w:rsidRPr="00144AB5">
        <w:t xml:space="preserve">. These countries also gained extra funding in the form of subsidies and investments from the central Soviet government. This financial support allowed them to boost their economic growth by developing key industries and infrastructure. In terms of infrastructure, new cities were built in the Kazakh SSR, as well as the Baikonur Cosmodrome, which still operates today. In addition, the Semipalatinsk nuclear polygon was launched, where around 468 nuclear tests were conducted. As a result, from 1976 to 1980, the Soviet Union's economy grew by about 2% per year, while the economy of the Kazakh SSR grew at a faster rate of 4–5% annually. This period of growth was especially strong during the leadership of Brezhnev and Dinmukhamed </w:t>
      </w:r>
      <w:proofErr w:type="spellStart"/>
      <w:r w:rsidRPr="00144AB5">
        <w:t>Kunaev</w:t>
      </w:r>
      <w:proofErr w:type="spellEnd"/>
      <w:r w:rsidRPr="00144AB5">
        <w:t xml:space="preserve"> (the leader of the Kazakh SSR).    It is important to point out that since the economy was centralized, for the statements, soviet statistics used other indicators that were similar to the Western countries like general domestic </w:t>
      </w:r>
      <w:r w:rsidR="00011CD6" w:rsidRPr="00144AB5">
        <w:t>products</w:t>
      </w:r>
      <w:r w:rsidRPr="00144AB5">
        <w:t>. For example, the following figure represents Kazakh SSR’s gross social production during the late Soviet period. It represents the structure of key sectors, including industry, construction, and agriculture.</w:t>
      </w:r>
    </w:p>
    <w:p w14:paraId="4EFE120E" w14:textId="77777777" w:rsidR="003447CF" w:rsidRPr="00585C5A" w:rsidRDefault="003447CF" w:rsidP="003447CF">
      <w:pPr>
        <w:keepNext/>
        <w:jc w:val="both"/>
        <w:rPr>
          <w:b/>
          <w:bCs/>
        </w:rPr>
      </w:pPr>
      <w:r w:rsidRPr="00585C5A">
        <w:rPr>
          <w:b/>
          <w:bCs/>
        </w:rPr>
        <w:t>Example of Figure 2</w:t>
      </w:r>
    </w:p>
    <w:p w14:paraId="04076F97" w14:textId="696FF0D8" w:rsidR="003447CF" w:rsidRPr="000E438E" w:rsidRDefault="002C79BA" w:rsidP="000E438E">
      <w:pPr>
        <w:keepNext/>
        <w:rPr>
          <w:shd w:val="clear" w:color="auto" w:fill="FFFFFF"/>
          <w:lang w:val="ru-RU"/>
        </w:rPr>
      </w:pPr>
      <w:r>
        <w:rPr>
          <w:noProof/>
          <w:shd w:val="clear" w:color="auto" w:fill="FFFFFF"/>
          <w:lang w:val="ru-RU"/>
          <w14:ligatures w14:val="standardContextual"/>
        </w:rPr>
        <w:drawing>
          <wp:inline distT="0" distB="0" distL="0" distR="0" wp14:anchorId="2A96869B" wp14:editId="1F78C85F">
            <wp:extent cx="5390856" cy="2780778"/>
            <wp:effectExtent l="0" t="0" r="0" b="635"/>
            <wp:docPr id="418977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366" cy="2790842"/>
                    </a:xfrm>
                    <a:prstGeom prst="rect">
                      <a:avLst/>
                    </a:prstGeom>
                    <a:noFill/>
                    <a:ln>
                      <a:noFill/>
                    </a:ln>
                  </pic:spPr>
                </pic:pic>
              </a:graphicData>
            </a:graphic>
          </wp:inline>
        </w:drawing>
      </w:r>
    </w:p>
    <w:p w14:paraId="2C50B8CB" w14:textId="13256F87" w:rsidR="003447CF" w:rsidRPr="0084527C" w:rsidRDefault="003447CF" w:rsidP="003447CF">
      <w:pPr>
        <w:keepNext/>
        <w:jc w:val="both"/>
        <w:rPr>
          <w:sz w:val="22"/>
          <w:szCs w:val="22"/>
        </w:rPr>
      </w:pPr>
      <w:r w:rsidRPr="00144AB5">
        <w:rPr>
          <w:sz w:val="22"/>
          <w:szCs w:val="22"/>
        </w:rPr>
        <w:t xml:space="preserve">Sources: </w:t>
      </w:r>
      <w:r w:rsidR="00DB6734" w:rsidRPr="00DB6734">
        <w:rPr>
          <w:sz w:val="22"/>
          <w:szCs w:val="22"/>
        </w:rPr>
        <w:t xml:space="preserve">Scarborough, I. (2021). Central Asia in the Soviet command economy. Oxford Research Encyclopedias. </w:t>
      </w:r>
      <w:hyperlink r:id="rId15" w:tgtFrame="_new" w:history="1">
        <w:r w:rsidR="00DB6734" w:rsidRPr="00DB6734">
          <w:rPr>
            <w:sz w:val="22"/>
            <w:szCs w:val="22"/>
          </w:rPr>
          <w:t>https://doi.org/10.1093/acrefore/9780190277727.013.504</w:t>
        </w:r>
      </w:hyperlink>
      <w:r w:rsidR="0084527C" w:rsidRPr="00E73485">
        <w:rPr>
          <w:sz w:val="22"/>
          <w:szCs w:val="22"/>
        </w:rPr>
        <w:t>.</w:t>
      </w:r>
      <w:r w:rsidR="0084527C">
        <w:rPr>
          <w:sz w:val="22"/>
          <w:szCs w:val="22"/>
        </w:rPr>
        <w:t xml:space="preserve"> The </w:t>
      </w:r>
      <w:r w:rsidR="00303A63">
        <w:rPr>
          <w:sz w:val="22"/>
          <w:szCs w:val="22"/>
        </w:rPr>
        <w:t>data elaborated by me</w:t>
      </w:r>
      <w:r w:rsidR="00FB3326">
        <w:rPr>
          <w:sz w:val="22"/>
          <w:szCs w:val="22"/>
        </w:rPr>
        <w:t xml:space="preserve">. </w:t>
      </w:r>
    </w:p>
    <w:p w14:paraId="2FCDFB6B" w14:textId="5934D549" w:rsidR="003447CF" w:rsidRPr="00144AB5" w:rsidRDefault="003447CF" w:rsidP="00FB3326">
      <w:pPr>
        <w:keepNext/>
        <w:spacing w:line="360" w:lineRule="auto"/>
        <w:ind w:firstLine="708"/>
        <w:jc w:val="both"/>
        <w:rPr>
          <w:shd w:val="clear" w:color="auto" w:fill="FFFFFF"/>
        </w:rPr>
      </w:pPr>
      <w:r w:rsidRPr="00144AB5">
        <w:rPr>
          <w:shd w:val="clear" w:color="auto" w:fill="FFFFFF"/>
        </w:rPr>
        <w:t xml:space="preserve">Gross social production is a statistical tool that the Soviet government used to measure national production. It shows the total value of all products produced in the </w:t>
      </w:r>
      <w:r w:rsidRPr="00144AB5">
        <w:rPr>
          <w:shd w:val="clear" w:color="auto" w:fill="FFFFFF"/>
        </w:rPr>
        <w:lastRenderedPageBreak/>
        <w:t>physical production area only. The main difference between GSP and GDP is that GSP did not take into account the value of intangible spheres and focused only on the production of material goods. As we can see from Figure 2, the graph shows the evolution of the gross public product in the main sectors of the economy of the Kazakh SSR from 1980 to 1991. As was mentioned above, the republic’s industry dominates across all other sectors. This growth was due to the programs that the USSR implemented in Kazakhstan. As we can see, the growth was moderate and sharply increased in 1991 because this country became an independent republic, and the methodology of calculation changed as well. The second main area was agricultural development. This sector reflects steady growth every year, showing that there were active investments in agriculture during the last years of Soviet governance.</w:t>
      </w:r>
    </w:p>
    <w:p w14:paraId="374D7C5A" w14:textId="77777777" w:rsidR="00152335" w:rsidRDefault="003447CF" w:rsidP="00152335">
      <w:pPr>
        <w:pStyle w:val="afa"/>
        <w:spacing w:line="360" w:lineRule="auto"/>
        <w:jc w:val="both"/>
        <w:rPr>
          <w:lang w:val="en-US"/>
        </w:rPr>
      </w:pPr>
      <w:r>
        <w:rPr>
          <w:shd w:val="clear" w:color="auto" w:fill="FFFFFF"/>
          <w:lang w:val="en-US"/>
        </w:rPr>
        <w:tab/>
      </w:r>
      <w:r w:rsidRPr="0040614E">
        <w:rPr>
          <w:shd w:val="clear" w:color="auto" w:fill="FFFFFF"/>
          <w:lang w:val="en-US"/>
        </w:rPr>
        <w:t xml:space="preserve">As far as the population is concerned, due to the development of Virgin Lands, millions of settlers came from Russia and other Soviet republics. Mostly, these people were highly educated, and by the end of 1980, non-Asians accounted for over 60% of the total population of Kazakh SSR. These people helped to promote industrial development </w:t>
      </w:r>
      <w:r w:rsidRPr="00F049F9">
        <w:rPr>
          <w:lang w:val="en-US"/>
        </w:rPr>
        <w:t xml:space="preserve">but at the same time for Kazakhs, it was difficult to find a job leading to the limited participation of indigenous people in the economy. Moreover, after the collapse of the Soviet Union, all these educated people left the country, leaving a significant gap in skilled labor and hindering the country’s ability for the future modernization of its economy and integration into the global market. </w:t>
      </w:r>
    </w:p>
    <w:p w14:paraId="480BC0F6" w14:textId="77777777" w:rsidR="00152335" w:rsidRDefault="00152335" w:rsidP="00152335">
      <w:pPr>
        <w:pStyle w:val="afa"/>
        <w:spacing w:line="360" w:lineRule="auto"/>
        <w:jc w:val="both"/>
        <w:rPr>
          <w:lang w:val="en-US"/>
        </w:rPr>
      </w:pPr>
    </w:p>
    <w:p w14:paraId="51848272" w14:textId="5ECBB5D6" w:rsidR="00D15325" w:rsidRPr="00152335" w:rsidRDefault="007F529C" w:rsidP="00152335">
      <w:pPr>
        <w:pStyle w:val="afa"/>
        <w:spacing w:line="360" w:lineRule="auto"/>
        <w:jc w:val="both"/>
        <w:rPr>
          <w:lang w:val="en-US"/>
        </w:rPr>
      </w:pPr>
      <w:r w:rsidRPr="00152335">
        <w:rPr>
          <w:b/>
          <w:lang w:val="en-US"/>
        </w:rPr>
        <w:t>1.</w:t>
      </w:r>
      <w:r w:rsidR="00871612" w:rsidRPr="00152335">
        <w:rPr>
          <w:b/>
          <w:lang w:val="en-US"/>
        </w:rPr>
        <w:t xml:space="preserve">2 </w:t>
      </w:r>
      <w:r w:rsidR="00400C2B" w:rsidRPr="00152335">
        <w:rPr>
          <w:b/>
          <w:lang w:val="en-US"/>
        </w:rPr>
        <w:t>From Union to Nation: Kazakhstan’s First Steps Toward Independence and Reform</w:t>
      </w:r>
    </w:p>
    <w:p w14:paraId="30DF97C9" w14:textId="374305C9" w:rsidR="00A0693D" w:rsidRPr="00144AB5" w:rsidRDefault="000665B8" w:rsidP="000665B8">
      <w:pPr>
        <w:keepNext/>
        <w:spacing w:line="360" w:lineRule="auto"/>
        <w:ind w:firstLine="708"/>
        <w:jc w:val="both"/>
      </w:pPr>
      <w:r>
        <w:rPr>
          <w:shd w:val="clear" w:color="auto" w:fill="FFFFFF"/>
        </w:rPr>
        <w:t>T</w:t>
      </w:r>
      <w:r w:rsidR="00C74FD7" w:rsidRPr="00144AB5">
        <w:rPr>
          <w:shd w:val="clear" w:color="auto" w:fill="FFFFFF"/>
        </w:rPr>
        <w:t xml:space="preserve">he collapse of the Soviet Union on December 26, 1991, led to significant changes in the entire economy at the end of the 20th century. Kazakhstan, like the other republics, inherited numerous problems from the USSR, the main reason was the deep economic dependence on Moscow, which had its roots in the state planning system. One of Kazakhstan's most important </w:t>
      </w:r>
      <w:r w:rsidR="005B261C" w:rsidRPr="00144AB5">
        <w:rPr>
          <w:shd w:val="clear" w:color="auto" w:fill="FFFFFF"/>
        </w:rPr>
        <w:t>problems</w:t>
      </w:r>
      <w:r w:rsidR="00C74FD7" w:rsidRPr="00144AB5">
        <w:rPr>
          <w:shd w:val="clear" w:color="auto" w:fill="FFFFFF"/>
        </w:rPr>
        <w:t xml:space="preserve"> in the early 1990s was the need to choose a path in the transition period. Moreover, this was not only a challenge for Kazakhstan but also</w:t>
      </w:r>
      <w:r w:rsidR="004F3136" w:rsidRPr="00144AB5">
        <w:rPr>
          <w:shd w:val="clear" w:color="auto" w:fill="FFFFFF"/>
        </w:rPr>
        <w:t xml:space="preserve"> for</w:t>
      </w:r>
      <w:r w:rsidR="00C74FD7" w:rsidRPr="00144AB5">
        <w:rPr>
          <w:shd w:val="clear" w:color="auto" w:fill="FFFFFF"/>
        </w:rPr>
        <w:t xml:space="preserve"> all other post-Soviet countries. The beginning and middle of the 1990s were marked by a wave of heated debates, filled with proposals for political transformation. As N. Nazarbayev pointed out: "Too many factors have become entangled: the objective crisis </w:t>
      </w:r>
      <w:r w:rsidR="00C74FD7" w:rsidRPr="00144AB5">
        <w:rPr>
          <w:shd w:val="clear" w:color="auto" w:fill="FFFFFF"/>
        </w:rPr>
        <w:lastRenderedPageBreak/>
        <w:t>of the system, exhausting geopolitical competition, subjective mistakes by the country’s leadership... Without understanding this colossal rupture, it is impossible to orient ourselves in the present and, more importantly, to define our future</w:t>
      </w:r>
      <w:r w:rsidR="00DD34BB" w:rsidRPr="00144AB5">
        <w:rPr>
          <w:shd w:val="clear" w:color="auto" w:fill="FFFFFF"/>
        </w:rPr>
        <w:t>"</w:t>
      </w:r>
      <w:r w:rsidR="00DD34BB" w:rsidRPr="002C58BB">
        <w:rPr>
          <w:rStyle w:val="ae"/>
          <w:shd w:val="clear" w:color="auto" w:fill="FFFFFF"/>
        </w:rPr>
        <w:footnoteReference w:id="7"/>
      </w:r>
      <w:r w:rsidR="00346988" w:rsidRPr="00144AB5">
        <w:t>.</w:t>
      </w:r>
    </w:p>
    <w:p w14:paraId="6939F861" w14:textId="7B1BB136" w:rsidR="00330750" w:rsidRDefault="00346988" w:rsidP="008F6B61">
      <w:pPr>
        <w:pStyle w:val="afa"/>
        <w:spacing w:line="360" w:lineRule="auto"/>
        <w:ind w:firstLine="708"/>
        <w:jc w:val="both"/>
        <w:rPr>
          <w:lang w:val="en-US"/>
        </w:rPr>
      </w:pPr>
      <w:r w:rsidRPr="00346988">
        <w:rPr>
          <w:lang w:val="en-US"/>
        </w:rPr>
        <w:t>Since the collapse of the Soviet Union, there has been sufficient time to determine the reasons and gaps in the system that led to the country’s collapse. One of the reasons was a budget deficit. As Nazarbayev pointed out, the arms race was one of the reasons. Experts estimated that more than 20 trillion dollars were spent on weapons between 1950 and 1991</w:t>
      </w:r>
      <w:r w:rsidRPr="002C58BB">
        <w:rPr>
          <w:rStyle w:val="ae"/>
          <w:shd w:val="clear" w:color="auto" w:fill="FFFFFF"/>
        </w:rPr>
        <w:footnoteReference w:id="8"/>
      </w:r>
      <w:r w:rsidRPr="00DD34BB">
        <w:rPr>
          <w:lang w:val="en-US"/>
        </w:rPr>
        <w:t>.</w:t>
      </w:r>
      <w:r w:rsidR="00830DE9">
        <w:rPr>
          <w:lang w:val="en-US"/>
        </w:rPr>
        <w:t xml:space="preserve"> </w:t>
      </w:r>
      <w:r w:rsidRPr="00346988">
        <w:rPr>
          <w:lang w:val="en-US"/>
        </w:rPr>
        <w:t xml:space="preserve">As for Kazakhstan, the technologies and enterprises transferred to the country were outdated compared to those in the West. For instance, the technologies developed in the Soviet Union were classified, which reduced the overall scientific and technical potential. Moreover, the economic stagnation during Brezhnev’s rule and the ensuing Gorbachev Revolution eventually led to the country’s disintegration. The Communist Party gradually lost its control, while the population did not see a future for the Soviet </w:t>
      </w:r>
      <w:r w:rsidRPr="00F049F9">
        <w:rPr>
          <w:lang w:val="en-US"/>
        </w:rPr>
        <w:t>State. As a result, the Cold War, military spending, reforms (perestroika), economic decline, and inefficiency</w:t>
      </w:r>
      <w:r w:rsidR="0075033A" w:rsidRPr="00F049F9">
        <w:rPr>
          <w:lang w:val="en-US"/>
        </w:rPr>
        <w:t xml:space="preserve"> of policy</w:t>
      </w:r>
      <w:r w:rsidRPr="00F049F9">
        <w:rPr>
          <w:lang w:val="en-US"/>
        </w:rPr>
        <w:t xml:space="preserve"> led to the collapse of the Soviet Union by the end of 1991.</w:t>
      </w:r>
      <w:r w:rsidR="00330750" w:rsidRPr="00F049F9">
        <w:rPr>
          <w:lang w:val="en-US"/>
        </w:rPr>
        <w:t xml:space="preserve"> </w:t>
      </w:r>
      <w:r w:rsidR="0075033A" w:rsidRPr="00F049F9">
        <w:rPr>
          <w:lang w:val="en-US"/>
        </w:rPr>
        <w:tab/>
      </w:r>
    </w:p>
    <w:p w14:paraId="692DB1E9" w14:textId="023ECB66" w:rsidR="00CC3CA3" w:rsidRPr="00CC3CA3" w:rsidRDefault="005F14A8" w:rsidP="005F14A8">
      <w:pPr>
        <w:keepNext/>
        <w:spacing w:line="360" w:lineRule="auto"/>
        <w:jc w:val="both"/>
        <w:rPr>
          <w:b/>
          <w:bCs/>
        </w:rPr>
      </w:pPr>
      <w:r w:rsidRPr="00571AFA">
        <w:rPr>
          <w:b/>
          <w:bCs/>
        </w:rPr>
        <w:t xml:space="preserve">Illustration </w:t>
      </w:r>
      <w:r>
        <w:rPr>
          <w:b/>
          <w:bCs/>
        </w:rPr>
        <w:t xml:space="preserve">1. </w:t>
      </w:r>
      <w:r w:rsidR="00CC3CA3" w:rsidRPr="001139AC">
        <w:rPr>
          <w:b/>
          <w:bCs/>
        </w:rPr>
        <w:t xml:space="preserve">Map of </w:t>
      </w:r>
      <w:r w:rsidR="00CC3CA3">
        <w:rPr>
          <w:b/>
          <w:bCs/>
        </w:rPr>
        <w:t>Kazakhstan</w:t>
      </w:r>
    </w:p>
    <w:p w14:paraId="733981E5" w14:textId="44FE9972" w:rsidR="009359B1" w:rsidRDefault="008100E5" w:rsidP="00E60175">
      <w:pPr>
        <w:keepNext/>
        <w:spacing w:line="360" w:lineRule="auto"/>
        <w:jc w:val="both"/>
      </w:pPr>
      <w:r>
        <w:rPr>
          <w:noProof/>
          <w14:ligatures w14:val="standardContextual"/>
        </w:rPr>
        <w:drawing>
          <wp:inline distT="0" distB="0" distL="0" distR="0" wp14:anchorId="700089C2" wp14:editId="0126EB7A">
            <wp:extent cx="5415915" cy="2585720"/>
            <wp:effectExtent l="0" t="0" r="0" b="5080"/>
            <wp:docPr id="1227829068" name="Рисунок 2" descr="Изображение выглядит как карта, текст, атлас&#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29068" name="Рисунок 2" descr="Изображение выглядит как карта, текст, атлас&#10;&#10;Контент, сгенерированный ИИ, может содержать ошибки."/>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1534" cy="2607500"/>
                    </a:xfrm>
                    <a:prstGeom prst="rect">
                      <a:avLst/>
                    </a:prstGeom>
                  </pic:spPr>
                </pic:pic>
              </a:graphicData>
            </a:graphic>
          </wp:inline>
        </w:drawing>
      </w:r>
    </w:p>
    <w:p w14:paraId="2EBD13F8" w14:textId="45B7B025" w:rsidR="00C97190" w:rsidRPr="00144AB5" w:rsidRDefault="00816A80" w:rsidP="5F9428B7">
      <w:pPr>
        <w:keepNext/>
        <w:spacing w:line="360" w:lineRule="auto"/>
        <w:jc w:val="both"/>
      </w:pPr>
      <w:r w:rsidRPr="00144AB5">
        <w:rPr>
          <w:sz w:val="22"/>
          <w:szCs w:val="22"/>
        </w:rPr>
        <w:t>Source:</w:t>
      </w:r>
      <w:r w:rsidR="002945F4" w:rsidRPr="00144AB5">
        <w:rPr>
          <w:sz w:val="22"/>
          <w:szCs w:val="22"/>
        </w:rPr>
        <w:t xml:space="preserve"> </w:t>
      </w:r>
      <w:hyperlink r:id="rId17">
        <w:r w:rsidR="002945F4" w:rsidRPr="00144AB5">
          <w:rPr>
            <w:rStyle w:val="af0"/>
            <w:sz w:val="22"/>
            <w:szCs w:val="22"/>
          </w:rPr>
          <w:t>https://www.italkazak.it/wp-content/uploads/2012/06/kazakhst_map.pdf</w:t>
        </w:r>
      </w:hyperlink>
    </w:p>
    <w:p w14:paraId="0DD14FAF" w14:textId="6AA85575" w:rsidR="006A65A9" w:rsidRPr="003D76D9" w:rsidRDefault="006A65A9" w:rsidP="002F04AC">
      <w:pPr>
        <w:pStyle w:val="afa"/>
        <w:spacing w:line="360" w:lineRule="auto"/>
        <w:ind w:firstLine="708"/>
        <w:jc w:val="both"/>
        <w:rPr>
          <w:lang w:val="en-US"/>
        </w:rPr>
      </w:pPr>
      <w:r w:rsidRPr="006A65A9">
        <w:rPr>
          <w:lang w:val="en-US"/>
        </w:rPr>
        <w:t xml:space="preserve">Kazakhstan gained independence on 16 December 1991, after the dissolution of the USSR. </w:t>
      </w:r>
      <w:r w:rsidRPr="005D0D20">
        <w:rPr>
          <w:lang w:val="en-US"/>
        </w:rPr>
        <w:t xml:space="preserve">The country subsequently adopted the Constitutional Law on the </w:t>
      </w:r>
      <w:r w:rsidRPr="005D0D20">
        <w:rPr>
          <w:lang w:val="en-US"/>
        </w:rPr>
        <w:lastRenderedPageBreak/>
        <w:t xml:space="preserve">Independence of the Republic of Kazakhstan. Based on the Constitution, the Republic of Kazakhstan is a unitary state with a presidential system of government. According to the Constitution, Kazakhstan is a democratic country where individual life, freedom, and rights are its highest values. The first capital city was Almaty, and the current capital is Astana; and the official language is Kazakh. </w:t>
      </w:r>
      <w:r w:rsidRPr="006A65A9">
        <w:rPr>
          <w:lang w:val="en-US"/>
        </w:rPr>
        <w:t>An essential step towards economic sovereignty was the introduction of a national currency, the tenge, in Kazakhstan on November 15, 1993, which substituted the Soviet ruble and created an independent monetary system</w:t>
      </w:r>
      <w:r w:rsidRPr="002C58BB">
        <w:rPr>
          <w:rStyle w:val="ae"/>
          <w:shd w:val="clear" w:color="auto" w:fill="FFFFFF"/>
        </w:rPr>
        <w:footnoteReference w:id="9"/>
      </w:r>
      <w:r w:rsidRPr="00DD34BB">
        <w:rPr>
          <w:lang w:val="en-US"/>
        </w:rPr>
        <w:t>.</w:t>
      </w:r>
      <w:r>
        <w:rPr>
          <w:lang w:val="en-US"/>
        </w:rPr>
        <w:t xml:space="preserve"> </w:t>
      </w:r>
      <w:r w:rsidRPr="006A65A9">
        <w:rPr>
          <w:lang w:val="en-US"/>
        </w:rPr>
        <w:t xml:space="preserve">Since independence, the country has pursued a multi-vector approach, seeking equally good relations with its two major neighbors, Russia and China, as well as with Western powers such as the United States, the European Union, and Turkey. </w:t>
      </w:r>
      <w:r w:rsidRPr="005D0D20">
        <w:rPr>
          <w:lang w:val="en-US"/>
        </w:rPr>
        <w:t xml:space="preserve">Kazakhstan is a multi-national country. Today, the country is deeply integrated into international processes and is a member of leading international organizations. </w:t>
      </w:r>
      <w:r w:rsidRPr="00CC5059">
        <w:rPr>
          <w:lang w:val="en-US"/>
        </w:rPr>
        <w:t xml:space="preserve">Expo-2017 allowed the country to strengthen its position and recognition on the world stage. </w:t>
      </w:r>
      <w:r w:rsidRPr="005D0D20">
        <w:rPr>
          <w:lang w:val="en-US"/>
        </w:rPr>
        <w:t xml:space="preserve">The government has established diplomatic relations with 180 states of the world. </w:t>
      </w:r>
      <w:r w:rsidRPr="006A65A9">
        <w:rPr>
          <w:lang w:val="en-US"/>
        </w:rPr>
        <w:t>Kazakhstan is ethnically and culturally diverse. Over 100 nationalities are represented in its population. With an area of 2.7 million km², the country is the 9th largest landlocked country in the world. Its landscapes span the country from west to east, from the Caspian Sea to the Altai Mountains, and from north to south, from the plains of Western Siberia to the oases and deserts of Central Asia</w:t>
      </w:r>
      <w:r w:rsidRPr="00470FC1">
        <w:rPr>
          <w:rStyle w:val="ae"/>
          <w:shd w:val="clear" w:color="auto" w:fill="FFFFFF"/>
        </w:rPr>
        <w:footnoteReference w:id="10"/>
      </w:r>
      <w:r w:rsidRPr="00470FC1">
        <w:rPr>
          <w:lang w:val="en-US"/>
        </w:rPr>
        <w:t>.</w:t>
      </w:r>
    </w:p>
    <w:p w14:paraId="4FBB5825" w14:textId="130ED608" w:rsidR="00571AFA" w:rsidRPr="008D7327" w:rsidRDefault="00571AFA" w:rsidP="00144AB5">
      <w:pPr>
        <w:pStyle w:val="afa"/>
        <w:spacing w:line="360" w:lineRule="auto"/>
        <w:jc w:val="both"/>
        <w:rPr>
          <w:b/>
          <w:lang w:val="en-US"/>
        </w:rPr>
      </w:pPr>
      <w:r w:rsidRPr="008D7327">
        <w:rPr>
          <w:b/>
          <w:lang w:val="en-US"/>
        </w:rPr>
        <w:t xml:space="preserve">Illustration </w:t>
      </w:r>
      <w:r w:rsidR="00F90805" w:rsidRPr="008D7327">
        <w:rPr>
          <w:b/>
          <w:lang w:val="en-US"/>
        </w:rPr>
        <w:t>2</w:t>
      </w:r>
      <w:r w:rsidRPr="008D7327">
        <w:rPr>
          <w:b/>
          <w:lang w:val="en-US"/>
        </w:rPr>
        <w:t xml:space="preserve">. National </w:t>
      </w:r>
      <w:r w:rsidR="00B23A63" w:rsidRPr="008D7327">
        <w:rPr>
          <w:b/>
          <w:lang w:val="en-US"/>
        </w:rPr>
        <w:t>Flag</w:t>
      </w:r>
      <w:r w:rsidRPr="008D7327">
        <w:rPr>
          <w:b/>
          <w:lang w:val="en-US"/>
        </w:rPr>
        <w:t xml:space="preserve"> of Kazakhstan</w:t>
      </w:r>
    </w:p>
    <w:p w14:paraId="458CA42F" w14:textId="442D4AD9" w:rsidR="000577E8" w:rsidRPr="00144AB5" w:rsidRDefault="00993A7B" w:rsidP="000577E8">
      <w:pPr>
        <w:spacing w:line="360" w:lineRule="auto"/>
        <w:rPr>
          <w:sz w:val="22"/>
          <w:szCs w:val="22"/>
        </w:rPr>
      </w:pPr>
      <w:r>
        <w:rPr>
          <w:noProof/>
        </w:rPr>
        <w:lastRenderedPageBreak/>
        <w:drawing>
          <wp:inline distT="0" distB="0" distL="0" distR="0" wp14:anchorId="6EE08E3D" wp14:editId="7D0E0F4E">
            <wp:extent cx="5530850" cy="2853732"/>
            <wp:effectExtent l="0" t="0" r="0" b="3810"/>
            <wp:docPr id="817354111" name="Рисунок 3" descr="Изображение выглядит как снимок экрана, текст, графический дизайн,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18">
                      <a:extLst>
                        <a:ext uri="{28A0092B-C50C-407E-A947-70E740481C1C}">
                          <a14:useLocalDpi xmlns:a14="http://schemas.microsoft.com/office/drawing/2010/main" val="0"/>
                        </a:ext>
                      </a:extLst>
                    </a:blip>
                    <a:stretch>
                      <a:fillRect/>
                    </a:stretch>
                  </pic:blipFill>
                  <pic:spPr>
                    <a:xfrm>
                      <a:off x="0" y="0"/>
                      <a:ext cx="5565052" cy="2871379"/>
                    </a:xfrm>
                    <a:prstGeom prst="rect">
                      <a:avLst/>
                    </a:prstGeom>
                  </pic:spPr>
                </pic:pic>
              </a:graphicData>
            </a:graphic>
          </wp:inline>
        </w:drawing>
      </w:r>
      <w:r w:rsidR="000577E8" w:rsidRPr="00144AB5">
        <w:rPr>
          <w:sz w:val="22"/>
          <w:szCs w:val="22"/>
        </w:rPr>
        <w:t xml:space="preserve">Source: </w:t>
      </w:r>
      <w:proofErr w:type="spellStart"/>
      <w:r w:rsidR="000577E8" w:rsidRPr="00144AB5">
        <w:rPr>
          <w:sz w:val="22"/>
          <w:szCs w:val="22"/>
        </w:rPr>
        <w:t>Alamy</w:t>
      </w:r>
      <w:proofErr w:type="spellEnd"/>
      <w:r w:rsidR="00AD438D" w:rsidRPr="00144AB5">
        <w:rPr>
          <w:sz w:val="22"/>
          <w:szCs w:val="22"/>
        </w:rPr>
        <w:t xml:space="preserve">, </w:t>
      </w:r>
      <w:hyperlink r:id="rId19">
        <w:r w:rsidR="00AD438D" w:rsidRPr="00144AB5">
          <w:rPr>
            <w:rStyle w:val="af0"/>
            <w:sz w:val="22"/>
            <w:szCs w:val="22"/>
          </w:rPr>
          <w:t xml:space="preserve">Flag of Kazakhstan - </w:t>
        </w:r>
        <w:proofErr w:type="spellStart"/>
        <w:r w:rsidR="00AD438D" w:rsidRPr="00144AB5">
          <w:rPr>
            <w:rStyle w:val="af0"/>
            <w:sz w:val="22"/>
            <w:szCs w:val="22"/>
          </w:rPr>
          <w:t>Alamy</w:t>
        </w:r>
        <w:proofErr w:type="spellEnd"/>
        <w:r w:rsidR="00AD438D" w:rsidRPr="00144AB5">
          <w:rPr>
            <w:rStyle w:val="af0"/>
            <w:sz w:val="22"/>
            <w:szCs w:val="22"/>
          </w:rPr>
          <w:t xml:space="preserve"> Image</w:t>
        </w:r>
      </w:hyperlink>
    </w:p>
    <w:p w14:paraId="0F9C177C" w14:textId="71B9AE47" w:rsidR="00CC5059" w:rsidRPr="00FF2FFD" w:rsidRDefault="00CC5059" w:rsidP="00CC5059">
      <w:pPr>
        <w:pStyle w:val="afa"/>
        <w:spacing w:line="360" w:lineRule="auto"/>
        <w:ind w:firstLine="708"/>
        <w:jc w:val="both"/>
        <w:rPr>
          <w:lang w:val="en-US"/>
        </w:rPr>
      </w:pPr>
      <w:r w:rsidRPr="00C56744">
        <w:rPr>
          <w:highlight w:val="yellow"/>
          <w:lang w:val="en-US"/>
        </w:rPr>
        <w:t>During the years of independence, Kazakhstan has made a significant breakthrough in the creation of multi-faceted politics. On 2 March 1992, the country became a member of the United Nations, which allowed it to establish links with influential financial institutions such as the International Bank for Reconstruction and Development, the European Bank for Reconstruction and Development, the International Monetary Fund, and UNESCO.  The new country became a member of the international forums, including the Conference on Security and Cooperation in Europe, the Organization for Regional Cooperation of Asian Countries, North Atlantic Council for Cooperation</w:t>
      </w:r>
      <w:r w:rsidRPr="00C56744">
        <w:rPr>
          <w:rStyle w:val="ae"/>
          <w:highlight w:val="yellow"/>
          <w:shd w:val="clear" w:color="auto" w:fill="FFFFFF"/>
        </w:rPr>
        <w:footnoteReference w:id="11"/>
      </w:r>
      <w:r w:rsidRPr="00C56744">
        <w:rPr>
          <w:highlight w:val="yellow"/>
          <w:lang w:val="en-US"/>
        </w:rPr>
        <w:t>.</w:t>
      </w:r>
      <w:r w:rsidRPr="00144AB5">
        <w:rPr>
          <w:lang w:val="en-US"/>
        </w:rPr>
        <w:t> </w:t>
      </w:r>
    </w:p>
    <w:p w14:paraId="3805F045" w14:textId="4F70051C" w:rsidR="00013DF4" w:rsidRPr="00E2433D" w:rsidRDefault="00E2433D" w:rsidP="00DE0EA3">
      <w:pPr>
        <w:pStyle w:val="afa"/>
        <w:spacing w:line="360" w:lineRule="auto"/>
        <w:ind w:firstLine="708"/>
        <w:jc w:val="both"/>
        <w:rPr>
          <w:lang w:val="en-US"/>
        </w:rPr>
      </w:pPr>
      <w:r w:rsidRPr="00E2433D">
        <w:rPr>
          <w:lang w:val="en-US"/>
        </w:rPr>
        <w:t>1992 was an essential stage of preparation for the creation of the Basic Law - the first in the history of Kazakhstan's independence</w:t>
      </w:r>
      <w:r w:rsidRPr="002C58BB">
        <w:rPr>
          <w:rStyle w:val="ae"/>
          <w:shd w:val="clear" w:color="auto" w:fill="FFFFFF"/>
        </w:rPr>
        <w:footnoteReference w:id="12"/>
      </w:r>
      <w:r w:rsidRPr="00C614DD">
        <w:rPr>
          <w:lang w:val="en-US"/>
        </w:rPr>
        <w:t>.</w:t>
      </w:r>
      <w:r>
        <w:rPr>
          <w:lang w:val="en-US"/>
        </w:rPr>
        <w:t xml:space="preserve"> </w:t>
      </w:r>
      <w:r w:rsidRPr="00E2433D">
        <w:rPr>
          <w:lang w:val="en-US"/>
        </w:rPr>
        <w:t xml:space="preserve">The Head of State presided over a meeting of the Constitutional Commission, where the draft constitution was discussed. Summing up, the President noted that there is still a lot of work to be done before bringing it to the national discussion. The main elements of the new Constitution would be its focus on the future, specifying the rights and obligations of the Republic's citizens, taking into account the country's current realities, and a clear legal foundation for all formulations, including those concerning state administration. No paragraph of the Constitution suggested that the President should cause discord, inflame the situation in society, or </w:t>
      </w:r>
      <w:r w:rsidRPr="00E2433D">
        <w:rPr>
          <w:lang w:val="en-US"/>
        </w:rPr>
        <w:lastRenderedPageBreak/>
        <w:t>provoke confrontation. More than 3 million people participated in the discussion of the draft constitution, and over 18 thousand comments and suggestions were made. The Head of State called on deputies to a wise, considered, and constructive discussion of the draft Basic Law. On January 28, 1991, Nazarbayev delivered a speech at a ceremony of the Supreme Soviet forum dedicated to the adoption of the Constitution of the Republic of Kazakhstan. Congratulating the people of Kazakhstan on this event, the President pointed out that the establishment of a legal basis for statehood, transition to a qualitatively new stage of ensuring national independence, and real guarantees of civil rights and freedoms, began practical implementation of the construction of a democratic society, and a state governed by the rule of law</w:t>
      </w:r>
      <w:r w:rsidRPr="002C58BB">
        <w:rPr>
          <w:rStyle w:val="ae"/>
          <w:shd w:val="clear" w:color="auto" w:fill="FFFFFF"/>
        </w:rPr>
        <w:footnoteReference w:id="13"/>
      </w:r>
      <w:r w:rsidRPr="00C614DD">
        <w:rPr>
          <w:lang w:val="en-US"/>
        </w:rPr>
        <w:t>.</w:t>
      </w:r>
    </w:p>
    <w:p w14:paraId="5E70C5C5" w14:textId="77777777" w:rsidR="007A1A19" w:rsidRPr="00EB1BAB" w:rsidRDefault="00F72CBC" w:rsidP="007A1A19">
      <w:pPr>
        <w:pStyle w:val="afa"/>
        <w:spacing w:line="360" w:lineRule="auto"/>
        <w:jc w:val="both"/>
        <w:rPr>
          <w:lang w:val="en-US"/>
        </w:rPr>
      </w:pPr>
      <w:r>
        <w:rPr>
          <w:lang w:val="en-US"/>
        </w:rPr>
        <w:tab/>
      </w:r>
      <w:r w:rsidR="008064C4" w:rsidRPr="008064C4">
        <w:rPr>
          <w:lang w:val="en-US"/>
        </w:rPr>
        <w:t>It is worth noting that before the October Revolution, Kazakhs were nomads. Their main occupation was cattle breeding. Currently, Kazakhs make up just over 40 percent of the population, Russians just under 40 percent, and the remaining 20 percent is distributed among other nationalities. The country has extensive natural resources. The development of oil, natural gas, and mineral production has attracted more than 40 billion dollars since 1993 and accounts for about 50% of the country's industrial production. The country also has reserves of uranium, chromium, lead, zinc, manganese, coal, iron, gold, and is an exporter of diamonds. Kazakhstan holds the 11th place in estimated oil and natural gas reserves</w:t>
      </w:r>
      <w:r w:rsidR="008064C4" w:rsidRPr="002C58BB">
        <w:rPr>
          <w:rStyle w:val="ae"/>
          <w:shd w:val="clear" w:color="auto" w:fill="FFFFFF"/>
        </w:rPr>
        <w:footnoteReference w:id="14"/>
      </w:r>
      <w:r w:rsidR="008064C4" w:rsidRPr="00C614DD">
        <w:rPr>
          <w:lang w:val="en-US"/>
        </w:rPr>
        <w:t>.</w:t>
      </w:r>
      <w:r w:rsidR="008064C4">
        <w:rPr>
          <w:lang w:val="en-US"/>
        </w:rPr>
        <w:t xml:space="preserve"> </w:t>
      </w:r>
      <w:r w:rsidR="008064C4" w:rsidRPr="008064C4">
        <w:rPr>
          <w:lang w:val="en-US"/>
        </w:rPr>
        <w:t xml:space="preserve">The first place is held by Kashagan, which is the largest oil field in the world. Based on geologists' data, oil resources account for 4.8 billion tons. The second place is claimed by Tengiz. Tengiz is a large oil and gas field, 160 kilometers from the city of Atyrau, which was discovered in 1979. The extracted oil reserves are estimated to be from 750 million to 1.1 billion tons. The field contributes about 30% of the total national oil production. The third place is given to Karachaganak. This is an oil and gas condensate field located in the Western Kazakhstan region, near the town of Aksai. The reserves are valued at 1.2 billion tons of oil and 1.35 trillion cubic meters of gas. Attention is drawn to the fact that more than $20.6 billion has been invested since </w:t>
      </w:r>
      <w:r w:rsidR="008064C4" w:rsidRPr="008064C4">
        <w:rPr>
          <w:lang w:val="en-US"/>
        </w:rPr>
        <w:lastRenderedPageBreak/>
        <w:t>1997. Based on revenues, for 2015, they amounted to 401.552 billion tenge and 6.795 billion tenge from gas sales</w:t>
      </w:r>
      <w:r w:rsidR="007A1A19" w:rsidRPr="002C58BB">
        <w:rPr>
          <w:rStyle w:val="ae"/>
          <w:shd w:val="clear" w:color="auto" w:fill="FFFFFF"/>
        </w:rPr>
        <w:footnoteReference w:id="15"/>
      </w:r>
      <w:r w:rsidR="007A1A19">
        <w:rPr>
          <w:lang w:val="en-US"/>
        </w:rPr>
        <w:t>.</w:t>
      </w:r>
    </w:p>
    <w:p w14:paraId="091E281B" w14:textId="2104A346" w:rsidR="008A118E" w:rsidRPr="000350F7" w:rsidRDefault="00C614DD" w:rsidP="007A1A19">
      <w:pPr>
        <w:pStyle w:val="afa"/>
        <w:spacing w:line="360" w:lineRule="auto"/>
        <w:ind w:firstLine="708"/>
        <w:jc w:val="both"/>
        <w:rPr>
          <w:lang w:val="en-US"/>
        </w:rPr>
      </w:pPr>
      <w:r w:rsidRPr="00144AB5">
        <w:rPr>
          <w:lang w:val="en-US"/>
        </w:rPr>
        <w:t>To better understand the economic conditions Kazakhstan faced immediately after gaining independence in 1991, it is useful to examine its economic position during this transitional period. The following table represents the Balance of Payments estimates for Kazakhstan in 1992. These figures reflect the country's early difficulties with trade imbalances, foreign financing needs, and structural weaknesses inherited from the centrally planned economy of the Soviet Union.</w:t>
      </w:r>
    </w:p>
    <w:p w14:paraId="2E923F98" w14:textId="221D0B4E" w:rsidR="00CF6099" w:rsidRDefault="00B01F41" w:rsidP="00E60175">
      <w:pPr>
        <w:keepNext/>
        <w:spacing w:line="360" w:lineRule="auto"/>
        <w:jc w:val="both"/>
        <w:rPr>
          <w:b/>
        </w:rPr>
      </w:pPr>
      <w:r w:rsidRPr="00144AB5">
        <w:rPr>
          <w:b/>
        </w:rPr>
        <w:t xml:space="preserve">Table 1. </w:t>
      </w:r>
      <w:r w:rsidR="00E876C4" w:rsidRPr="00144AB5">
        <w:rPr>
          <w:b/>
        </w:rPr>
        <w:t>Balance of payments estimated for 1992.</w:t>
      </w:r>
    </w:p>
    <w:tbl>
      <w:tblPr>
        <w:tblW w:w="8637" w:type="dxa"/>
        <w:tblLook w:val="04A0" w:firstRow="1" w:lastRow="0" w:firstColumn="1" w:lastColumn="0" w:noHBand="0" w:noVBand="1"/>
      </w:tblPr>
      <w:tblGrid>
        <w:gridCol w:w="3392"/>
        <w:gridCol w:w="1708"/>
        <w:gridCol w:w="1879"/>
        <w:gridCol w:w="1984"/>
      </w:tblGrid>
      <w:tr w:rsidR="00FF42BF" w14:paraId="286BD45B" w14:textId="77777777" w:rsidTr="00FF42BF">
        <w:trPr>
          <w:trHeight w:val="320"/>
        </w:trPr>
        <w:tc>
          <w:tcPr>
            <w:tcW w:w="339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AC6CA6D" w14:textId="77777777" w:rsidR="00FF42BF" w:rsidRDefault="00FF42BF">
            <w:pPr>
              <w:jc w:val="center"/>
              <w:rPr>
                <w:color w:val="000000"/>
                <w:sz w:val="22"/>
                <w:szCs w:val="22"/>
              </w:rPr>
            </w:pPr>
            <w:r>
              <w:rPr>
                <w:color w:val="000000"/>
                <w:sz w:val="22"/>
                <w:szCs w:val="22"/>
              </w:rPr>
              <w:t>Appellation</w:t>
            </w:r>
          </w:p>
        </w:tc>
        <w:tc>
          <w:tcPr>
            <w:tcW w:w="1382" w:type="dxa"/>
            <w:tcBorders>
              <w:top w:val="single" w:sz="8" w:space="0" w:color="auto"/>
              <w:left w:val="nil"/>
              <w:bottom w:val="single" w:sz="8" w:space="0" w:color="auto"/>
              <w:right w:val="single" w:sz="8" w:space="0" w:color="auto"/>
            </w:tcBorders>
            <w:shd w:val="clear" w:color="auto" w:fill="auto"/>
            <w:noWrap/>
            <w:vAlign w:val="center"/>
            <w:hideMark/>
          </w:tcPr>
          <w:p w14:paraId="57508047" w14:textId="77777777" w:rsidR="00FF42BF" w:rsidRDefault="00FF42BF">
            <w:pPr>
              <w:jc w:val="center"/>
              <w:rPr>
                <w:b/>
                <w:bCs/>
                <w:color w:val="000000"/>
                <w:sz w:val="22"/>
                <w:szCs w:val="22"/>
              </w:rPr>
            </w:pPr>
            <w:r>
              <w:rPr>
                <w:b/>
                <w:bCs/>
                <w:color w:val="000000"/>
                <w:sz w:val="22"/>
                <w:szCs w:val="22"/>
              </w:rPr>
              <w:t>Interrepublican trade</w:t>
            </w:r>
          </w:p>
        </w:tc>
        <w:tc>
          <w:tcPr>
            <w:tcW w:w="1879" w:type="dxa"/>
            <w:tcBorders>
              <w:top w:val="single" w:sz="8" w:space="0" w:color="auto"/>
              <w:left w:val="nil"/>
              <w:bottom w:val="single" w:sz="8" w:space="0" w:color="auto"/>
              <w:right w:val="single" w:sz="8" w:space="0" w:color="auto"/>
            </w:tcBorders>
            <w:shd w:val="clear" w:color="auto" w:fill="auto"/>
            <w:noWrap/>
            <w:vAlign w:val="center"/>
            <w:hideMark/>
          </w:tcPr>
          <w:p w14:paraId="465604FA" w14:textId="77777777" w:rsidR="00FF42BF" w:rsidRDefault="00FF42BF">
            <w:pPr>
              <w:rPr>
                <w:b/>
                <w:bCs/>
                <w:color w:val="000000"/>
                <w:sz w:val="22"/>
                <w:szCs w:val="22"/>
              </w:rPr>
            </w:pPr>
            <w:r>
              <w:rPr>
                <w:b/>
                <w:bCs/>
                <w:color w:val="000000"/>
                <w:sz w:val="22"/>
                <w:szCs w:val="22"/>
              </w:rPr>
              <w:t>Currencies</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14:paraId="6D09B4D9" w14:textId="77777777" w:rsidR="00FF42BF" w:rsidRDefault="00FF42BF">
            <w:pPr>
              <w:rPr>
                <w:color w:val="000000"/>
                <w:sz w:val="22"/>
                <w:szCs w:val="22"/>
              </w:rPr>
            </w:pPr>
            <w:r>
              <w:rPr>
                <w:color w:val="000000"/>
                <w:sz w:val="22"/>
                <w:szCs w:val="22"/>
              </w:rPr>
              <w:t>Total</w:t>
            </w:r>
          </w:p>
        </w:tc>
      </w:tr>
      <w:tr w:rsidR="00FF42BF" w14:paraId="2DE40388" w14:textId="77777777" w:rsidTr="00FF42BF">
        <w:trPr>
          <w:trHeight w:val="320"/>
        </w:trPr>
        <w:tc>
          <w:tcPr>
            <w:tcW w:w="3392" w:type="dxa"/>
            <w:vMerge/>
            <w:tcBorders>
              <w:top w:val="single" w:sz="8" w:space="0" w:color="auto"/>
              <w:left w:val="single" w:sz="8" w:space="0" w:color="auto"/>
              <w:bottom w:val="single" w:sz="8" w:space="0" w:color="000000"/>
              <w:right w:val="single" w:sz="8" w:space="0" w:color="auto"/>
            </w:tcBorders>
            <w:vAlign w:val="center"/>
            <w:hideMark/>
          </w:tcPr>
          <w:p w14:paraId="4BBE73B6" w14:textId="77777777" w:rsidR="00FF42BF" w:rsidRDefault="00FF42BF">
            <w:pPr>
              <w:rPr>
                <w:color w:val="000000"/>
                <w:sz w:val="22"/>
                <w:szCs w:val="22"/>
              </w:rPr>
            </w:pPr>
          </w:p>
        </w:tc>
        <w:tc>
          <w:tcPr>
            <w:tcW w:w="1382" w:type="dxa"/>
            <w:tcBorders>
              <w:top w:val="nil"/>
              <w:left w:val="nil"/>
              <w:bottom w:val="single" w:sz="8" w:space="0" w:color="auto"/>
              <w:right w:val="single" w:sz="8" w:space="0" w:color="auto"/>
            </w:tcBorders>
            <w:shd w:val="clear" w:color="auto" w:fill="auto"/>
            <w:noWrap/>
            <w:vAlign w:val="center"/>
            <w:hideMark/>
          </w:tcPr>
          <w:p w14:paraId="6469DFFC" w14:textId="77777777" w:rsidR="00FF42BF" w:rsidRDefault="00FF42BF">
            <w:pPr>
              <w:jc w:val="center"/>
              <w:rPr>
                <w:b/>
                <w:bCs/>
                <w:color w:val="000000"/>
                <w:sz w:val="22"/>
                <w:szCs w:val="22"/>
              </w:rPr>
            </w:pPr>
            <w:r>
              <w:rPr>
                <w:b/>
                <w:bCs/>
                <w:color w:val="000000"/>
                <w:sz w:val="22"/>
                <w:szCs w:val="22"/>
              </w:rPr>
              <w:t>US$ mil</w:t>
            </w:r>
          </w:p>
        </w:tc>
        <w:tc>
          <w:tcPr>
            <w:tcW w:w="1879" w:type="dxa"/>
            <w:tcBorders>
              <w:top w:val="nil"/>
              <w:left w:val="nil"/>
              <w:bottom w:val="single" w:sz="8" w:space="0" w:color="auto"/>
              <w:right w:val="single" w:sz="8" w:space="0" w:color="auto"/>
            </w:tcBorders>
            <w:shd w:val="clear" w:color="auto" w:fill="auto"/>
            <w:noWrap/>
            <w:vAlign w:val="center"/>
            <w:hideMark/>
          </w:tcPr>
          <w:p w14:paraId="4CC2C2B4" w14:textId="77777777" w:rsidR="00FF42BF" w:rsidRDefault="00FF42BF">
            <w:pPr>
              <w:jc w:val="center"/>
              <w:rPr>
                <w:b/>
                <w:bCs/>
                <w:color w:val="000000"/>
                <w:sz w:val="22"/>
                <w:szCs w:val="22"/>
              </w:rPr>
            </w:pPr>
            <w:r>
              <w:rPr>
                <w:b/>
                <w:bCs/>
                <w:color w:val="000000"/>
                <w:sz w:val="22"/>
                <w:szCs w:val="22"/>
              </w:rPr>
              <w:t>US$ mil</w:t>
            </w:r>
          </w:p>
        </w:tc>
        <w:tc>
          <w:tcPr>
            <w:tcW w:w="1984" w:type="dxa"/>
            <w:tcBorders>
              <w:top w:val="nil"/>
              <w:left w:val="nil"/>
              <w:bottom w:val="single" w:sz="8" w:space="0" w:color="auto"/>
              <w:right w:val="single" w:sz="8" w:space="0" w:color="auto"/>
            </w:tcBorders>
            <w:shd w:val="clear" w:color="auto" w:fill="auto"/>
            <w:noWrap/>
            <w:vAlign w:val="center"/>
            <w:hideMark/>
          </w:tcPr>
          <w:p w14:paraId="66B44C67" w14:textId="77777777" w:rsidR="00FF42BF" w:rsidRDefault="00FF42BF">
            <w:pPr>
              <w:jc w:val="center"/>
              <w:rPr>
                <w:b/>
                <w:bCs/>
                <w:color w:val="000000"/>
                <w:sz w:val="22"/>
                <w:szCs w:val="22"/>
              </w:rPr>
            </w:pPr>
            <w:r>
              <w:rPr>
                <w:b/>
                <w:bCs/>
                <w:color w:val="000000"/>
                <w:sz w:val="22"/>
                <w:szCs w:val="22"/>
              </w:rPr>
              <w:t>US$ mil</w:t>
            </w:r>
          </w:p>
        </w:tc>
      </w:tr>
      <w:tr w:rsidR="00FF42BF" w14:paraId="0BF14150"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1F683267" w14:textId="77777777" w:rsidR="00FF42BF" w:rsidRDefault="00FF42BF">
            <w:pPr>
              <w:rPr>
                <w:b/>
                <w:bCs/>
                <w:color w:val="000000"/>
                <w:sz w:val="22"/>
                <w:szCs w:val="22"/>
              </w:rPr>
            </w:pPr>
            <w:r>
              <w:rPr>
                <w:b/>
                <w:bCs/>
                <w:color w:val="000000"/>
                <w:sz w:val="22"/>
                <w:szCs w:val="22"/>
              </w:rPr>
              <w:t>Merchandise Exports</w:t>
            </w:r>
          </w:p>
        </w:tc>
        <w:tc>
          <w:tcPr>
            <w:tcW w:w="1382" w:type="dxa"/>
            <w:tcBorders>
              <w:top w:val="nil"/>
              <w:left w:val="nil"/>
              <w:bottom w:val="single" w:sz="8" w:space="0" w:color="auto"/>
              <w:right w:val="single" w:sz="8" w:space="0" w:color="auto"/>
            </w:tcBorders>
            <w:shd w:val="clear" w:color="auto" w:fill="auto"/>
            <w:noWrap/>
            <w:vAlign w:val="center"/>
            <w:hideMark/>
          </w:tcPr>
          <w:p w14:paraId="7B626385" w14:textId="77777777" w:rsidR="00FF42BF" w:rsidRDefault="00FF42BF">
            <w:pPr>
              <w:jc w:val="center"/>
              <w:rPr>
                <w:color w:val="000000"/>
                <w:sz w:val="22"/>
                <w:szCs w:val="22"/>
              </w:rPr>
            </w:pPr>
            <w:r>
              <w:rPr>
                <w:color w:val="000000"/>
                <w:sz w:val="22"/>
                <w:szCs w:val="22"/>
              </w:rPr>
              <w:t>6453</w:t>
            </w:r>
          </w:p>
        </w:tc>
        <w:tc>
          <w:tcPr>
            <w:tcW w:w="1879" w:type="dxa"/>
            <w:tcBorders>
              <w:top w:val="nil"/>
              <w:left w:val="nil"/>
              <w:bottom w:val="single" w:sz="8" w:space="0" w:color="auto"/>
              <w:right w:val="single" w:sz="8" w:space="0" w:color="auto"/>
            </w:tcBorders>
            <w:shd w:val="clear" w:color="auto" w:fill="auto"/>
            <w:noWrap/>
            <w:vAlign w:val="center"/>
            <w:hideMark/>
          </w:tcPr>
          <w:p w14:paraId="0890D7CF" w14:textId="77777777" w:rsidR="00FF42BF" w:rsidRDefault="00FF42BF">
            <w:pPr>
              <w:jc w:val="center"/>
              <w:rPr>
                <w:color w:val="000000"/>
                <w:sz w:val="22"/>
                <w:szCs w:val="22"/>
              </w:rPr>
            </w:pPr>
            <w:r>
              <w:rPr>
                <w:color w:val="000000"/>
                <w:sz w:val="22"/>
                <w:szCs w:val="22"/>
              </w:rPr>
              <w:t>1546</w:t>
            </w:r>
          </w:p>
        </w:tc>
        <w:tc>
          <w:tcPr>
            <w:tcW w:w="1984" w:type="dxa"/>
            <w:tcBorders>
              <w:top w:val="nil"/>
              <w:left w:val="nil"/>
              <w:bottom w:val="single" w:sz="8" w:space="0" w:color="auto"/>
              <w:right w:val="single" w:sz="8" w:space="0" w:color="auto"/>
            </w:tcBorders>
            <w:shd w:val="clear" w:color="auto" w:fill="auto"/>
            <w:noWrap/>
            <w:vAlign w:val="center"/>
            <w:hideMark/>
          </w:tcPr>
          <w:p w14:paraId="37B3E8A8" w14:textId="77777777" w:rsidR="00FF42BF" w:rsidRDefault="00FF42BF">
            <w:pPr>
              <w:jc w:val="center"/>
              <w:rPr>
                <w:color w:val="000000"/>
                <w:sz w:val="22"/>
                <w:szCs w:val="22"/>
              </w:rPr>
            </w:pPr>
            <w:r>
              <w:rPr>
                <w:color w:val="000000"/>
                <w:sz w:val="22"/>
                <w:szCs w:val="22"/>
              </w:rPr>
              <w:t>7999</w:t>
            </w:r>
          </w:p>
        </w:tc>
      </w:tr>
      <w:tr w:rsidR="00FF42BF" w14:paraId="2BF26F64"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41634A17" w14:textId="77777777" w:rsidR="00FF42BF" w:rsidRDefault="00FF42BF">
            <w:pPr>
              <w:rPr>
                <w:b/>
                <w:bCs/>
                <w:color w:val="000000"/>
                <w:sz w:val="22"/>
                <w:szCs w:val="22"/>
              </w:rPr>
            </w:pPr>
            <w:r>
              <w:rPr>
                <w:b/>
                <w:bCs/>
                <w:color w:val="000000"/>
                <w:sz w:val="22"/>
                <w:szCs w:val="22"/>
              </w:rPr>
              <w:t>Merchandise Imports</w:t>
            </w:r>
          </w:p>
        </w:tc>
        <w:tc>
          <w:tcPr>
            <w:tcW w:w="1382" w:type="dxa"/>
            <w:tcBorders>
              <w:top w:val="nil"/>
              <w:left w:val="nil"/>
              <w:bottom w:val="single" w:sz="8" w:space="0" w:color="auto"/>
              <w:right w:val="single" w:sz="8" w:space="0" w:color="auto"/>
            </w:tcBorders>
            <w:shd w:val="clear" w:color="auto" w:fill="auto"/>
            <w:noWrap/>
            <w:vAlign w:val="center"/>
            <w:hideMark/>
          </w:tcPr>
          <w:p w14:paraId="191E3EC2" w14:textId="77777777" w:rsidR="00FF42BF" w:rsidRDefault="00FF42BF">
            <w:pPr>
              <w:jc w:val="center"/>
              <w:rPr>
                <w:color w:val="000000"/>
                <w:sz w:val="22"/>
                <w:szCs w:val="22"/>
              </w:rPr>
            </w:pPr>
            <w:r>
              <w:rPr>
                <w:color w:val="000000"/>
                <w:sz w:val="22"/>
                <w:szCs w:val="22"/>
              </w:rPr>
              <w:t>8887</w:t>
            </w:r>
          </w:p>
        </w:tc>
        <w:tc>
          <w:tcPr>
            <w:tcW w:w="1879" w:type="dxa"/>
            <w:tcBorders>
              <w:top w:val="nil"/>
              <w:left w:val="nil"/>
              <w:bottom w:val="single" w:sz="8" w:space="0" w:color="auto"/>
              <w:right w:val="single" w:sz="8" w:space="0" w:color="auto"/>
            </w:tcBorders>
            <w:shd w:val="clear" w:color="auto" w:fill="auto"/>
            <w:noWrap/>
            <w:vAlign w:val="center"/>
            <w:hideMark/>
          </w:tcPr>
          <w:p w14:paraId="385A4941" w14:textId="77777777" w:rsidR="00FF42BF" w:rsidRDefault="00FF42BF">
            <w:pPr>
              <w:jc w:val="center"/>
              <w:rPr>
                <w:color w:val="000000"/>
                <w:sz w:val="22"/>
                <w:szCs w:val="22"/>
              </w:rPr>
            </w:pPr>
            <w:r>
              <w:rPr>
                <w:color w:val="000000"/>
                <w:sz w:val="22"/>
                <w:szCs w:val="22"/>
              </w:rPr>
              <w:t>1608</w:t>
            </w:r>
          </w:p>
        </w:tc>
        <w:tc>
          <w:tcPr>
            <w:tcW w:w="1984" w:type="dxa"/>
            <w:tcBorders>
              <w:top w:val="nil"/>
              <w:left w:val="nil"/>
              <w:bottom w:val="single" w:sz="8" w:space="0" w:color="auto"/>
              <w:right w:val="single" w:sz="8" w:space="0" w:color="auto"/>
            </w:tcBorders>
            <w:shd w:val="clear" w:color="auto" w:fill="auto"/>
            <w:noWrap/>
            <w:vAlign w:val="center"/>
            <w:hideMark/>
          </w:tcPr>
          <w:p w14:paraId="7AB925F7" w14:textId="77777777" w:rsidR="00FF42BF" w:rsidRDefault="00FF42BF">
            <w:pPr>
              <w:jc w:val="center"/>
              <w:rPr>
                <w:color w:val="000000"/>
                <w:sz w:val="22"/>
                <w:szCs w:val="22"/>
              </w:rPr>
            </w:pPr>
            <w:r>
              <w:rPr>
                <w:color w:val="000000"/>
                <w:sz w:val="22"/>
                <w:szCs w:val="22"/>
              </w:rPr>
              <w:t>10495</w:t>
            </w:r>
          </w:p>
        </w:tc>
      </w:tr>
      <w:tr w:rsidR="00FF42BF" w14:paraId="5D353A8F"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0EA81025" w14:textId="77777777" w:rsidR="00FF42BF" w:rsidRDefault="00FF42BF">
            <w:pPr>
              <w:rPr>
                <w:b/>
                <w:bCs/>
                <w:color w:val="000000"/>
                <w:sz w:val="22"/>
                <w:szCs w:val="22"/>
              </w:rPr>
            </w:pPr>
            <w:r>
              <w:rPr>
                <w:b/>
                <w:bCs/>
                <w:color w:val="000000"/>
                <w:sz w:val="22"/>
                <w:szCs w:val="22"/>
              </w:rPr>
              <w:t>Non-Factor Services (net)</w:t>
            </w:r>
          </w:p>
        </w:tc>
        <w:tc>
          <w:tcPr>
            <w:tcW w:w="1382" w:type="dxa"/>
            <w:tcBorders>
              <w:top w:val="nil"/>
              <w:left w:val="nil"/>
              <w:bottom w:val="single" w:sz="8" w:space="0" w:color="auto"/>
              <w:right w:val="single" w:sz="8" w:space="0" w:color="auto"/>
            </w:tcBorders>
            <w:shd w:val="clear" w:color="auto" w:fill="auto"/>
            <w:noWrap/>
            <w:vAlign w:val="center"/>
            <w:hideMark/>
          </w:tcPr>
          <w:p w14:paraId="6080137C" w14:textId="77777777" w:rsidR="00FF42BF" w:rsidRDefault="00FF42BF">
            <w:pPr>
              <w:jc w:val="center"/>
              <w:rPr>
                <w:color w:val="000000"/>
                <w:sz w:val="22"/>
                <w:szCs w:val="22"/>
              </w:rPr>
            </w:pPr>
            <w:r>
              <w:rPr>
                <w:color w:val="000000"/>
                <w:sz w:val="22"/>
                <w:szCs w:val="22"/>
              </w:rPr>
              <w:t>-219</w:t>
            </w:r>
          </w:p>
        </w:tc>
        <w:tc>
          <w:tcPr>
            <w:tcW w:w="1879" w:type="dxa"/>
            <w:tcBorders>
              <w:top w:val="nil"/>
              <w:left w:val="nil"/>
              <w:bottom w:val="single" w:sz="8" w:space="0" w:color="auto"/>
              <w:right w:val="single" w:sz="8" w:space="0" w:color="auto"/>
            </w:tcBorders>
            <w:shd w:val="clear" w:color="auto" w:fill="auto"/>
            <w:noWrap/>
            <w:vAlign w:val="center"/>
            <w:hideMark/>
          </w:tcPr>
          <w:p w14:paraId="2C787728" w14:textId="77777777" w:rsidR="00FF42BF" w:rsidRDefault="00FF42BF">
            <w:pPr>
              <w:jc w:val="center"/>
              <w:rPr>
                <w:color w:val="000000"/>
                <w:sz w:val="22"/>
                <w:szCs w:val="22"/>
              </w:rPr>
            </w:pPr>
            <w:r>
              <w:rPr>
                <w:color w:val="000000"/>
                <w:sz w:val="22"/>
                <w:szCs w:val="22"/>
              </w:rPr>
              <w:t>-145</w:t>
            </w:r>
          </w:p>
        </w:tc>
        <w:tc>
          <w:tcPr>
            <w:tcW w:w="1984" w:type="dxa"/>
            <w:tcBorders>
              <w:top w:val="nil"/>
              <w:left w:val="nil"/>
              <w:bottom w:val="single" w:sz="8" w:space="0" w:color="auto"/>
              <w:right w:val="single" w:sz="8" w:space="0" w:color="auto"/>
            </w:tcBorders>
            <w:shd w:val="clear" w:color="auto" w:fill="auto"/>
            <w:noWrap/>
            <w:vAlign w:val="center"/>
            <w:hideMark/>
          </w:tcPr>
          <w:p w14:paraId="247FFDB8" w14:textId="77777777" w:rsidR="00FF42BF" w:rsidRDefault="00FF42BF">
            <w:pPr>
              <w:jc w:val="center"/>
              <w:rPr>
                <w:color w:val="000000"/>
                <w:sz w:val="22"/>
                <w:szCs w:val="22"/>
              </w:rPr>
            </w:pPr>
            <w:r>
              <w:rPr>
                <w:color w:val="000000"/>
                <w:sz w:val="22"/>
                <w:szCs w:val="22"/>
              </w:rPr>
              <w:t>-364</w:t>
            </w:r>
          </w:p>
        </w:tc>
      </w:tr>
      <w:tr w:rsidR="00FF42BF" w14:paraId="1E002FF6"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5E145B0F" w14:textId="77777777" w:rsidR="00FF42BF" w:rsidRDefault="00FF42BF">
            <w:pPr>
              <w:rPr>
                <w:b/>
                <w:bCs/>
                <w:color w:val="000000"/>
                <w:sz w:val="22"/>
                <w:szCs w:val="22"/>
              </w:rPr>
            </w:pPr>
            <w:r>
              <w:rPr>
                <w:b/>
                <w:bCs/>
                <w:color w:val="000000"/>
                <w:sz w:val="22"/>
                <w:szCs w:val="22"/>
              </w:rPr>
              <w:t>Resource Balance</w:t>
            </w:r>
          </w:p>
        </w:tc>
        <w:tc>
          <w:tcPr>
            <w:tcW w:w="1382" w:type="dxa"/>
            <w:tcBorders>
              <w:top w:val="nil"/>
              <w:left w:val="nil"/>
              <w:bottom w:val="single" w:sz="8" w:space="0" w:color="auto"/>
              <w:right w:val="single" w:sz="8" w:space="0" w:color="auto"/>
            </w:tcBorders>
            <w:shd w:val="clear" w:color="auto" w:fill="auto"/>
            <w:noWrap/>
            <w:vAlign w:val="center"/>
            <w:hideMark/>
          </w:tcPr>
          <w:p w14:paraId="4DF649DB" w14:textId="77777777" w:rsidR="00FF42BF" w:rsidRDefault="00FF42BF">
            <w:pPr>
              <w:jc w:val="center"/>
              <w:rPr>
                <w:color w:val="000000"/>
                <w:sz w:val="22"/>
                <w:szCs w:val="22"/>
              </w:rPr>
            </w:pPr>
            <w:r>
              <w:rPr>
                <w:color w:val="000000"/>
                <w:sz w:val="22"/>
                <w:szCs w:val="22"/>
              </w:rPr>
              <w:t>-2653</w:t>
            </w:r>
          </w:p>
        </w:tc>
        <w:tc>
          <w:tcPr>
            <w:tcW w:w="1879" w:type="dxa"/>
            <w:tcBorders>
              <w:top w:val="nil"/>
              <w:left w:val="nil"/>
              <w:bottom w:val="single" w:sz="8" w:space="0" w:color="auto"/>
              <w:right w:val="single" w:sz="8" w:space="0" w:color="auto"/>
            </w:tcBorders>
            <w:shd w:val="clear" w:color="auto" w:fill="auto"/>
            <w:noWrap/>
            <w:vAlign w:val="center"/>
            <w:hideMark/>
          </w:tcPr>
          <w:p w14:paraId="7C7C369D" w14:textId="77777777" w:rsidR="00FF42BF" w:rsidRDefault="00FF42BF">
            <w:pPr>
              <w:jc w:val="center"/>
              <w:rPr>
                <w:color w:val="000000"/>
                <w:sz w:val="22"/>
                <w:szCs w:val="22"/>
              </w:rPr>
            </w:pPr>
            <w:r>
              <w:rPr>
                <w:color w:val="000000"/>
                <w:sz w:val="22"/>
                <w:szCs w:val="22"/>
              </w:rPr>
              <w:t>-207</w:t>
            </w:r>
          </w:p>
        </w:tc>
        <w:tc>
          <w:tcPr>
            <w:tcW w:w="1984" w:type="dxa"/>
            <w:tcBorders>
              <w:top w:val="nil"/>
              <w:left w:val="nil"/>
              <w:bottom w:val="single" w:sz="8" w:space="0" w:color="auto"/>
              <w:right w:val="single" w:sz="8" w:space="0" w:color="auto"/>
            </w:tcBorders>
            <w:shd w:val="clear" w:color="auto" w:fill="auto"/>
            <w:noWrap/>
            <w:vAlign w:val="center"/>
            <w:hideMark/>
          </w:tcPr>
          <w:p w14:paraId="44481FFE" w14:textId="77777777" w:rsidR="00FF42BF" w:rsidRDefault="00FF42BF">
            <w:pPr>
              <w:jc w:val="center"/>
              <w:rPr>
                <w:color w:val="000000"/>
                <w:sz w:val="22"/>
                <w:szCs w:val="22"/>
              </w:rPr>
            </w:pPr>
            <w:r>
              <w:rPr>
                <w:color w:val="000000"/>
                <w:sz w:val="22"/>
                <w:szCs w:val="22"/>
              </w:rPr>
              <w:t>-2860</w:t>
            </w:r>
          </w:p>
        </w:tc>
      </w:tr>
      <w:tr w:rsidR="00FF42BF" w14:paraId="0A8AF34D"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083CBE4C" w14:textId="77777777" w:rsidR="00FF42BF" w:rsidRDefault="00FF42BF">
            <w:pPr>
              <w:rPr>
                <w:b/>
                <w:bCs/>
                <w:color w:val="000000"/>
                <w:sz w:val="22"/>
                <w:szCs w:val="22"/>
              </w:rPr>
            </w:pPr>
            <w:r>
              <w:rPr>
                <w:b/>
                <w:bCs/>
                <w:color w:val="000000"/>
                <w:sz w:val="22"/>
                <w:szCs w:val="22"/>
              </w:rPr>
              <w:t>Current Account Balance</w:t>
            </w:r>
          </w:p>
        </w:tc>
        <w:tc>
          <w:tcPr>
            <w:tcW w:w="1382" w:type="dxa"/>
            <w:tcBorders>
              <w:top w:val="nil"/>
              <w:left w:val="nil"/>
              <w:bottom w:val="single" w:sz="8" w:space="0" w:color="auto"/>
              <w:right w:val="single" w:sz="8" w:space="0" w:color="auto"/>
            </w:tcBorders>
            <w:shd w:val="clear" w:color="auto" w:fill="auto"/>
            <w:noWrap/>
            <w:vAlign w:val="center"/>
            <w:hideMark/>
          </w:tcPr>
          <w:p w14:paraId="1D5D197E" w14:textId="77777777" w:rsidR="00FF42BF" w:rsidRDefault="00FF42BF">
            <w:pPr>
              <w:jc w:val="center"/>
              <w:rPr>
                <w:color w:val="000000"/>
                <w:sz w:val="22"/>
                <w:szCs w:val="22"/>
              </w:rPr>
            </w:pPr>
            <w:r>
              <w:rPr>
                <w:color w:val="000000"/>
                <w:sz w:val="22"/>
                <w:szCs w:val="22"/>
              </w:rPr>
              <w:t>-2653</w:t>
            </w:r>
          </w:p>
        </w:tc>
        <w:tc>
          <w:tcPr>
            <w:tcW w:w="1879" w:type="dxa"/>
            <w:tcBorders>
              <w:top w:val="nil"/>
              <w:left w:val="nil"/>
              <w:bottom w:val="single" w:sz="8" w:space="0" w:color="auto"/>
              <w:right w:val="single" w:sz="8" w:space="0" w:color="auto"/>
            </w:tcBorders>
            <w:shd w:val="clear" w:color="auto" w:fill="auto"/>
            <w:noWrap/>
            <w:vAlign w:val="center"/>
            <w:hideMark/>
          </w:tcPr>
          <w:p w14:paraId="17A7ACE0" w14:textId="77777777" w:rsidR="00FF42BF" w:rsidRDefault="00FF42BF">
            <w:pPr>
              <w:jc w:val="center"/>
              <w:rPr>
                <w:color w:val="000000"/>
                <w:sz w:val="22"/>
                <w:szCs w:val="22"/>
              </w:rPr>
            </w:pPr>
            <w:r>
              <w:rPr>
                <w:color w:val="000000"/>
                <w:sz w:val="22"/>
                <w:szCs w:val="22"/>
              </w:rPr>
              <w:t>-324</w:t>
            </w:r>
          </w:p>
        </w:tc>
        <w:tc>
          <w:tcPr>
            <w:tcW w:w="1984" w:type="dxa"/>
            <w:tcBorders>
              <w:top w:val="nil"/>
              <w:left w:val="nil"/>
              <w:bottom w:val="single" w:sz="8" w:space="0" w:color="auto"/>
              <w:right w:val="single" w:sz="8" w:space="0" w:color="auto"/>
            </w:tcBorders>
            <w:shd w:val="clear" w:color="auto" w:fill="auto"/>
            <w:noWrap/>
            <w:vAlign w:val="center"/>
            <w:hideMark/>
          </w:tcPr>
          <w:p w14:paraId="169FC666" w14:textId="77777777" w:rsidR="00FF42BF" w:rsidRDefault="00FF42BF">
            <w:pPr>
              <w:jc w:val="center"/>
              <w:rPr>
                <w:color w:val="000000"/>
                <w:sz w:val="22"/>
                <w:szCs w:val="22"/>
              </w:rPr>
            </w:pPr>
            <w:r>
              <w:rPr>
                <w:color w:val="000000"/>
                <w:sz w:val="22"/>
                <w:szCs w:val="22"/>
              </w:rPr>
              <w:t>-2977</w:t>
            </w:r>
          </w:p>
        </w:tc>
      </w:tr>
      <w:tr w:rsidR="00FF42BF" w14:paraId="2B5F88F7"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0FA485F3" w14:textId="77777777" w:rsidR="00FF42BF" w:rsidRDefault="00FF42BF">
            <w:pPr>
              <w:rPr>
                <w:b/>
                <w:bCs/>
                <w:color w:val="000000"/>
                <w:sz w:val="22"/>
                <w:szCs w:val="22"/>
              </w:rPr>
            </w:pPr>
            <w:r>
              <w:rPr>
                <w:b/>
                <w:bCs/>
                <w:color w:val="000000"/>
                <w:sz w:val="22"/>
                <w:szCs w:val="22"/>
              </w:rPr>
              <w:t>Direct Foreign Investment</w:t>
            </w:r>
          </w:p>
        </w:tc>
        <w:tc>
          <w:tcPr>
            <w:tcW w:w="1382" w:type="dxa"/>
            <w:tcBorders>
              <w:top w:val="nil"/>
              <w:left w:val="nil"/>
              <w:bottom w:val="single" w:sz="8" w:space="0" w:color="auto"/>
              <w:right w:val="single" w:sz="8" w:space="0" w:color="auto"/>
            </w:tcBorders>
            <w:shd w:val="clear" w:color="auto" w:fill="auto"/>
            <w:noWrap/>
            <w:vAlign w:val="center"/>
            <w:hideMark/>
          </w:tcPr>
          <w:p w14:paraId="35B37EDD" w14:textId="77777777" w:rsidR="00FF42BF" w:rsidRDefault="00FF42BF">
            <w:pPr>
              <w:jc w:val="center"/>
              <w:rPr>
                <w:color w:val="000000"/>
                <w:sz w:val="22"/>
                <w:szCs w:val="22"/>
              </w:rPr>
            </w:pPr>
            <w:r>
              <w:rPr>
                <w:color w:val="000000"/>
                <w:sz w:val="22"/>
                <w:szCs w:val="22"/>
              </w:rPr>
              <w:t>0</w:t>
            </w:r>
          </w:p>
        </w:tc>
        <w:tc>
          <w:tcPr>
            <w:tcW w:w="1879" w:type="dxa"/>
            <w:tcBorders>
              <w:top w:val="nil"/>
              <w:left w:val="nil"/>
              <w:bottom w:val="single" w:sz="8" w:space="0" w:color="auto"/>
              <w:right w:val="single" w:sz="8" w:space="0" w:color="auto"/>
            </w:tcBorders>
            <w:shd w:val="clear" w:color="auto" w:fill="auto"/>
            <w:noWrap/>
            <w:vAlign w:val="center"/>
            <w:hideMark/>
          </w:tcPr>
          <w:p w14:paraId="4216B7FB" w14:textId="77777777" w:rsidR="00FF42BF" w:rsidRDefault="00FF42BF">
            <w:pPr>
              <w:jc w:val="center"/>
              <w:rPr>
                <w:color w:val="000000"/>
                <w:sz w:val="22"/>
                <w:szCs w:val="22"/>
              </w:rPr>
            </w:pPr>
            <w:r>
              <w:rPr>
                <w:color w:val="000000"/>
                <w:sz w:val="22"/>
                <w:szCs w:val="22"/>
              </w:rPr>
              <w:t>100</w:t>
            </w:r>
          </w:p>
        </w:tc>
        <w:tc>
          <w:tcPr>
            <w:tcW w:w="1984" w:type="dxa"/>
            <w:tcBorders>
              <w:top w:val="nil"/>
              <w:left w:val="nil"/>
              <w:bottom w:val="single" w:sz="8" w:space="0" w:color="auto"/>
              <w:right w:val="single" w:sz="8" w:space="0" w:color="auto"/>
            </w:tcBorders>
            <w:shd w:val="clear" w:color="auto" w:fill="auto"/>
            <w:noWrap/>
            <w:vAlign w:val="center"/>
            <w:hideMark/>
          </w:tcPr>
          <w:p w14:paraId="7C9CEDE6" w14:textId="77777777" w:rsidR="00FF42BF" w:rsidRDefault="00FF42BF">
            <w:pPr>
              <w:jc w:val="center"/>
              <w:rPr>
                <w:color w:val="000000"/>
                <w:sz w:val="22"/>
                <w:szCs w:val="22"/>
              </w:rPr>
            </w:pPr>
            <w:r>
              <w:rPr>
                <w:color w:val="000000"/>
                <w:sz w:val="22"/>
                <w:szCs w:val="22"/>
              </w:rPr>
              <w:t>100</w:t>
            </w:r>
          </w:p>
        </w:tc>
      </w:tr>
      <w:tr w:rsidR="00FF42BF" w14:paraId="7617F993"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0B1641AD" w14:textId="77777777" w:rsidR="00FF42BF" w:rsidRDefault="00FF42BF">
            <w:pPr>
              <w:rPr>
                <w:b/>
                <w:bCs/>
                <w:color w:val="000000"/>
                <w:sz w:val="22"/>
                <w:szCs w:val="22"/>
              </w:rPr>
            </w:pPr>
            <w:r>
              <w:rPr>
                <w:b/>
                <w:bCs/>
                <w:color w:val="000000"/>
                <w:sz w:val="22"/>
                <w:szCs w:val="22"/>
              </w:rPr>
              <w:t>Long-Term Loans (net)</w:t>
            </w:r>
          </w:p>
        </w:tc>
        <w:tc>
          <w:tcPr>
            <w:tcW w:w="1382" w:type="dxa"/>
            <w:tcBorders>
              <w:top w:val="nil"/>
              <w:left w:val="nil"/>
              <w:bottom w:val="single" w:sz="8" w:space="0" w:color="auto"/>
              <w:right w:val="single" w:sz="8" w:space="0" w:color="auto"/>
            </w:tcBorders>
            <w:shd w:val="clear" w:color="auto" w:fill="auto"/>
            <w:noWrap/>
            <w:vAlign w:val="center"/>
            <w:hideMark/>
          </w:tcPr>
          <w:p w14:paraId="6FE24A6F" w14:textId="77777777" w:rsidR="00FF42BF" w:rsidRDefault="00FF42BF">
            <w:pPr>
              <w:jc w:val="center"/>
              <w:rPr>
                <w:color w:val="000000"/>
                <w:sz w:val="22"/>
                <w:szCs w:val="22"/>
              </w:rPr>
            </w:pPr>
            <w:r>
              <w:rPr>
                <w:color w:val="000000"/>
                <w:sz w:val="22"/>
                <w:szCs w:val="22"/>
              </w:rPr>
              <w:t>0</w:t>
            </w:r>
          </w:p>
        </w:tc>
        <w:tc>
          <w:tcPr>
            <w:tcW w:w="1879" w:type="dxa"/>
            <w:tcBorders>
              <w:top w:val="nil"/>
              <w:left w:val="nil"/>
              <w:bottom w:val="single" w:sz="8" w:space="0" w:color="auto"/>
              <w:right w:val="single" w:sz="8" w:space="0" w:color="auto"/>
            </w:tcBorders>
            <w:shd w:val="clear" w:color="auto" w:fill="auto"/>
            <w:noWrap/>
            <w:vAlign w:val="center"/>
            <w:hideMark/>
          </w:tcPr>
          <w:p w14:paraId="574E7431" w14:textId="77777777" w:rsidR="00FF42BF" w:rsidRDefault="00FF42BF">
            <w:pPr>
              <w:jc w:val="center"/>
              <w:rPr>
                <w:color w:val="000000"/>
                <w:sz w:val="22"/>
                <w:szCs w:val="22"/>
              </w:rPr>
            </w:pPr>
            <w:r>
              <w:rPr>
                <w:color w:val="000000"/>
                <w:sz w:val="22"/>
                <w:szCs w:val="22"/>
              </w:rPr>
              <w:t>-308</w:t>
            </w:r>
          </w:p>
        </w:tc>
        <w:tc>
          <w:tcPr>
            <w:tcW w:w="1984" w:type="dxa"/>
            <w:tcBorders>
              <w:top w:val="nil"/>
              <w:left w:val="nil"/>
              <w:bottom w:val="single" w:sz="8" w:space="0" w:color="auto"/>
              <w:right w:val="single" w:sz="8" w:space="0" w:color="auto"/>
            </w:tcBorders>
            <w:shd w:val="clear" w:color="auto" w:fill="auto"/>
            <w:noWrap/>
            <w:vAlign w:val="center"/>
            <w:hideMark/>
          </w:tcPr>
          <w:p w14:paraId="77CC5CFB" w14:textId="77777777" w:rsidR="00FF42BF" w:rsidRDefault="00FF42BF">
            <w:pPr>
              <w:jc w:val="center"/>
              <w:rPr>
                <w:color w:val="000000"/>
                <w:sz w:val="22"/>
                <w:szCs w:val="22"/>
              </w:rPr>
            </w:pPr>
            <w:r>
              <w:rPr>
                <w:color w:val="000000"/>
                <w:sz w:val="22"/>
                <w:szCs w:val="22"/>
              </w:rPr>
              <w:t>-308</w:t>
            </w:r>
          </w:p>
        </w:tc>
      </w:tr>
      <w:tr w:rsidR="00FF42BF" w14:paraId="33CE849A"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10CE67ED" w14:textId="77777777" w:rsidR="00FF42BF" w:rsidRDefault="00FF42BF">
            <w:pPr>
              <w:rPr>
                <w:b/>
                <w:bCs/>
                <w:color w:val="000000"/>
                <w:sz w:val="22"/>
                <w:szCs w:val="22"/>
              </w:rPr>
            </w:pPr>
            <w:r>
              <w:rPr>
                <w:b/>
                <w:bCs/>
                <w:color w:val="000000"/>
                <w:sz w:val="22"/>
                <w:szCs w:val="22"/>
              </w:rPr>
              <w:t>Disbursements</w:t>
            </w:r>
          </w:p>
        </w:tc>
        <w:tc>
          <w:tcPr>
            <w:tcW w:w="1382" w:type="dxa"/>
            <w:tcBorders>
              <w:top w:val="nil"/>
              <w:left w:val="nil"/>
              <w:bottom w:val="single" w:sz="8" w:space="0" w:color="auto"/>
              <w:right w:val="single" w:sz="8" w:space="0" w:color="auto"/>
            </w:tcBorders>
            <w:shd w:val="clear" w:color="auto" w:fill="auto"/>
            <w:noWrap/>
            <w:vAlign w:val="center"/>
            <w:hideMark/>
          </w:tcPr>
          <w:p w14:paraId="5975BBC0" w14:textId="77777777" w:rsidR="00FF42BF" w:rsidRDefault="00FF42BF">
            <w:pPr>
              <w:jc w:val="center"/>
              <w:rPr>
                <w:color w:val="000000"/>
                <w:sz w:val="22"/>
                <w:szCs w:val="22"/>
              </w:rPr>
            </w:pPr>
            <w:r>
              <w:rPr>
                <w:color w:val="000000"/>
                <w:sz w:val="22"/>
                <w:szCs w:val="22"/>
              </w:rPr>
              <w:t>0</w:t>
            </w:r>
          </w:p>
        </w:tc>
        <w:tc>
          <w:tcPr>
            <w:tcW w:w="1879" w:type="dxa"/>
            <w:tcBorders>
              <w:top w:val="nil"/>
              <w:left w:val="nil"/>
              <w:bottom w:val="single" w:sz="8" w:space="0" w:color="auto"/>
              <w:right w:val="single" w:sz="8" w:space="0" w:color="auto"/>
            </w:tcBorders>
            <w:shd w:val="clear" w:color="auto" w:fill="auto"/>
            <w:noWrap/>
            <w:vAlign w:val="center"/>
            <w:hideMark/>
          </w:tcPr>
          <w:p w14:paraId="14B087A0" w14:textId="77777777" w:rsidR="00FF42BF" w:rsidRDefault="00FF42BF">
            <w:pPr>
              <w:jc w:val="center"/>
              <w:rPr>
                <w:color w:val="000000"/>
                <w:sz w:val="22"/>
                <w:szCs w:val="22"/>
              </w:rPr>
            </w:pPr>
            <w:r>
              <w:rPr>
                <w:color w:val="000000"/>
                <w:sz w:val="22"/>
                <w:szCs w:val="22"/>
              </w:rPr>
              <w:t>130</w:t>
            </w:r>
          </w:p>
        </w:tc>
        <w:tc>
          <w:tcPr>
            <w:tcW w:w="1984" w:type="dxa"/>
            <w:tcBorders>
              <w:top w:val="nil"/>
              <w:left w:val="nil"/>
              <w:bottom w:val="single" w:sz="8" w:space="0" w:color="auto"/>
              <w:right w:val="single" w:sz="8" w:space="0" w:color="auto"/>
            </w:tcBorders>
            <w:shd w:val="clear" w:color="auto" w:fill="auto"/>
            <w:noWrap/>
            <w:vAlign w:val="center"/>
            <w:hideMark/>
          </w:tcPr>
          <w:p w14:paraId="534FB48E" w14:textId="77777777" w:rsidR="00FF42BF" w:rsidRDefault="00FF42BF">
            <w:pPr>
              <w:jc w:val="center"/>
              <w:rPr>
                <w:color w:val="000000"/>
                <w:sz w:val="22"/>
                <w:szCs w:val="22"/>
              </w:rPr>
            </w:pPr>
            <w:r>
              <w:rPr>
                <w:color w:val="000000"/>
                <w:sz w:val="22"/>
                <w:szCs w:val="22"/>
              </w:rPr>
              <w:t>130</w:t>
            </w:r>
          </w:p>
        </w:tc>
      </w:tr>
      <w:tr w:rsidR="00FF42BF" w14:paraId="3E3D86D1"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14C1D9B2" w14:textId="77777777" w:rsidR="00FF42BF" w:rsidRDefault="00FF42BF">
            <w:pPr>
              <w:rPr>
                <w:b/>
                <w:bCs/>
                <w:color w:val="000000"/>
                <w:sz w:val="22"/>
                <w:szCs w:val="22"/>
              </w:rPr>
            </w:pPr>
            <w:r>
              <w:rPr>
                <w:b/>
                <w:bCs/>
                <w:color w:val="000000"/>
                <w:sz w:val="22"/>
                <w:szCs w:val="22"/>
              </w:rPr>
              <w:t>Repayments</w:t>
            </w:r>
          </w:p>
        </w:tc>
        <w:tc>
          <w:tcPr>
            <w:tcW w:w="1382" w:type="dxa"/>
            <w:tcBorders>
              <w:top w:val="nil"/>
              <w:left w:val="nil"/>
              <w:bottom w:val="single" w:sz="8" w:space="0" w:color="auto"/>
              <w:right w:val="single" w:sz="8" w:space="0" w:color="auto"/>
            </w:tcBorders>
            <w:shd w:val="clear" w:color="auto" w:fill="auto"/>
            <w:noWrap/>
            <w:vAlign w:val="center"/>
            <w:hideMark/>
          </w:tcPr>
          <w:p w14:paraId="6BC93BA8" w14:textId="77777777" w:rsidR="00FF42BF" w:rsidRDefault="00FF42BF">
            <w:pPr>
              <w:jc w:val="center"/>
              <w:rPr>
                <w:color w:val="000000"/>
                <w:sz w:val="22"/>
                <w:szCs w:val="22"/>
              </w:rPr>
            </w:pPr>
            <w:r>
              <w:rPr>
                <w:color w:val="000000"/>
                <w:sz w:val="22"/>
                <w:szCs w:val="22"/>
              </w:rPr>
              <w:t>0</w:t>
            </w:r>
          </w:p>
        </w:tc>
        <w:tc>
          <w:tcPr>
            <w:tcW w:w="1879" w:type="dxa"/>
            <w:tcBorders>
              <w:top w:val="nil"/>
              <w:left w:val="nil"/>
              <w:bottom w:val="single" w:sz="8" w:space="0" w:color="auto"/>
              <w:right w:val="single" w:sz="8" w:space="0" w:color="auto"/>
            </w:tcBorders>
            <w:shd w:val="clear" w:color="auto" w:fill="auto"/>
            <w:noWrap/>
            <w:vAlign w:val="center"/>
            <w:hideMark/>
          </w:tcPr>
          <w:p w14:paraId="22028C80" w14:textId="77777777" w:rsidR="00FF42BF" w:rsidRDefault="00FF42BF">
            <w:pPr>
              <w:jc w:val="center"/>
              <w:rPr>
                <w:color w:val="000000"/>
                <w:sz w:val="22"/>
                <w:szCs w:val="22"/>
              </w:rPr>
            </w:pPr>
            <w:r>
              <w:rPr>
                <w:color w:val="000000"/>
                <w:sz w:val="22"/>
                <w:szCs w:val="22"/>
              </w:rPr>
              <w:t>-438</w:t>
            </w:r>
          </w:p>
        </w:tc>
        <w:tc>
          <w:tcPr>
            <w:tcW w:w="1984" w:type="dxa"/>
            <w:tcBorders>
              <w:top w:val="nil"/>
              <w:left w:val="nil"/>
              <w:bottom w:val="single" w:sz="8" w:space="0" w:color="auto"/>
              <w:right w:val="single" w:sz="8" w:space="0" w:color="auto"/>
            </w:tcBorders>
            <w:shd w:val="clear" w:color="auto" w:fill="auto"/>
            <w:noWrap/>
            <w:vAlign w:val="center"/>
            <w:hideMark/>
          </w:tcPr>
          <w:p w14:paraId="56D4D6B3" w14:textId="77777777" w:rsidR="00FF42BF" w:rsidRDefault="00FF42BF">
            <w:pPr>
              <w:jc w:val="center"/>
              <w:rPr>
                <w:color w:val="000000"/>
                <w:sz w:val="22"/>
                <w:szCs w:val="22"/>
              </w:rPr>
            </w:pPr>
            <w:r>
              <w:rPr>
                <w:color w:val="000000"/>
                <w:sz w:val="22"/>
                <w:szCs w:val="22"/>
              </w:rPr>
              <w:t>-438</w:t>
            </w:r>
          </w:p>
        </w:tc>
      </w:tr>
      <w:tr w:rsidR="00FF42BF" w14:paraId="149668A2"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5969C815" w14:textId="77777777" w:rsidR="00FF42BF" w:rsidRDefault="00FF42BF">
            <w:pPr>
              <w:rPr>
                <w:b/>
                <w:bCs/>
                <w:color w:val="000000"/>
                <w:sz w:val="22"/>
                <w:szCs w:val="22"/>
              </w:rPr>
            </w:pPr>
            <w:r>
              <w:rPr>
                <w:b/>
                <w:bCs/>
                <w:color w:val="000000"/>
                <w:sz w:val="22"/>
                <w:szCs w:val="22"/>
              </w:rPr>
              <w:t>Trade Credits</w:t>
            </w:r>
          </w:p>
        </w:tc>
        <w:tc>
          <w:tcPr>
            <w:tcW w:w="1382" w:type="dxa"/>
            <w:tcBorders>
              <w:top w:val="nil"/>
              <w:left w:val="nil"/>
              <w:bottom w:val="single" w:sz="8" w:space="0" w:color="auto"/>
              <w:right w:val="single" w:sz="8" w:space="0" w:color="auto"/>
            </w:tcBorders>
            <w:shd w:val="clear" w:color="auto" w:fill="auto"/>
            <w:noWrap/>
            <w:vAlign w:val="center"/>
            <w:hideMark/>
          </w:tcPr>
          <w:p w14:paraId="4A2DA465" w14:textId="77777777" w:rsidR="00FF42BF" w:rsidRDefault="00FF42BF">
            <w:pPr>
              <w:jc w:val="center"/>
              <w:rPr>
                <w:color w:val="000000"/>
                <w:sz w:val="22"/>
                <w:szCs w:val="22"/>
              </w:rPr>
            </w:pPr>
            <w:r>
              <w:rPr>
                <w:color w:val="000000"/>
                <w:sz w:val="22"/>
                <w:szCs w:val="22"/>
              </w:rPr>
              <w:t>0</w:t>
            </w:r>
          </w:p>
        </w:tc>
        <w:tc>
          <w:tcPr>
            <w:tcW w:w="1879" w:type="dxa"/>
            <w:tcBorders>
              <w:top w:val="nil"/>
              <w:left w:val="nil"/>
              <w:bottom w:val="single" w:sz="8" w:space="0" w:color="auto"/>
              <w:right w:val="single" w:sz="8" w:space="0" w:color="auto"/>
            </w:tcBorders>
            <w:shd w:val="clear" w:color="auto" w:fill="auto"/>
            <w:noWrap/>
            <w:vAlign w:val="center"/>
            <w:hideMark/>
          </w:tcPr>
          <w:p w14:paraId="54089D91" w14:textId="77777777" w:rsidR="00FF42BF" w:rsidRDefault="00FF42BF">
            <w:pPr>
              <w:jc w:val="center"/>
              <w:rPr>
                <w:color w:val="000000"/>
                <w:sz w:val="22"/>
                <w:szCs w:val="22"/>
              </w:rPr>
            </w:pPr>
            <w:r>
              <w:rPr>
                <w:color w:val="000000"/>
                <w:sz w:val="22"/>
                <w:szCs w:val="22"/>
              </w:rPr>
              <w:t>70</w:t>
            </w:r>
          </w:p>
        </w:tc>
        <w:tc>
          <w:tcPr>
            <w:tcW w:w="1984" w:type="dxa"/>
            <w:tcBorders>
              <w:top w:val="nil"/>
              <w:left w:val="nil"/>
              <w:bottom w:val="single" w:sz="8" w:space="0" w:color="auto"/>
              <w:right w:val="single" w:sz="8" w:space="0" w:color="auto"/>
            </w:tcBorders>
            <w:shd w:val="clear" w:color="auto" w:fill="auto"/>
            <w:noWrap/>
            <w:vAlign w:val="center"/>
            <w:hideMark/>
          </w:tcPr>
          <w:p w14:paraId="6991AC93" w14:textId="77777777" w:rsidR="00FF42BF" w:rsidRDefault="00FF42BF">
            <w:pPr>
              <w:jc w:val="center"/>
              <w:rPr>
                <w:color w:val="000000"/>
                <w:sz w:val="22"/>
                <w:szCs w:val="22"/>
              </w:rPr>
            </w:pPr>
            <w:r>
              <w:rPr>
                <w:color w:val="000000"/>
                <w:sz w:val="22"/>
                <w:szCs w:val="22"/>
              </w:rPr>
              <w:t>70</w:t>
            </w:r>
          </w:p>
        </w:tc>
      </w:tr>
      <w:tr w:rsidR="00FF42BF" w14:paraId="73E58941"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6938D189" w14:textId="77777777" w:rsidR="00FF42BF" w:rsidRDefault="00FF42BF">
            <w:pPr>
              <w:rPr>
                <w:b/>
                <w:bCs/>
                <w:color w:val="000000"/>
                <w:sz w:val="22"/>
                <w:szCs w:val="22"/>
              </w:rPr>
            </w:pPr>
            <w:r>
              <w:rPr>
                <w:b/>
                <w:bCs/>
                <w:color w:val="000000"/>
                <w:sz w:val="22"/>
                <w:szCs w:val="22"/>
              </w:rPr>
              <w:t>Errors and Omissions</w:t>
            </w:r>
          </w:p>
        </w:tc>
        <w:tc>
          <w:tcPr>
            <w:tcW w:w="1382" w:type="dxa"/>
            <w:tcBorders>
              <w:top w:val="nil"/>
              <w:left w:val="nil"/>
              <w:bottom w:val="single" w:sz="8" w:space="0" w:color="auto"/>
              <w:right w:val="single" w:sz="8" w:space="0" w:color="auto"/>
            </w:tcBorders>
            <w:shd w:val="clear" w:color="auto" w:fill="auto"/>
            <w:noWrap/>
            <w:vAlign w:val="center"/>
            <w:hideMark/>
          </w:tcPr>
          <w:p w14:paraId="43CB67EF" w14:textId="77777777" w:rsidR="00FF42BF" w:rsidRDefault="00FF42BF">
            <w:pPr>
              <w:jc w:val="center"/>
              <w:rPr>
                <w:color w:val="000000"/>
                <w:sz w:val="22"/>
                <w:szCs w:val="22"/>
              </w:rPr>
            </w:pPr>
            <w:r>
              <w:rPr>
                <w:color w:val="000000"/>
                <w:sz w:val="22"/>
                <w:szCs w:val="22"/>
              </w:rPr>
              <w:t>-276</w:t>
            </w:r>
          </w:p>
        </w:tc>
        <w:tc>
          <w:tcPr>
            <w:tcW w:w="1879" w:type="dxa"/>
            <w:tcBorders>
              <w:top w:val="nil"/>
              <w:left w:val="nil"/>
              <w:bottom w:val="single" w:sz="8" w:space="0" w:color="auto"/>
              <w:right w:val="single" w:sz="8" w:space="0" w:color="auto"/>
            </w:tcBorders>
            <w:shd w:val="clear" w:color="auto" w:fill="auto"/>
            <w:noWrap/>
            <w:vAlign w:val="center"/>
            <w:hideMark/>
          </w:tcPr>
          <w:p w14:paraId="6D5F1CA1" w14:textId="77777777" w:rsidR="00FF42BF" w:rsidRDefault="00FF42BF">
            <w:pPr>
              <w:jc w:val="center"/>
              <w:rPr>
                <w:color w:val="000000"/>
                <w:sz w:val="22"/>
                <w:szCs w:val="22"/>
              </w:rPr>
            </w:pPr>
            <w:r>
              <w:rPr>
                <w:color w:val="000000"/>
                <w:sz w:val="22"/>
                <w:szCs w:val="22"/>
              </w:rPr>
              <w:t>-75</w:t>
            </w:r>
          </w:p>
        </w:tc>
        <w:tc>
          <w:tcPr>
            <w:tcW w:w="1984" w:type="dxa"/>
            <w:tcBorders>
              <w:top w:val="nil"/>
              <w:left w:val="nil"/>
              <w:bottom w:val="single" w:sz="8" w:space="0" w:color="auto"/>
              <w:right w:val="single" w:sz="8" w:space="0" w:color="auto"/>
            </w:tcBorders>
            <w:shd w:val="clear" w:color="auto" w:fill="auto"/>
            <w:noWrap/>
            <w:vAlign w:val="center"/>
            <w:hideMark/>
          </w:tcPr>
          <w:p w14:paraId="74DA4066" w14:textId="77777777" w:rsidR="00FF42BF" w:rsidRDefault="00FF42BF">
            <w:pPr>
              <w:jc w:val="center"/>
              <w:rPr>
                <w:color w:val="000000"/>
                <w:sz w:val="22"/>
                <w:szCs w:val="22"/>
              </w:rPr>
            </w:pPr>
            <w:r>
              <w:rPr>
                <w:color w:val="000000"/>
                <w:sz w:val="22"/>
                <w:szCs w:val="22"/>
              </w:rPr>
              <w:t>-351</w:t>
            </w:r>
          </w:p>
        </w:tc>
      </w:tr>
      <w:tr w:rsidR="00FF42BF" w14:paraId="5077666B"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47CF7AB9" w14:textId="77777777" w:rsidR="00FF42BF" w:rsidRDefault="00FF42BF">
            <w:pPr>
              <w:rPr>
                <w:b/>
                <w:bCs/>
                <w:color w:val="000000"/>
                <w:sz w:val="22"/>
                <w:szCs w:val="22"/>
              </w:rPr>
            </w:pPr>
            <w:r>
              <w:rPr>
                <w:b/>
                <w:bCs/>
                <w:color w:val="000000"/>
                <w:sz w:val="22"/>
                <w:szCs w:val="22"/>
              </w:rPr>
              <w:t>Total Capital Account</w:t>
            </w:r>
          </w:p>
        </w:tc>
        <w:tc>
          <w:tcPr>
            <w:tcW w:w="1382" w:type="dxa"/>
            <w:tcBorders>
              <w:top w:val="nil"/>
              <w:left w:val="nil"/>
              <w:bottom w:val="single" w:sz="8" w:space="0" w:color="auto"/>
              <w:right w:val="single" w:sz="8" w:space="0" w:color="auto"/>
            </w:tcBorders>
            <w:shd w:val="clear" w:color="auto" w:fill="auto"/>
            <w:noWrap/>
            <w:vAlign w:val="center"/>
            <w:hideMark/>
          </w:tcPr>
          <w:p w14:paraId="7DA3EBA3" w14:textId="77777777" w:rsidR="00FF42BF" w:rsidRDefault="00FF42BF">
            <w:pPr>
              <w:jc w:val="center"/>
              <w:rPr>
                <w:color w:val="000000"/>
                <w:sz w:val="22"/>
                <w:szCs w:val="22"/>
              </w:rPr>
            </w:pPr>
            <w:r>
              <w:rPr>
                <w:color w:val="000000"/>
                <w:sz w:val="22"/>
                <w:szCs w:val="22"/>
              </w:rPr>
              <w:t>-276</w:t>
            </w:r>
          </w:p>
        </w:tc>
        <w:tc>
          <w:tcPr>
            <w:tcW w:w="1879" w:type="dxa"/>
            <w:tcBorders>
              <w:top w:val="nil"/>
              <w:left w:val="nil"/>
              <w:bottom w:val="single" w:sz="8" w:space="0" w:color="auto"/>
              <w:right w:val="single" w:sz="8" w:space="0" w:color="auto"/>
            </w:tcBorders>
            <w:shd w:val="clear" w:color="auto" w:fill="auto"/>
            <w:noWrap/>
            <w:vAlign w:val="center"/>
            <w:hideMark/>
          </w:tcPr>
          <w:p w14:paraId="1493C3A7" w14:textId="77777777" w:rsidR="00FF42BF" w:rsidRDefault="00FF42BF">
            <w:pPr>
              <w:jc w:val="center"/>
              <w:rPr>
                <w:color w:val="000000"/>
                <w:sz w:val="22"/>
                <w:szCs w:val="22"/>
              </w:rPr>
            </w:pPr>
            <w:r>
              <w:rPr>
                <w:color w:val="000000"/>
                <w:sz w:val="22"/>
                <w:szCs w:val="22"/>
              </w:rPr>
              <w:t>-213</w:t>
            </w:r>
          </w:p>
        </w:tc>
        <w:tc>
          <w:tcPr>
            <w:tcW w:w="1984" w:type="dxa"/>
            <w:tcBorders>
              <w:top w:val="nil"/>
              <w:left w:val="nil"/>
              <w:bottom w:val="single" w:sz="8" w:space="0" w:color="auto"/>
              <w:right w:val="single" w:sz="8" w:space="0" w:color="auto"/>
            </w:tcBorders>
            <w:shd w:val="clear" w:color="auto" w:fill="auto"/>
            <w:noWrap/>
            <w:vAlign w:val="center"/>
            <w:hideMark/>
          </w:tcPr>
          <w:p w14:paraId="03C5A5D4" w14:textId="77777777" w:rsidR="00FF42BF" w:rsidRDefault="00FF42BF">
            <w:pPr>
              <w:jc w:val="center"/>
              <w:rPr>
                <w:color w:val="000000"/>
                <w:sz w:val="22"/>
                <w:szCs w:val="22"/>
              </w:rPr>
            </w:pPr>
            <w:r>
              <w:rPr>
                <w:color w:val="000000"/>
                <w:sz w:val="22"/>
                <w:szCs w:val="22"/>
              </w:rPr>
              <w:t>-489</w:t>
            </w:r>
          </w:p>
        </w:tc>
      </w:tr>
      <w:tr w:rsidR="00FF42BF" w14:paraId="26A46F7E"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0FA0FDC0" w14:textId="77777777" w:rsidR="00FF42BF" w:rsidRDefault="00FF42BF">
            <w:pPr>
              <w:rPr>
                <w:b/>
                <w:bCs/>
                <w:color w:val="000000"/>
                <w:sz w:val="22"/>
                <w:szCs w:val="22"/>
              </w:rPr>
            </w:pPr>
            <w:r>
              <w:rPr>
                <w:b/>
                <w:bCs/>
                <w:color w:val="000000"/>
                <w:sz w:val="22"/>
                <w:szCs w:val="22"/>
              </w:rPr>
              <w:t>Overall Balance</w:t>
            </w:r>
          </w:p>
        </w:tc>
        <w:tc>
          <w:tcPr>
            <w:tcW w:w="1382" w:type="dxa"/>
            <w:tcBorders>
              <w:top w:val="nil"/>
              <w:left w:val="nil"/>
              <w:bottom w:val="single" w:sz="8" w:space="0" w:color="auto"/>
              <w:right w:val="single" w:sz="8" w:space="0" w:color="auto"/>
            </w:tcBorders>
            <w:shd w:val="clear" w:color="auto" w:fill="auto"/>
            <w:noWrap/>
            <w:vAlign w:val="center"/>
            <w:hideMark/>
          </w:tcPr>
          <w:p w14:paraId="2E33714A" w14:textId="77777777" w:rsidR="00FF42BF" w:rsidRDefault="00FF42BF">
            <w:pPr>
              <w:jc w:val="center"/>
              <w:rPr>
                <w:color w:val="000000"/>
                <w:sz w:val="22"/>
                <w:szCs w:val="22"/>
              </w:rPr>
            </w:pPr>
            <w:r>
              <w:rPr>
                <w:color w:val="000000"/>
                <w:sz w:val="22"/>
                <w:szCs w:val="22"/>
              </w:rPr>
              <w:t>-2929</w:t>
            </w:r>
          </w:p>
        </w:tc>
        <w:tc>
          <w:tcPr>
            <w:tcW w:w="1879" w:type="dxa"/>
            <w:tcBorders>
              <w:top w:val="nil"/>
              <w:left w:val="nil"/>
              <w:bottom w:val="single" w:sz="8" w:space="0" w:color="auto"/>
              <w:right w:val="single" w:sz="8" w:space="0" w:color="auto"/>
            </w:tcBorders>
            <w:shd w:val="clear" w:color="auto" w:fill="auto"/>
            <w:noWrap/>
            <w:vAlign w:val="center"/>
            <w:hideMark/>
          </w:tcPr>
          <w:p w14:paraId="068DE2C0" w14:textId="77777777" w:rsidR="00FF42BF" w:rsidRDefault="00FF42BF">
            <w:pPr>
              <w:jc w:val="center"/>
              <w:rPr>
                <w:color w:val="000000"/>
                <w:sz w:val="22"/>
                <w:szCs w:val="22"/>
              </w:rPr>
            </w:pPr>
            <w:r>
              <w:rPr>
                <w:color w:val="000000"/>
                <w:sz w:val="22"/>
                <w:szCs w:val="22"/>
              </w:rPr>
              <w:t>-537</w:t>
            </w:r>
          </w:p>
        </w:tc>
        <w:tc>
          <w:tcPr>
            <w:tcW w:w="1984" w:type="dxa"/>
            <w:tcBorders>
              <w:top w:val="nil"/>
              <w:left w:val="nil"/>
              <w:bottom w:val="single" w:sz="8" w:space="0" w:color="auto"/>
              <w:right w:val="single" w:sz="8" w:space="0" w:color="auto"/>
            </w:tcBorders>
            <w:shd w:val="clear" w:color="auto" w:fill="auto"/>
            <w:noWrap/>
            <w:vAlign w:val="center"/>
            <w:hideMark/>
          </w:tcPr>
          <w:p w14:paraId="0C40A271" w14:textId="77777777" w:rsidR="00FF42BF" w:rsidRDefault="00FF42BF">
            <w:pPr>
              <w:jc w:val="center"/>
              <w:rPr>
                <w:color w:val="000000"/>
                <w:sz w:val="22"/>
                <w:szCs w:val="22"/>
              </w:rPr>
            </w:pPr>
            <w:r>
              <w:rPr>
                <w:color w:val="000000"/>
                <w:sz w:val="22"/>
                <w:szCs w:val="22"/>
              </w:rPr>
              <w:t>-3466</w:t>
            </w:r>
          </w:p>
        </w:tc>
      </w:tr>
      <w:tr w:rsidR="00FF42BF" w14:paraId="2456E844"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0D55EF39" w14:textId="77777777" w:rsidR="00FF42BF" w:rsidRDefault="00FF42BF">
            <w:pPr>
              <w:rPr>
                <w:b/>
                <w:bCs/>
                <w:color w:val="000000"/>
                <w:sz w:val="22"/>
                <w:szCs w:val="22"/>
              </w:rPr>
            </w:pPr>
            <w:r>
              <w:rPr>
                <w:b/>
                <w:bCs/>
                <w:color w:val="000000"/>
                <w:sz w:val="22"/>
                <w:szCs w:val="22"/>
              </w:rPr>
              <w:t>Total Financing</w:t>
            </w:r>
          </w:p>
        </w:tc>
        <w:tc>
          <w:tcPr>
            <w:tcW w:w="1382" w:type="dxa"/>
            <w:tcBorders>
              <w:top w:val="nil"/>
              <w:left w:val="nil"/>
              <w:bottom w:val="single" w:sz="8" w:space="0" w:color="auto"/>
              <w:right w:val="single" w:sz="8" w:space="0" w:color="auto"/>
            </w:tcBorders>
            <w:shd w:val="clear" w:color="auto" w:fill="auto"/>
            <w:noWrap/>
            <w:vAlign w:val="center"/>
            <w:hideMark/>
          </w:tcPr>
          <w:p w14:paraId="34C704E5" w14:textId="77777777" w:rsidR="00FF42BF" w:rsidRDefault="00FF42BF">
            <w:pPr>
              <w:jc w:val="center"/>
              <w:rPr>
                <w:color w:val="000000"/>
                <w:sz w:val="22"/>
                <w:szCs w:val="22"/>
              </w:rPr>
            </w:pPr>
            <w:r>
              <w:rPr>
                <w:color w:val="000000"/>
                <w:sz w:val="22"/>
                <w:szCs w:val="22"/>
              </w:rPr>
              <w:t>2929</w:t>
            </w:r>
          </w:p>
        </w:tc>
        <w:tc>
          <w:tcPr>
            <w:tcW w:w="1879" w:type="dxa"/>
            <w:tcBorders>
              <w:top w:val="nil"/>
              <w:left w:val="nil"/>
              <w:bottom w:val="single" w:sz="8" w:space="0" w:color="auto"/>
              <w:right w:val="single" w:sz="8" w:space="0" w:color="auto"/>
            </w:tcBorders>
            <w:shd w:val="clear" w:color="auto" w:fill="auto"/>
            <w:noWrap/>
            <w:vAlign w:val="center"/>
            <w:hideMark/>
          </w:tcPr>
          <w:p w14:paraId="52139EF4" w14:textId="77777777" w:rsidR="00FF42BF" w:rsidRDefault="00FF42BF">
            <w:pPr>
              <w:jc w:val="center"/>
              <w:rPr>
                <w:color w:val="000000"/>
                <w:sz w:val="22"/>
                <w:szCs w:val="22"/>
              </w:rPr>
            </w:pPr>
            <w:r>
              <w:rPr>
                <w:color w:val="000000"/>
                <w:sz w:val="22"/>
                <w:szCs w:val="22"/>
              </w:rPr>
              <w:t>537</w:t>
            </w:r>
          </w:p>
        </w:tc>
        <w:tc>
          <w:tcPr>
            <w:tcW w:w="1984" w:type="dxa"/>
            <w:tcBorders>
              <w:top w:val="nil"/>
              <w:left w:val="nil"/>
              <w:bottom w:val="single" w:sz="8" w:space="0" w:color="auto"/>
              <w:right w:val="single" w:sz="8" w:space="0" w:color="auto"/>
            </w:tcBorders>
            <w:shd w:val="clear" w:color="auto" w:fill="auto"/>
            <w:noWrap/>
            <w:vAlign w:val="center"/>
            <w:hideMark/>
          </w:tcPr>
          <w:p w14:paraId="55C5E7B5" w14:textId="77777777" w:rsidR="00FF42BF" w:rsidRDefault="00FF42BF">
            <w:pPr>
              <w:jc w:val="center"/>
              <w:rPr>
                <w:color w:val="000000"/>
                <w:sz w:val="22"/>
                <w:szCs w:val="22"/>
              </w:rPr>
            </w:pPr>
            <w:r>
              <w:rPr>
                <w:color w:val="000000"/>
                <w:sz w:val="22"/>
                <w:szCs w:val="22"/>
              </w:rPr>
              <w:t>3466</w:t>
            </w:r>
          </w:p>
        </w:tc>
      </w:tr>
      <w:tr w:rsidR="00FF42BF" w14:paraId="24900424"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3519468E" w14:textId="77777777" w:rsidR="00FF42BF" w:rsidRDefault="00FF42BF">
            <w:pPr>
              <w:rPr>
                <w:b/>
                <w:bCs/>
                <w:color w:val="000000"/>
                <w:sz w:val="22"/>
                <w:szCs w:val="22"/>
              </w:rPr>
            </w:pPr>
            <w:r>
              <w:rPr>
                <w:b/>
                <w:bCs/>
                <w:color w:val="000000"/>
                <w:sz w:val="22"/>
                <w:szCs w:val="22"/>
              </w:rPr>
              <w:t>Increase (-) Net Reserves</w:t>
            </w:r>
          </w:p>
        </w:tc>
        <w:tc>
          <w:tcPr>
            <w:tcW w:w="1382" w:type="dxa"/>
            <w:tcBorders>
              <w:top w:val="nil"/>
              <w:left w:val="nil"/>
              <w:bottom w:val="single" w:sz="8" w:space="0" w:color="auto"/>
              <w:right w:val="single" w:sz="8" w:space="0" w:color="auto"/>
            </w:tcBorders>
            <w:shd w:val="clear" w:color="auto" w:fill="auto"/>
            <w:noWrap/>
            <w:vAlign w:val="center"/>
            <w:hideMark/>
          </w:tcPr>
          <w:p w14:paraId="25B484DD" w14:textId="77777777" w:rsidR="00FF42BF" w:rsidRDefault="00FF42BF">
            <w:pPr>
              <w:jc w:val="center"/>
              <w:rPr>
                <w:color w:val="000000"/>
                <w:sz w:val="22"/>
                <w:szCs w:val="22"/>
              </w:rPr>
            </w:pPr>
            <w:r>
              <w:rPr>
                <w:color w:val="000000"/>
                <w:sz w:val="22"/>
                <w:szCs w:val="22"/>
              </w:rPr>
              <w:t>-</w:t>
            </w:r>
          </w:p>
        </w:tc>
        <w:tc>
          <w:tcPr>
            <w:tcW w:w="1879" w:type="dxa"/>
            <w:tcBorders>
              <w:top w:val="nil"/>
              <w:left w:val="nil"/>
              <w:bottom w:val="single" w:sz="8" w:space="0" w:color="auto"/>
              <w:right w:val="single" w:sz="8" w:space="0" w:color="auto"/>
            </w:tcBorders>
            <w:shd w:val="clear" w:color="auto" w:fill="auto"/>
            <w:noWrap/>
            <w:vAlign w:val="center"/>
            <w:hideMark/>
          </w:tcPr>
          <w:p w14:paraId="1959CC82" w14:textId="77777777" w:rsidR="00FF42BF" w:rsidRDefault="00FF42BF">
            <w:pPr>
              <w:jc w:val="center"/>
              <w:rPr>
                <w:color w:val="000000"/>
                <w:sz w:val="22"/>
                <w:szCs w:val="22"/>
              </w:rPr>
            </w:pPr>
            <w:r>
              <w:rPr>
                <w:color w:val="000000"/>
                <w:sz w:val="22"/>
                <w:szCs w:val="22"/>
              </w:rPr>
              <w:t>-70</w:t>
            </w:r>
          </w:p>
        </w:tc>
        <w:tc>
          <w:tcPr>
            <w:tcW w:w="1984" w:type="dxa"/>
            <w:tcBorders>
              <w:top w:val="nil"/>
              <w:left w:val="nil"/>
              <w:bottom w:val="single" w:sz="8" w:space="0" w:color="auto"/>
              <w:right w:val="single" w:sz="8" w:space="0" w:color="auto"/>
            </w:tcBorders>
            <w:shd w:val="clear" w:color="auto" w:fill="auto"/>
            <w:noWrap/>
            <w:vAlign w:val="center"/>
            <w:hideMark/>
          </w:tcPr>
          <w:p w14:paraId="25074FE0" w14:textId="77777777" w:rsidR="00FF42BF" w:rsidRDefault="00FF42BF">
            <w:pPr>
              <w:jc w:val="center"/>
              <w:rPr>
                <w:color w:val="000000"/>
                <w:sz w:val="22"/>
                <w:szCs w:val="22"/>
              </w:rPr>
            </w:pPr>
            <w:r>
              <w:rPr>
                <w:color w:val="000000"/>
                <w:sz w:val="22"/>
                <w:szCs w:val="22"/>
              </w:rPr>
              <w:t>-70</w:t>
            </w:r>
          </w:p>
        </w:tc>
      </w:tr>
      <w:tr w:rsidR="00FF42BF" w14:paraId="22575E7C"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43FBA2A8" w14:textId="77777777" w:rsidR="00FF42BF" w:rsidRDefault="00FF42BF">
            <w:pPr>
              <w:rPr>
                <w:b/>
                <w:bCs/>
                <w:color w:val="000000"/>
                <w:sz w:val="22"/>
                <w:szCs w:val="22"/>
              </w:rPr>
            </w:pPr>
            <w:r>
              <w:rPr>
                <w:b/>
                <w:bCs/>
                <w:color w:val="000000"/>
                <w:sz w:val="22"/>
                <w:szCs w:val="22"/>
              </w:rPr>
              <w:t>Interenterprise arrears</w:t>
            </w:r>
          </w:p>
        </w:tc>
        <w:tc>
          <w:tcPr>
            <w:tcW w:w="1382" w:type="dxa"/>
            <w:tcBorders>
              <w:top w:val="nil"/>
              <w:left w:val="nil"/>
              <w:bottom w:val="single" w:sz="8" w:space="0" w:color="auto"/>
              <w:right w:val="single" w:sz="8" w:space="0" w:color="auto"/>
            </w:tcBorders>
            <w:shd w:val="clear" w:color="auto" w:fill="auto"/>
            <w:noWrap/>
            <w:vAlign w:val="center"/>
            <w:hideMark/>
          </w:tcPr>
          <w:p w14:paraId="279BEF1C" w14:textId="77777777" w:rsidR="00FF42BF" w:rsidRDefault="00FF42BF">
            <w:pPr>
              <w:jc w:val="center"/>
              <w:rPr>
                <w:color w:val="000000"/>
                <w:sz w:val="22"/>
                <w:szCs w:val="22"/>
              </w:rPr>
            </w:pPr>
            <w:r>
              <w:rPr>
                <w:color w:val="000000"/>
                <w:sz w:val="22"/>
                <w:szCs w:val="22"/>
              </w:rPr>
              <w:t>-145</w:t>
            </w:r>
          </w:p>
        </w:tc>
        <w:tc>
          <w:tcPr>
            <w:tcW w:w="1879" w:type="dxa"/>
            <w:tcBorders>
              <w:top w:val="nil"/>
              <w:left w:val="nil"/>
              <w:bottom w:val="single" w:sz="8" w:space="0" w:color="auto"/>
              <w:right w:val="single" w:sz="8" w:space="0" w:color="auto"/>
            </w:tcBorders>
            <w:shd w:val="clear" w:color="auto" w:fill="auto"/>
            <w:noWrap/>
            <w:vAlign w:val="center"/>
            <w:hideMark/>
          </w:tcPr>
          <w:p w14:paraId="2430C41D" w14:textId="77777777" w:rsidR="00FF42BF" w:rsidRDefault="00FF42BF">
            <w:pPr>
              <w:jc w:val="center"/>
              <w:rPr>
                <w:color w:val="000000"/>
                <w:sz w:val="22"/>
                <w:szCs w:val="22"/>
              </w:rPr>
            </w:pPr>
            <w:r>
              <w:rPr>
                <w:color w:val="000000"/>
                <w:sz w:val="22"/>
                <w:szCs w:val="22"/>
              </w:rPr>
              <w:t>-</w:t>
            </w:r>
          </w:p>
        </w:tc>
        <w:tc>
          <w:tcPr>
            <w:tcW w:w="1984" w:type="dxa"/>
            <w:tcBorders>
              <w:top w:val="nil"/>
              <w:left w:val="nil"/>
              <w:bottom w:val="single" w:sz="8" w:space="0" w:color="auto"/>
              <w:right w:val="single" w:sz="8" w:space="0" w:color="auto"/>
            </w:tcBorders>
            <w:shd w:val="clear" w:color="auto" w:fill="auto"/>
            <w:noWrap/>
            <w:vAlign w:val="center"/>
            <w:hideMark/>
          </w:tcPr>
          <w:p w14:paraId="7DE05630" w14:textId="77777777" w:rsidR="00FF42BF" w:rsidRDefault="00FF42BF">
            <w:pPr>
              <w:jc w:val="center"/>
              <w:rPr>
                <w:color w:val="000000"/>
                <w:sz w:val="22"/>
                <w:szCs w:val="22"/>
              </w:rPr>
            </w:pPr>
            <w:r>
              <w:rPr>
                <w:color w:val="000000"/>
                <w:sz w:val="22"/>
                <w:szCs w:val="22"/>
              </w:rPr>
              <w:t>-145</w:t>
            </w:r>
          </w:p>
        </w:tc>
      </w:tr>
      <w:tr w:rsidR="00FF42BF" w14:paraId="2D8A94FF"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0CD07605" w14:textId="77777777" w:rsidR="00FF42BF" w:rsidRDefault="00FF42BF">
            <w:pPr>
              <w:rPr>
                <w:b/>
                <w:bCs/>
                <w:color w:val="000000"/>
                <w:sz w:val="22"/>
                <w:szCs w:val="22"/>
              </w:rPr>
            </w:pPr>
            <w:r>
              <w:rPr>
                <w:b/>
                <w:bCs/>
                <w:color w:val="000000"/>
                <w:sz w:val="22"/>
                <w:szCs w:val="22"/>
              </w:rPr>
              <w:t>Correspondent accounts</w:t>
            </w:r>
          </w:p>
        </w:tc>
        <w:tc>
          <w:tcPr>
            <w:tcW w:w="1382" w:type="dxa"/>
            <w:tcBorders>
              <w:top w:val="nil"/>
              <w:left w:val="nil"/>
              <w:bottom w:val="single" w:sz="8" w:space="0" w:color="auto"/>
              <w:right w:val="single" w:sz="8" w:space="0" w:color="auto"/>
            </w:tcBorders>
            <w:shd w:val="clear" w:color="auto" w:fill="auto"/>
            <w:noWrap/>
            <w:vAlign w:val="center"/>
            <w:hideMark/>
          </w:tcPr>
          <w:p w14:paraId="344C4F6C" w14:textId="77777777" w:rsidR="00FF42BF" w:rsidRDefault="00FF42BF">
            <w:pPr>
              <w:jc w:val="center"/>
              <w:rPr>
                <w:color w:val="000000"/>
                <w:sz w:val="22"/>
                <w:szCs w:val="22"/>
              </w:rPr>
            </w:pPr>
            <w:r>
              <w:rPr>
                <w:color w:val="000000"/>
                <w:sz w:val="22"/>
                <w:szCs w:val="22"/>
              </w:rPr>
              <w:t>2783</w:t>
            </w:r>
          </w:p>
        </w:tc>
        <w:tc>
          <w:tcPr>
            <w:tcW w:w="1879" w:type="dxa"/>
            <w:tcBorders>
              <w:top w:val="nil"/>
              <w:left w:val="nil"/>
              <w:bottom w:val="single" w:sz="8" w:space="0" w:color="auto"/>
              <w:right w:val="single" w:sz="8" w:space="0" w:color="auto"/>
            </w:tcBorders>
            <w:shd w:val="clear" w:color="auto" w:fill="auto"/>
            <w:noWrap/>
            <w:vAlign w:val="center"/>
            <w:hideMark/>
          </w:tcPr>
          <w:p w14:paraId="6E8F9F26" w14:textId="77777777" w:rsidR="00FF42BF" w:rsidRDefault="00FF42BF">
            <w:pPr>
              <w:jc w:val="center"/>
              <w:rPr>
                <w:color w:val="000000"/>
                <w:sz w:val="22"/>
                <w:szCs w:val="22"/>
              </w:rPr>
            </w:pPr>
            <w:r>
              <w:rPr>
                <w:color w:val="000000"/>
                <w:sz w:val="22"/>
                <w:szCs w:val="22"/>
              </w:rPr>
              <w:t>-</w:t>
            </w:r>
          </w:p>
        </w:tc>
        <w:tc>
          <w:tcPr>
            <w:tcW w:w="1984" w:type="dxa"/>
            <w:tcBorders>
              <w:top w:val="nil"/>
              <w:left w:val="nil"/>
              <w:bottom w:val="single" w:sz="8" w:space="0" w:color="auto"/>
              <w:right w:val="single" w:sz="8" w:space="0" w:color="auto"/>
            </w:tcBorders>
            <w:shd w:val="clear" w:color="auto" w:fill="auto"/>
            <w:noWrap/>
            <w:vAlign w:val="center"/>
            <w:hideMark/>
          </w:tcPr>
          <w:p w14:paraId="16D9687F" w14:textId="77777777" w:rsidR="00FF42BF" w:rsidRDefault="00FF42BF">
            <w:pPr>
              <w:jc w:val="center"/>
              <w:rPr>
                <w:color w:val="000000"/>
                <w:sz w:val="22"/>
                <w:szCs w:val="22"/>
              </w:rPr>
            </w:pPr>
            <w:r>
              <w:rPr>
                <w:color w:val="000000"/>
                <w:sz w:val="22"/>
                <w:szCs w:val="22"/>
              </w:rPr>
              <w:t>2783</w:t>
            </w:r>
          </w:p>
        </w:tc>
      </w:tr>
      <w:tr w:rsidR="00FF42BF" w14:paraId="2DA1BBA6"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3882D1B4" w14:textId="77777777" w:rsidR="00FF42BF" w:rsidRDefault="00FF42BF">
            <w:pPr>
              <w:rPr>
                <w:b/>
                <w:bCs/>
                <w:color w:val="000000"/>
                <w:sz w:val="22"/>
                <w:szCs w:val="22"/>
              </w:rPr>
            </w:pPr>
            <w:r>
              <w:rPr>
                <w:b/>
                <w:bCs/>
                <w:color w:val="000000"/>
                <w:sz w:val="22"/>
                <w:szCs w:val="22"/>
              </w:rPr>
              <w:t>Exceptional Financing</w:t>
            </w:r>
          </w:p>
        </w:tc>
        <w:tc>
          <w:tcPr>
            <w:tcW w:w="1382" w:type="dxa"/>
            <w:tcBorders>
              <w:top w:val="nil"/>
              <w:left w:val="nil"/>
              <w:bottom w:val="single" w:sz="8" w:space="0" w:color="auto"/>
              <w:right w:val="single" w:sz="8" w:space="0" w:color="auto"/>
            </w:tcBorders>
            <w:shd w:val="clear" w:color="auto" w:fill="auto"/>
            <w:noWrap/>
            <w:vAlign w:val="center"/>
            <w:hideMark/>
          </w:tcPr>
          <w:p w14:paraId="0DB3C2C8" w14:textId="77777777" w:rsidR="00FF42BF" w:rsidRDefault="00FF42BF">
            <w:pPr>
              <w:jc w:val="center"/>
              <w:rPr>
                <w:color w:val="000000"/>
                <w:sz w:val="22"/>
                <w:szCs w:val="22"/>
              </w:rPr>
            </w:pPr>
            <w:r>
              <w:rPr>
                <w:color w:val="000000"/>
                <w:sz w:val="22"/>
                <w:szCs w:val="22"/>
              </w:rPr>
              <w:t>0</w:t>
            </w:r>
          </w:p>
        </w:tc>
        <w:tc>
          <w:tcPr>
            <w:tcW w:w="1879" w:type="dxa"/>
            <w:tcBorders>
              <w:top w:val="nil"/>
              <w:left w:val="nil"/>
              <w:bottom w:val="single" w:sz="8" w:space="0" w:color="auto"/>
              <w:right w:val="single" w:sz="8" w:space="0" w:color="auto"/>
            </w:tcBorders>
            <w:shd w:val="clear" w:color="auto" w:fill="auto"/>
            <w:noWrap/>
            <w:vAlign w:val="center"/>
            <w:hideMark/>
          </w:tcPr>
          <w:p w14:paraId="444424B5" w14:textId="77777777" w:rsidR="00FF42BF" w:rsidRDefault="00FF42BF">
            <w:pPr>
              <w:jc w:val="center"/>
              <w:rPr>
                <w:color w:val="000000"/>
                <w:sz w:val="22"/>
                <w:szCs w:val="22"/>
              </w:rPr>
            </w:pPr>
            <w:r>
              <w:rPr>
                <w:color w:val="000000"/>
                <w:sz w:val="22"/>
                <w:szCs w:val="22"/>
              </w:rPr>
              <w:t>607</w:t>
            </w:r>
          </w:p>
        </w:tc>
        <w:tc>
          <w:tcPr>
            <w:tcW w:w="1984" w:type="dxa"/>
            <w:tcBorders>
              <w:top w:val="nil"/>
              <w:left w:val="nil"/>
              <w:bottom w:val="single" w:sz="8" w:space="0" w:color="auto"/>
              <w:right w:val="single" w:sz="8" w:space="0" w:color="auto"/>
            </w:tcBorders>
            <w:shd w:val="clear" w:color="auto" w:fill="auto"/>
            <w:noWrap/>
            <w:vAlign w:val="center"/>
            <w:hideMark/>
          </w:tcPr>
          <w:p w14:paraId="05411A7C" w14:textId="77777777" w:rsidR="00FF42BF" w:rsidRDefault="00FF42BF">
            <w:pPr>
              <w:jc w:val="center"/>
              <w:rPr>
                <w:color w:val="000000"/>
                <w:sz w:val="22"/>
                <w:szCs w:val="22"/>
              </w:rPr>
            </w:pPr>
            <w:r>
              <w:rPr>
                <w:color w:val="000000"/>
                <w:sz w:val="22"/>
                <w:szCs w:val="22"/>
              </w:rPr>
              <w:t>607</w:t>
            </w:r>
          </w:p>
        </w:tc>
      </w:tr>
      <w:tr w:rsidR="00FF42BF" w14:paraId="6C21F6A7"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30A8966A" w14:textId="77777777" w:rsidR="00FF42BF" w:rsidRDefault="00FF42BF">
            <w:pPr>
              <w:rPr>
                <w:b/>
                <w:bCs/>
                <w:color w:val="000000"/>
                <w:sz w:val="22"/>
                <w:szCs w:val="22"/>
              </w:rPr>
            </w:pPr>
            <w:r>
              <w:rPr>
                <w:b/>
                <w:bCs/>
                <w:color w:val="000000"/>
                <w:sz w:val="22"/>
                <w:szCs w:val="22"/>
              </w:rPr>
              <w:t>Debt deferral</w:t>
            </w:r>
          </w:p>
        </w:tc>
        <w:tc>
          <w:tcPr>
            <w:tcW w:w="1382" w:type="dxa"/>
            <w:tcBorders>
              <w:top w:val="nil"/>
              <w:left w:val="nil"/>
              <w:bottom w:val="single" w:sz="8" w:space="0" w:color="auto"/>
              <w:right w:val="single" w:sz="8" w:space="0" w:color="auto"/>
            </w:tcBorders>
            <w:shd w:val="clear" w:color="auto" w:fill="auto"/>
            <w:noWrap/>
            <w:vAlign w:val="center"/>
            <w:hideMark/>
          </w:tcPr>
          <w:p w14:paraId="4E9F2272" w14:textId="77777777" w:rsidR="00FF42BF" w:rsidRDefault="00FF42BF">
            <w:pPr>
              <w:jc w:val="center"/>
              <w:rPr>
                <w:color w:val="000000"/>
                <w:sz w:val="22"/>
                <w:szCs w:val="22"/>
              </w:rPr>
            </w:pPr>
            <w:r>
              <w:rPr>
                <w:color w:val="000000"/>
                <w:sz w:val="22"/>
                <w:szCs w:val="22"/>
              </w:rPr>
              <w:t>-</w:t>
            </w:r>
          </w:p>
        </w:tc>
        <w:tc>
          <w:tcPr>
            <w:tcW w:w="1879" w:type="dxa"/>
            <w:tcBorders>
              <w:top w:val="nil"/>
              <w:left w:val="nil"/>
              <w:bottom w:val="single" w:sz="8" w:space="0" w:color="auto"/>
              <w:right w:val="single" w:sz="8" w:space="0" w:color="auto"/>
            </w:tcBorders>
            <w:shd w:val="clear" w:color="auto" w:fill="auto"/>
            <w:noWrap/>
            <w:vAlign w:val="center"/>
            <w:hideMark/>
          </w:tcPr>
          <w:p w14:paraId="49F94342" w14:textId="77777777" w:rsidR="00FF42BF" w:rsidRDefault="00FF42BF">
            <w:pPr>
              <w:jc w:val="center"/>
              <w:rPr>
                <w:color w:val="000000"/>
                <w:sz w:val="22"/>
                <w:szCs w:val="22"/>
              </w:rPr>
            </w:pPr>
            <w:r>
              <w:rPr>
                <w:color w:val="000000"/>
                <w:sz w:val="22"/>
                <w:szCs w:val="22"/>
              </w:rPr>
              <w:t>273</w:t>
            </w:r>
          </w:p>
        </w:tc>
        <w:tc>
          <w:tcPr>
            <w:tcW w:w="1984" w:type="dxa"/>
            <w:tcBorders>
              <w:top w:val="nil"/>
              <w:left w:val="nil"/>
              <w:bottom w:val="single" w:sz="8" w:space="0" w:color="auto"/>
              <w:right w:val="single" w:sz="8" w:space="0" w:color="auto"/>
            </w:tcBorders>
            <w:shd w:val="clear" w:color="auto" w:fill="auto"/>
            <w:noWrap/>
            <w:vAlign w:val="center"/>
            <w:hideMark/>
          </w:tcPr>
          <w:p w14:paraId="7A961EA1" w14:textId="77777777" w:rsidR="00FF42BF" w:rsidRDefault="00FF42BF">
            <w:pPr>
              <w:jc w:val="center"/>
              <w:rPr>
                <w:color w:val="000000"/>
                <w:sz w:val="22"/>
                <w:szCs w:val="22"/>
              </w:rPr>
            </w:pPr>
            <w:r>
              <w:rPr>
                <w:color w:val="000000"/>
                <w:sz w:val="22"/>
                <w:szCs w:val="22"/>
              </w:rPr>
              <w:t>273</w:t>
            </w:r>
          </w:p>
        </w:tc>
      </w:tr>
      <w:tr w:rsidR="00FF42BF" w14:paraId="65CBC65A" w14:textId="77777777" w:rsidTr="00FF42BF">
        <w:trPr>
          <w:trHeight w:val="320"/>
        </w:trPr>
        <w:tc>
          <w:tcPr>
            <w:tcW w:w="3392" w:type="dxa"/>
            <w:tcBorders>
              <w:top w:val="nil"/>
              <w:left w:val="single" w:sz="8" w:space="0" w:color="auto"/>
              <w:bottom w:val="single" w:sz="8" w:space="0" w:color="auto"/>
              <w:right w:val="single" w:sz="8" w:space="0" w:color="auto"/>
            </w:tcBorders>
            <w:shd w:val="clear" w:color="auto" w:fill="auto"/>
            <w:vAlign w:val="center"/>
            <w:hideMark/>
          </w:tcPr>
          <w:p w14:paraId="6E0061B9" w14:textId="77777777" w:rsidR="00FF42BF" w:rsidRDefault="00FF42BF">
            <w:pPr>
              <w:rPr>
                <w:b/>
                <w:bCs/>
                <w:color w:val="000000"/>
                <w:sz w:val="22"/>
                <w:szCs w:val="22"/>
              </w:rPr>
            </w:pPr>
            <w:r>
              <w:rPr>
                <w:b/>
                <w:bCs/>
                <w:color w:val="000000"/>
                <w:sz w:val="22"/>
                <w:szCs w:val="22"/>
              </w:rPr>
              <w:t>Arrears (+ is increase)</w:t>
            </w:r>
          </w:p>
        </w:tc>
        <w:tc>
          <w:tcPr>
            <w:tcW w:w="1382" w:type="dxa"/>
            <w:tcBorders>
              <w:top w:val="nil"/>
              <w:left w:val="nil"/>
              <w:bottom w:val="single" w:sz="8" w:space="0" w:color="auto"/>
              <w:right w:val="single" w:sz="8" w:space="0" w:color="auto"/>
            </w:tcBorders>
            <w:shd w:val="clear" w:color="auto" w:fill="auto"/>
            <w:noWrap/>
            <w:vAlign w:val="center"/>
            <w:hideMark/>
          </w:tcPr>
          <w:p w14:paraId="1FB1D631" w14:textId="77777777" w:rsidR="00FF42BF" w:rsidRDefault="00FF42BF">
            <w:pPr>
              <w:jc w:val="center"/>
              <w:rPr>
                <w:color w:val="000000"/>
                <w:sz w:val="22"/>
                <w:szCs w:val="22"/>
              </w:rPr>
            </w:pPr>
            <w:r>
              <w:rPr>
                <w:color w:val="000000"/>
                <w:sz w:val="22"/>
                <w:szCs w:val="22"/>
              </w:rPr>
              <w:t>-</w:t>
            </w:r>
          </w:p>
        </w:tc>
        <w:tc>
          <w:tcPr>
            <w:tcW w:w="1879" w:type="dxa"/>
            <w:tcBorders>
              <w:top w:val="nil"/>
              <w:left w:val="nil"/>
              <w:bottom w:val="single" w:sz="8" w:space="0" w:color="auto"/>
              <w:right w:val="single" w:sz="8" w:space="0" w:color="auto"/>
            </w:tcBorders>
            <w:shd w:val="clear" w:color="auto" w:fill="auto"/>
            <w:noWrap/>
            <w:vAlign w:val="center"/>
            <w:hideMark/>
          </w:tcPr>
          <w:p w14:paraId="0472E381" w14:textId="77777777" w:rsidR="00FF42BF" w:rsidRDefault="00FF42BF">
            <w:pPr>
              <w:jc w:val="center"/>
              <w:rPr>
                <w:color w:val="000000"/>
                <w:sz w:val="22"/>
                <w:szCs w:val="22"/>
              </w:rPr>
            </w:pPr>
            <w:r>
              <w:rPr>
                <w:color w:val="000000"/>
                <w:sz w:val="22"/>
                <w:szCs w:val="22"/>
              </w:rPr>
              <w:t>334</w:t>
            </w:r>
          </w:p>
        </w:tc>
        <w:tc>
          <w:tcPr>
            <w:tcW w:w="1984" w:type="dxa"/>
            <w:tcBorders>
              <w:top w:val="nil"/>
              <w:left w:val="nil"/>
              <w:bottom w:val="single" w:sz="8" w:space="0" w:color="auto"/>
              <w:right w:val="single" w:sz="8" w:space="0" w:color="auto"/>
            </w:tcBorders>
            <w:shd w:val="clear" w:color="auto" w:fill="auto"/>
            <w:noWrap/>
            <w:vAlign w:val="center"/>
            <w:hideMark/>
          </w:tcPr>
          <w:p w14:paraId="468E8D33" w14:textId="77777777" w:rsidR="00FF42BF" w:rsidRDefault="00FF42BF">
            <w:pPr>
              <w:jc w:val="center"/>
              <w:rPr>
                <w:color w:val="000000"/>
                <w:sz w:val="22"/>
                <w:szCs w:val="22"/>
              </w:rPr>
            </w:pPr>
            <w:r>
              <w:rPr>
                <w:color w:val="000000"/>
                <w:sz w:val="22"/>
                <w:szCs w:val="22"/>
              </w:rPr>
              <w:t>334</w:t>
            </w:r>
          </w:p>
        </w:tc>
      </w:tr>
    </w:tbl>
    <w:p w14:paraId="666CF652" w14:textId="45A246C8" w:rsidR="005B076C" w:rsidRPr="000350F7" w:rsidRDefault="00432E8F" w:rsidP="00D8639A">
      <w:pPr>
        <w:keepNext/>
        <w:jc w:val="both"/>
        <w:rPr>
          <w:sz w:val="22"/>
          <w:szCs w:val="22"/>
        </w:rPr>
      </w:pPr>
      <w:r w:rsidRPr="00144AB5">
        <w:rPr>
          <w:sz w:val="22"/>
          <w:szCs w:val="22"/>
        </w:rPr>
        <w:lastRenderedPageBreak/>
        <w:t xml:space="preserve">Source: </w:t>
      </w:r>
      <w:r w:rsidR="00240963" w:rsidRPr="00144AB5">
        <w:rPr>
          <w:sz w:val="22"/>
          <w:szCs w:val="22"/>
        </w:rPr>
        <w:t xml:space="preserve">The World Bank, </w:t>
      </w:r>
      <w:r w:rsidR="00E27F73" w:rsidRPr="00144AB5">
        <w:rPr>
          <w:sz w:val="22"/>
          <w:szCs w:val="22"/>
        </w:rPr>
        <w:t>(1993). Kazakhstan: The Macroeconomy and the Transition to the Market. A World Bank Country Study.</w:t>
      </w:r>
      <w:r w:rsidR="00475427" w:rsidRPr="00144AB5">
        <w:rPr>
          <w:sz w:val="22"/>
          <w:szCs w:val="22"/>
        </w:rPr>
        <w:t xml:space="preserve"> The table elaborated by </w:t>
      </w:r>
      <w:r w:rsidR="00C454EE" w:rsidRPr="00144AB5">
        <w:rPr>
          <w:sz w:val="22"/>
          <w:szCs w:val="22"/>
        </w:rPr>
        <w:t>the author</w:t>
      </w:r>
      <w:r w:rsidR="00475427" w:rsidRPr="00144AB5">
        <w:rPr>
          <w:sz w:val="22"/>
          <w:szCs w:val="22"/>
        </w:rPr>
        <w:t>.</w:t>
      </w:r>
    </w:p>
    <w:p w14:paraId="08478CE8" w14:textId="77777777" w:rsidR="00D8639A" w:rsidRPr="000350F7" w:rsidRDefault="00D8639A" w:rsidP="00D8639A">
      <w:pPr>
        <w:keepNext/>
        <w:jc w:val="both"/>
        <w:rPr>
          <w:sz w:val="22"/>
          <w:szCs w:val="22"/>
        </w:rPr>
      </w:pPr>
    </w:p>
    <w:p w14:paraId="71C8CF51" w14:textId="74F45C90" w:rsidR="004B1D05" w:rsidRPr="005D0D20" w:rsidRDefault="00C454EE" w:rsidP="004B1D05">
      <w:pPr>
        <w:keepNext/>
        <w:spacing w:line="360" w:lineRule="auto"/>
        <w:ind w:firstLine="708"/>
        <w:jc w:val="both"/>
      </w:pPr>
      <w:r w:rsidRPr="00144AB5">
        <w:t xml:space="preserve">According to </w:t>
      </w:r>
      <w:r w:rsidR="00B41470" w:rsidRPr="00144AB5">
        <w:t>table</w:t>
      </w:r>
      <w:r w:rsidRPr="00144AB5">
        <w:t xml:space="preserve"> 1, we can see</w:t>
      </w:r>
      <w:r w:rsidR="00382CCA" w:rsidRPr="00144AB5">
        <w:t xml:space="preserve"> that </w:t>
      </w:r>
      <w:r w:rsidR="00A317EB" w:rsidRPr="00144AB5">
        <w:t>at</w:t>
      </w:r>
      <w:r w:rsidR="00382CCA" w:rsidRPr="00144AB5">
        <w:t xml:space="preserve"> the beginning phase of independence as a state, the country encountered a current account deficit due to the fact that imports exceeded exports, making the domestic economy weak to external shocks</w:t>
      </w:r>
      <w:r w:rsidR="000A290A" w:rsidRPr="00144AB5">
        <w:t xml:space="preserve">. </w:t>
      </w:r>
      <w:r w:rsidR="00382CCA" w:rsidRPr="00144AB5">
        <w:t>In other words, the government spent more than it earned from foreign trade. The current account balance stood at -$2.9</w:t>
      </w:r>
      <w:r w:rsidR="00F64685" w:rsidRPr="00F64685">
        <w:t>7</w:t>
      </w:r>
      <w:r w:rsidR="00BD698A" w:rsidRPr="00BD698A">
        <w:t>7</w:t>
      </w:r>
      <w:r w:rsidR="00382CCA" w:rsidRPr="00144AB5">
        <w:t xml:space="preserve"> billion USD, indicating that Kazakhstan was spending more abroad (on imports and services) than it was earning at the time. Only $100 million in direct foreign investment was received. This reflects the weak investor confidence in the immediate post-Soviet period. The capital account is also negative (-$489 million), showing more capital outflows than inflows due to early capital withdrawals and unstable economic</w:t>
      </w:r>
      <w:r w:rsidR="00D8639A" w:rsidRPr="00D8639A">
        <w:t xml:space="preserve"> </w:t>
      </w:r>
      <w:r w:rsidR="00382CCA" w:rsidRPr="00144AB5">
        <w:t>expectations. Kazakhstan heavily depended on imports and pursued external sources of finance to cover the difference. </w:t>
      </w:r>
    </w:p>
    <w:p w14:paraId="6E455D88" w14:textId="1E2675C6" w:rsidR="00E6677F" w:rsidRPr="00700F3A" w:rsidRDefault="00E6677F" w:rsidP="00C454EE">
      <w:pPr>
        <w:keepNext/>
        <w:spacing w:line="360" w:lineRule="auto"/>
        <w:jc w:val="both"/>
        <w:rPr>
          <w:b/>
          <w:bCs/>
        </w:rPr>
      </w:pPr>
      <w:r w:rsidRPr="00E6677F">
        <w:rPr>
          <w:b/>
          <w:bCs/>
        </w:rPr>
        <w:t>Figure</w:t>
      </w:r>
      <w:r w:rsidRPr="00ED2D53">
        <w:rPr>
          <w:b/>
          <w:bCs/>
        </w:rPr>
        <w:t xml:space="preserve"> 3. </w:t>
      </w:r>
      <w:r w:rsidRPr="00E6677F">
        <w:rPr>
          <w:b/>
          <w:bCs/>
        </w:rPr>
        <w:t>Kazakhstan</w:t>
      </w:r>
      <w:r w:rsidRPr="00A12BB0">
        <w:rPr>
          <w:b/>
          <w:bCs/>
        </w:rPr>
        <w:t>’</w:t>
      </w:r>
      <w:r w:rsidRPr="00E6677F">
        <w:rPr>
          <w:b/>
          <w:bCs/>
        </w:rPr>
        <w:t>s</w:t>
      </w:r>
      <w:r w:rsidRPr="00A12BB0">
        <w:rPr>
          <w:b/>
          <w:bCs/>
        </w:rPr>
        <w:t xml:space="preserve"> </w:t>
      </w:r>
      <w:r w:rsidRPr="00E6677F">
        <w:rPr>
          <w:b/>
          <w:bCs/>
        </w:rPr>
        <w:t>external</w:t>
      </w:r>
      <w:r w:rsidRPr="00A12BB0">
        <w:rPr>
          <w:b/>
          <w:bCs/>
        </w:rPr>
        <w:t xml:space="preserve"> </w:t>
      </w:r>
      <w:r w:rsidRPr="00E6677F">
        <w:rPr>
          <w:b/>
          <w:bCs/>
        </w:rPr>
        <w:t>Debt</w:t>
      </w:r>
      <w:r w:rsidRPr="00A12BB0">
        <w:rPr>
          <w:b/>
          <w:bCs/>
        </w:rPr>
        <w:t xml:space="preserve"> (1993-</w:t>
      </w:r>
      <w:r w:rsidR="004F4C98">
        <w:rPr>
          <w:b/>
          <w:bCs/>
        </w:rPr>
        <w:t>2000</w:t>
      </w:r>
      <w:r w:rsidRPr="00A12BB0">
        <w:rPr>
          <w:b/>
          <w:bCs/>
        </w:rPr>
        <w:t>)</w:t>
      </w:r>
    </w:p>
    <w:p w14:paraId="18342057" w14:textId="4B744479" w:rsidR="00E6677F" w:rsidRPr="005D0D20" w:rsidRDefault="000D45A2" w:rsidP="004B1D05">
      <w:pPr>
        <w:keepNext/>
        <w:spacing w:line="360" w:lineRule="auto"/>
      </w:pPr>
      <w:r>
        <w:rPr>
          <w:noProof/>
          <w14:ligatures w14:val="standardContextual"/>
        </w:rPr>
        <w:drawing>
          <wp:inline distT="0" distB="0" distL="0" distR="0" wp14:anchorId="21C464B5" wp14:editId="1D374446">
            <wp:extent cx="5402580" cy="2933700"/>
            <wp:effectExtent l="0" t="0" r="7620" b="0"/>
            <wp:docPr id="43668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2933700"/>
                    </a:xfrm>
                    <a:prstGeom prst="rect">
                      <a:avLst/>
                    </a:prstGeom>
                    <a:noFill/>
                    <a:ln>
                      <a:noFill/>
                    </a:ln>
                  </pic:spPr>
                </pic:pic>
              </a:graphicData>
            </a:graphic>
          </wp:inline>
        </w:drawing>
      </w:r>
    </w:p>
    <w:p w14:paraId="1BDDC8DE" w14:textId="77777777" w:rsidR="00BD7554" w:rsidRPr="00144AB5" w:rsidRDefault="00E6677F" w:rsidP="00BD7554">
      <w:pPr>
        <w:rPr>
          <w:rFonts w:eastAsiaTheme="minorHAnsi"/>
          <w:kern w:val="2"/>
          <w:shd w:val="clear" w:color="auto" w:fill="FFFFFF"/>
          <w14:ligatures w14:val="standardContextual"/>
        </w:rPr>
      </w:pPr>
      <w:r w:rsidRPr="00144AB5">
        <w:rPr>
          <w:sz w:val="22"/>
          <w:szCs w:val="22"/>
        </w:rPr>
        <w:t>Source:</w:t>
      </w:r>
      <w:r w:rsidR="006543BC" w:rsidRPr="00144AB5">
        <w:rPr>
          <w:sz w:val="22"/>
          <w:szCs w:val="22"/>
        </w:rPr>
        <w:t xml:space="preserve"> World Bank. World Development Indicators – Kazakhstan</w:t>
      </w:r>
      <w:r w:rsidR="00B63BC9" w:rsidRPr="00144AB5">
        <w:rPr>
          <w:sz w:val="22"/>
          <w:szCs w:val="22"/>
        </w:rPr>
        <w:t xml:space="preserve">. </w:t>
      </w:r>
      <w:r w:rsidR="00163F5C" w:rsidRPr="00144AB5">
        <w:rPr>
          <w:rFonts w:eastAsiaTheme="minorHAnsi"/>
          <w:kern w:val="2"/>
          <w:sz w:val="22"/>
          <w:szCs w:val="22"/>
          <w:shd w:val="clear" w:color="auto" w:fill="FFFFFF"/>
          <w14:ligatures w14:val="standardContextual"/>
        </w:rPr>
        <w:t>The data elaborated by me.</w:t>
      </w:r>
    </w:p>
    <w:p w14:paraId="5A358A2F" w14:textId="77777777" w:rsidR="006628D4" w:rsidRDefault="006628D4" w:rsidP="006628D4">
      <w:pPr>
        <w:spacing w:line="360" w:lineRule="auto"/>
        <w:jc w:val="both"/>
      </w:pPr>
    </w:p>
    <w:p w14:paraId="19892688" w14:textId="2F047CD3" w:rsidR="006628D4" w:rsidRPr="006628D4" w:rsidRDefault="006628D4" w:rsidP="006628D4">
      <w:pPr>
        <w:spacing w:line="360" w:lineRule="auto"/>
        <w:ind w:firstLine="360"/>
        <w:jc w:val="both"/>
        <w:rPr>
          <w:rFonts w:eastAsiaTheme="minorHAnsi"/>
          <w:kern w:val="2"/>
          <w:shd w:val="clear" w:color="auto" w:fill="FFFFFF"/>
          <w14:ligatures w14:val="standardContextual"/>
        </w:rPr>
      </w:pPr>
      <w:r w:rsidRPr="006628D4">
        <w:t xml:space="preserve">This graph displays the key macroeconomic indicators of Kazakhstan in the first years of its independence from 1993 to 2000. It illustrates the country's financial and economic transition following the collapse of the Soviet Union. As time passed, the government began to borrow more external resources. The country’s external debt experienced a rise, increasing from 1.7 billion USD in 1993 to over 12.8 billion USD by 2000. At the same </w:t>
      </w:r>
      <w:r w:rsidRPr="006628D4">
        <w:lastRenderedPageBreak/>
        <w:t>time, foreign direct investment continued to grow and hit a peak of 9.4% in 1999. This trend is explained by the fact that the country began to attract FDI using a mix of regulatory reforms, tax incentives, and a favorable investment climate. For example, one policy included a corporate tax exemption for 10 years. On July 5, 2018, the Astana International Financial Center was opened in the city of Astana with an independent judicial system and English law</w:t>
      </w:r>
      <w:r w:rsidRPr="00BD7554">
        <w:rPr>
          <w:rStyle w:val="ae"/>
          <w:shd w:val="clear" w:color="auto" w:fill="FFFFFF"/>
        </w:rPr>
        <w:footnoteReference w:id="16"/>
      </w:r>
      <w:r w:rsidRPr="00144AB5">
        <w:t>.</w:t>
      </w:r>
      <w:r>
        <w:rPr>
          <w:rFonts w:eastAsiaTheme="minorHAnsi"/>
          <w:kern w:val="2"/>
          <w:shd w:val="clear" w:color="auto" w:fill="FFFFFF"/>
          <w14:ligatures w14:val="standardContextual"/>
        </w:rPr>
        <w:t xml:space="preserve"> </w:t>
      </w:r>
      <w:r w:rsidRPr="006628D4">
        <w:t>All these actions helped to increase the attractiveness for investors, increase external financing, thus ensuring rapid growth in sectors such as energy, mining, and infrastructure. As for the current account balance, it remained in deficit, reaching -5.5% of GDP in 1998 before improving to +2.0% in 2000.</w:t>
      </w:r>
    </w:p>
    <w:p w14:paraId="6CFF3F86" w14:textId="4B8526A3" w:rsidR="004D1ADB" w:rsidRPr="00144AB5" w:rsidRDefault="004D1ADB" w:rsidP="00BD7554">
      <w:pPr>
        <w:spacing w:line="360" w:lineRule="auto"/>
        <w:ind w:firstLine="360"/>
        <w:jc w:val="both"/>
      </w:pPr>
      <w:r w:rsidRPr="004D1ADB">
        <w:t>In 1992, Kazakhstan had little understanding of a market economy and was heavily dependent on international organizations, such as the International Monetary Fund and the World Bank. After the collapse of the ruble zone in 1993, the government created its currency, the tenge, and established the National Bank of Kazakhstan to control domestic inflation. According to history, when all post-Soviet countries gained independence, they faced hyperinflation and a significant fall in output. In early 1994, the government developed a new stabilization program to gradually reduce inflation and implement reforms. The program focused on privatization and the building of new trade ties around the world. The country moved quickly to a trade liberalization regime, removal of import quotas, and unification of exchange rates. Between 1993 and 1997, the share of trade in GDP increased from about 58% to over 80%, reflecting growing openness. Kazakhstan also signed several free trade agreements within the Commonwealth of Independent States (CIS) and began the process of joining the WTO, finally becoming a member in 2015. In 1997, merchandise exports totaled $6.5 billion, and imports totaled $8.8 billion, resulting in a current account deficit of 3.6% of GDP</w:t>
      </w:r>
      <w:r w:rsidRPr="00676A21">
        <w:rPr>
          <w:rStyle w:val="ae"/>
          <w:shd w:val="clear" w:color="auto" w:fill="FFFFFF"/>
        </w:rPr>
        <w:footnoteReference w:id="17"/>
      </w:r>
      <w:r w:rsidRPr="00144AB5">
        <w:t>.</w:t>
      </w:r>
    </w:p>
    <w:p w14:paraId="02E08790" w14:textId="77777777" w:rsidR="004D1ADB" w:rsidRDefault="00D97AC0" w:rsidP="004D1ADB">
      <w:pPr>
        <w:spacing w:line="360" w:lineRule="auto"/>
        <w:rPr>
          <w:rFonts w:eastAsiaTheme="minorHAnsi"/>
          <w:kern w:val="2"/>
          <w:sz w:val="22"/>
          <w:szCs w:val="22"/>
          <w:shd w:val="clear" w:color="auto" w:fill="FFFFFF"/>
          <w14:ligatures w14:val="standardContextual"/>
        </w:rPr>
      </w:pPr>
      <w:r w:rsidRPr="00144AB5">
        <w:rPr>
          <w:b/>
        </w:rPr>
        <w:t>Figure 3.</w:t>
      </w:r>
      <w:r w:rsidR="00AB3BE8" w:rsidRPr="00144AB5">
        <w:rPr>
          <w:b/>
        </w:rPr>
        <w:t xml:space="preserve"> Kazakhstan’s Inflation, GDP Growth, Revenue, and Expenditure (% of GDP), 1995–1999.</w:t>
      </w:r>
      <w:r w:rsidR="00F444C0" w:rsidRPr="00144AB5">
        <w:rPr>
          <w:sz w:val="22"/>
          <w:szCs w:val="22"/>
        </w:rPr>
        <w:t xml:space="preserve"> </w:t>
      </w:r>
      <w:r w:rsidR="00F444C0">
        <w:rPr>
          <w:noProof/>
          <w:sz w:val="22"/>
          <w:szCs w:val="22"/>
        </w:rPr>
        <w:lastRenderedPageBreak/>
        <w:drawing>
          <wp:inline distT="0" distB="0" distL="0" distR="0" wp14:anchorId="4A82161C" wp14:editId="3F5CC357">
            <wp:extent cx="5647173" cy="3120390"/>
            <wp:effectExtent l="0" t="0" r="4445" b="3810"/>
            <wp:docPr id="1515448079" name="Picture 1" descr="A graph of growth and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8079" name="Picture 1" descr="A graph of growth and revenu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4106" cy="3173951"/>
                    </a:xfrm>
                    <a:prstGeom prst="rect">
                      <a:avLst/>
                    </a:prstGeom>
                    <a:noFill/>
                    <a:ln>
                      <a:noFill/>
                    </a:ln>
                  </pic:spPr>
                </pic:pic>
              </a:graphicData>
            </a:graphic>
          </wp:inline>
        </w:drawing>
      </w:r>
      <w:r w:rsidR="00C60D07" w:rsidRPr="00144AB5">
        <w:rPr>
          <w:rFonts w:eastAsiaTheme="minorHAnsi"/>
          <w:kern w:val="2"/>
          <w:sz w:val="22"/>
          <w:szCs w:val="22"/>
          <w:shd w:val="clear" w:color="auto" w:fill="FFFFFF"/>
          <w14:ligatures w14:val="standardContextual"/>
        </w:rPr>
        <w:t>Source:</w:t>
      </w:r>
      <w:r w:rsidR="00AD3188" w:rsidRPr="00144AB5">
        <w:rPr>
          <w:sz w:val="22"/>
          <w:szCs w:val="22"/>
        </w:rPr>
        <w:t xml:space="preserve"> World Bank. World Development Indicators – Kazakhstan. </w:t>
      </w:r>
      <w:r w:rsidR="00AD3188" w:rsidRPr="00144AB5">
        <w:rPr>
          <w:rFonts w:eastAsiaTheme="minorHAnsi"/>
          <w:kern w:val="2"/>
          <w:sz w:val="22"/>
          <w:szCs w:val="22"/>
          <w:shd w:val="clear" w:color="auto" w:fill="FFFFFF"/>
          <w14:ligatures w14:val="standardContextual"/>
        </w:rPr>
        <w:t>The data elaborated by me.</w:t>
      </w:r>
    </w:p>
    <w:p w14:paraId="79112CB4" w14:textId="10FD5100" w:rsidR="00D607A6" w:rsidRDefault="00B76167" w:rsidP="00FF42BF">
      <w:pPr>
        <w:spacing w:line="360" w:lineRule="auto"/>
        <w:ind w:firstLine="708"/>
        <w:jc w:val="both"/>
        <w:rPr>
          <w:rFonts w:eastAsiaTheme="minorHAnsi"/>
          <w:kern w:val="2"/>
          <w:shd w:val="clear" w:color="auto" w:fill="FFFFFF"/>
          <w14:ligatures w14:val="standardContextual"/>
        </w:rPr>
      </w:pPr>
      <w:r w:rsidRPr="00144AB5">
        <w:rPr>
          <w:rFonts w:eastAsiaTheme="minorHAnsi"/>
          <w:kern w:val="2"/>
          <w:shd w:val="clear" w:color="auto" w:fill="FFFFFF"/>
          <w14:ligatures w14:val="standardContextual"/>
        </w:rPr>
        <w:t xml:space="preserve">This graph presents macroeconomic indicators from 1995 to 1999. Inflation peaked due to price liberalization and the breakdown of centralized supply. However, in 1995, </w:t>
      </w:r>
      <w:r w:rsidR="00BE18B0">
        <w:rPr>
          <w:rFonts w:eastAsiaTheme="minorHAnsi"/>
          <w:kern w:val="2"/>
          <w:shd w:val="clear" w:color="auto" w:fill="FFFFFF"/>
          <w14:ligatures w14:val="standardContextual"/>
        </w:rPr>
        <w:t xml:space="preserve">the government </w:t>
      </w:r>
      <w:r w:rsidRPr="00144AB5">
        <w:rPr>
          <w:rFonts w:eastAsiaTheme="minorHAnsi"/>
          <w:kern w:val="2"/>
          <w:shd w:val="clear" w:color="auto" w:fill="FFFFFF"/>
          <w14:ligatures w14:val="standardContextual"/>
        </w:rPr>
        <w:t>started to implement a comprehensive program with IMF support, focusing on monetary policy. As we can see from the indicators, these efforts</w:t>
      </w:r>
      <w:r w:rsidR="00CD4D4B" w:rsidRPr="00CD4D4B">
        <w:rPr>
          <w:rFonts w:eastAsiaTheme="minorHAnsi"/>
          <w:kern w:val="2"/>
          <w:shd w:val="clear" w:color="auto" w:fill="FFFFFF"/>
          <w14:ligatures w14:val="standardContextual"/>
        </w:rPr>
        <w:t xml:space="preserve"> </w:t>
      </w:r>
      <w:r w:rsidRPr="00144AB5">
        <w:rPr>
          <w:rFonts w:eastAsiaTheme="minorHAnsi"/>
          <w:kern w:val="2"/>
          <w:shd w:val="clear" w:color="auto" w:fill="FFFFFF"/>
          <w14:ligatures w14:val="standardContextual"/>
        </w:rPr>
        <w:t xml:space="preserve">reduced and stabilized inflation. While annual inflation was in </w:t>
      </w:r>
      <w:r w:rsidR="00BE42F2" w:rsidRPr="00144AB5">
        <w:rPr>
          <w:rFonts w:eastAsiaTheme="minorHAnsi"/>
          <w:kern w:val="2"/>
          <w:shd w:val="clear" w:color="auto" w:fill="FFFFFF"/>
          <w14:ligatures w14:val="standardContextual"/>
        </w:rPr>
        <w:t>triple</w:t>
      </w:r>
      <w:r w:rsidRPr="00144AB5">
        <w:rPr>
          <w:rFonts w:eastAsiaTheme="minorHAnsi"/>
          <w:kern w:val="2"/>
          <w:shd w:val="clear" w:color="auto" w:fill="FFFFFF"/>
          <w14:ligatures w14:val="standardContextual"/>
        </w:rPr>
        <w:t xml:space="preserve"> digits in the early 1990s, by 1996 it was around 40%, with a subsequent </w:t>
      </w:r>
      <w:r w:rsidRPr="00462354">
        <w:rPr>
          <w:rFonts w:eastAsiaTheme="minorHAnsi"/>
          <w:kern w:val="2"/>
          <w:shd w:val="clear" w:color="auto" w:fill="FFFFFF"/>
          <w14:ligatures w14:val="standardContextual"/>
        </w:rPr>
        <w:t>decline</w:t>
      </w:r>
      <w:r w:rsidR="001E1DCE" w:rsidRPr="00462354">
        <w:rPr>
          <w:rStyle w:val="ae"/>
          <w:shd w:val="clear" w:color="auto" w:fill="FFFFFF"/>
        </w:rPr>
        <w:footnoteReference w:id="18"/>
      </w:r>
      <w:r w:rsidR="001E1DCE" w:rsidRPr="00462354">
        <w:t>.</w:t>
      </w:r>
      <w:r w:rsidR="001E1DCE" w:rsidRPr="00144AB5">
        <w:rPr>
          <w:rFonts w:eastAsiaTheme="minorHAnsi"/>
          <w:kern w:val="2"/>
          <w:shd w:val="clear" w:color="auto" w:fill="FFFFFF"/>
          <w14:ligatures w14:val="standardContextual"/>
        </w:rPr>
        <w:t xml:space="preserve"> </w:t>
      </w:r>
      <w:r w:rsidRPr="00144AB5">
        <w:rPr>
          <w:rFonts w:eastAsiaTheme="minorHAnsi"/>
          <w:kern w:val="2"/>
          <w:shd w:val="clear" w:color="auto" w:fill="FFFFFF"/>
          <w14:ligatures w14:val="standardContextual"/>
        </w:rPr>
        <w:t>GDP began to recover with structural reforms. 1998 was the first year of GDP growth since independence. As we can see, government expenditures declined significantly since 1996, indicating a tight monetary and credit policy</w:t>
      </w:r>
      <w:r w:rsidR="00AE1372" w:rsidRPr="00144AB5">
        <w:rPr>
          <w:rFonts w:eastAsiaTheme="minorHAnsi"/>
          <w:kern w:val="2"/>
          <w:shd w:val="clear" w:color="auto" w:fill="FFFFFF"/>
          <w14:ligatures w14:val="standardContextual"/>
        </w:rPr>
        <w:t xml:space="preserve">. </w:t>
      </w:r>
      <w:r w:rsidR="00A74D38" w:rsidRPr="00144AB5">
        <w:rPr>
          <w:rFonts w:eastAsiaTheme="minorHAnsi"/>
          <w:kern w:val="2"/>
          <w:shd w:val="clear" w:color="auto" w:fill="FFFFFF"/>
          <w14:ligatures w14:val="standardContextual"/>
        </w:rPr>
        <w:t xml:space="preserve">This was due to the fact that since the middle of 1994, the nation began to implement a stabilization program. In 1996, the National Bank of the Republic of Kazakhstan reduced the budget deficit to 2.4% of GDP. Such an achievement was due to severe cuts in government </w:t>
      </w:r>
      <w:r w:rsidR="00BE42F2" w:rsidRPr="00144AB5">
        <w:rPr>
          <w:rFonts w:eastAsiaTheme="minorHAnsi"/>
          <w:kern w:val="2"/>
          <w:shd w:val="clear" w:color="auto" w:fill="FFFFFF"/>
          <w14:ligatures w14:val="standardContextual"/>
        </w:rPr>
        <w:t>expenditure</w:t>
      </w:r>
      <w:r w:rsidR="00A74D38" w:rsidRPr="00144AB5">
        <w:rPr>
          <w:rFonts w:eastAsiaTheme="minorHAnsi"/>
          <w:kern w:val="2"/>
          <w:shd w:val="clear" w:color="auto" w:fill="FFFFFF"/>
          <w14:ligatures w14:val="standardContextual"/>
        </w:rPr>
        <w:t xml:space="preserve">. The sharp decline in commodity prices in the same year </w:t>
      </w:r>
      <w:r w:rsidR="00BE42F2" w:rsidRPr="00144AB5">
        <w:rPr>
          <w:rFonts w:eastAsiaTheme="minorHAnsi"/>
          <w:kern w:val="2"/>
          <w:shd w:val="clear" w:color="auto" w:fill="FFFFFF"/>
          <w14:ligatures w14:val="standardContextual"/>
        </w:rPr>
        <w:t>caused</w:t>
      </w:r>
      <w:r w:rsidR="00A74D38" w:rsidRPr="00144AB5">
        <w:rPr>
          <w:rFonts w:eastAsiaTheme="minorHAnsi"/>
          <w:kern w:val="2"/>
          <w:shd w:val="clear" w:color="auto" w:fill="FFFFFF"/>
          <w14:ligatures w14:val="standardContextual"/>
        </w:rPr>
        <w:t xml:space="preserve"> a noticeable shock to the economy, which at that time was 50% dependent on oil and metal exports</w:t>
      </w:r>
      <w:r w:rsidR="006B0304" w:rsidRPr="001E1DCE">
        <w:rPr>
          <w:rStyle w:val="ae"/>
          <w:shd w:val="clear" w:color="auto" w:fill="FFFFFF"/>
        </w:rPr>
        <w:footnoteReference w:id="19"/>
      </w:r>
      <w:r w:rsidR="006B0304" w:rsidRPr="00144AB5">
        <w:t xml:space="preserve">. </w:t>
      </w:r>
      <w:r w:rsidR="00DE16E0" w:rsidRPr="00144AB5">
        <w:rPr>
          <w:rFonts w:eastAsiaTheme="minorHAnsi"/>
          <w:kern w:val="2"/>
          <w:shd w:val="clear" w:color="auto" w:fill="FFFFFF"/>
          <w14:ligatures w14:val="standardContextual"/>
        </w:rPr>
        <w:t>Moreover, t</w:t>
      </w:r>
      <w:r w:rsidRPr="00144AB5">
        <w:rPr>
          <w:rFonts w:eastAsiaTheme="minorHAnsi"/>
          <w:kern w:val="2"/>
          <w:shd w:val="clear" w:color="auto" w:fill="FFFFFF"/>
          <w14:ligatures w14:val="standardContextual"/>
        </w:rPr>
        <w:t xml:space="preserve">he decline in government revenues is because the tax base was not formed as a result of the collapse of the USSR, and tax collection remained weak.  This forced the government to rely on one-off sources such as </w:t>
      </w:r>
      <w:r w:rsidRPr="00144AB5">
        <w:rPr>
          <w:rFonts w:eastAsiaTheme="minorHAnsi"/>
          <w:kern w:val="2"/>
          <w:shd w:val="clear" w:color="auto" w:fill="FFFFFF"/>
          <w14:ligatures w14:val="standardContextual"/>
        </w:rPr>
        <w:lastRenderedPageBreak/>
        <w:t xml:space="preserve">privatization revenues and foreign loans to finance expenditures. To optimize revenues, the government implemented a large-scale privatization program and created the legal and institutional framework for a market economy. New laws and institutions were adopted to support macroeconomic management. Thus, in 1999, the Budget System Law was adopted to modernize fiscal processes, </w:t>
      </w:r>
      <w:r w:rsidR="0086538C" w:rsidRPr="00144AB5">
        <w:rPr>
          <w:rFonts w:eastAsiaTheme="minorHAnsi"/>
          <w:kern w:val="2"/>
          <w:shd w:val="clear" w:color="auto" w:fill="FFFFFF"/>
          <w14:ligatures w14:val="standardContextual"/>
        </w:rPr>
        <w:t>and the off</w:t>
      </w:r>
      <w:r w:rsidRPr="00144AB5">
        <w:rPr>
          <w:rFonts w:eastAsiaTheme="minorHAnsi"/>
          <w:kern w:val="2"/>
          <w:shd w:val="clear" w:color="auto" w:fill="FFFFFF"/>
          <w14:ligatures w14:val="standardContextual"/>
        </w:rPr>
        <w:t>-budget funds were eliminated to increase transparency, and a special Ministry of Revenue was created in 1998 to strengthen tax administration. Many of the reforms were carried out under IMF supervision. By the early 2000s, the combination of monetary policy, fiscal adjustment, and institutional reforms managed to stabilize the Kazakh economy. Inflation was balanced, the national currency became convertible, and the foundations of a market economy were in place.</w:t>
      </w:r>
    </w:p>
    <w:p w14:paraId="07CC2AFE" w14:textId="0F397AD9" w:rsidR="00C83FB0" w:rsidRPr="00833E2D" w:rsidRDefault="00D57633" w:rsidP="007A3744">
      <w:pPr>
        <w:spacing w:line="360" w:lineRule="auto"/>
        <w:rPr>
          <w:rFonts w:eastAsiaTheme="minorHAnsi"/>
          <w:kern w:val="2"/>
          <w:sz w:val="22"/>
          <w:szCs w:val="22"/>
          <w:shd w:val="clear" w:color="auto" w:fill="FFFFFF"/>
          <w:lang w:val="ru-RU"/>
          <w14:ligatures w14:val="standardContextual"/>
        </w:rPr>
      </w:pPr>
      <w:r>
        <w:rPr>
          <w:b/>
          <w:bCs/>
        </w:rPr>
        <w:t>Figure 4.</w:t>
      </w:r>
      <w:r w:rsidR="0019583F">
        <w:rPr>
          <w:b/>
          <w:bCs/>
        </w:rPr>
        <w:t xml:space="preserve"> </w:t>
      </w:r>
      <w:r w:rsidR="00DC2940">
        <w:rPr>
          <w:b/>
          <w:bCs/>
        </w:rPr>
        <w:t>Kazakhstan’s output 1992-1997.</w:t>
      </w:r>
    </w:p>
    <w:p w14:paraId="7DE8386B" w14:textId="1EEC3F63" w:rsidR="00133B99" w:rsidRPr="008F3168" w:rsidRDefault="006823A0" w:rsidP="000C3219">
      <w:pPr>
        <w:keepNext/>
        <w:spacing w:line="360" w:lineRule="auto"/>
        <w:jc w:val="center"/>
        <w:rPr>
          <w:sz w:val="22"/>
          <w:szCs w:val="22"/>
        </w:rPr>
      </w:pPr>
      <w:r w:rsidRPr="006823A0">
        <w:rPr>
          <w:noProof/>
          <w:sz w:val="22"/>
          <w:szCs w:val="22"/>
        </w:rPr>
        <w:drawing>
          <wp:inline distT="0" distB="0" distL="0" distR="0" wp14:anchorId="68486911" wp14:editId="4A98F55E">
            <wp:extent cx="5930900" cy="3285811"/>
            <wp:effectExtent l="0" t="0" r="0" b="3810"/>
            <wp:docPr id="1323364238" name="Picture 1" descr="A graph of different types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64238" name="Picture 1" descr="A graph of different types of sales&#10;&#10;AI-generated content may be incorrect."/>
                    <pic:cNvPicPr/>
                  </pic:nvPicPr>
                  <pic:blipFill>
                    <a:blip r:embed="rId22"/>
                    <a:stretch>
                      <a:fillRect/>
                    </a:stretch>
                  </pic:blipFill>
                  <pic:spPr>
                    <a:xfrm>
                      <a:off x="0" y="0"/>
                      <a:ext cx="6011678" cy="3330563"/>
                    </a:xfrm>
                    <a:prstGeom prst="rect">
                      <a:avLst/>
                    </a:prstGeom>
                  </pic:spPr>
                </pic:pic>
              </a:graphicData>
            </a:graphic>
          </wp:inline>
        </w:drawing>
      </w:r>
    </w:p>
    <w:p w14:paraId="7F0CC6AA" w14:textId="01EF54CD" w:rsidR="003672AF" w:rsidRPr="00144AB5" w:rsidRDefault="00133B99" w:rsidP="000B2730">
      <w:pPr>
        <w:keepNext/>
        <w:jc w:val="both"/>
        <w:rPr>
          <w:sz w:val="22"/>
          <w:szCs w:val="22"/>
        </w:rPr>
      </w:pPr>
      <w:r w:rsidRPr="00144AB5">
        <w:rPr>
          <w:sz w:val="22"/>
          <w:szCs w:val="22"/>
        </w:rPr>
        <w:t>Source:</w:t>
      </w:r>
      <w:r w:rsidR="00F83E50" w:rsidRPr="00144AB5">
        <w:rPr>
          <w:sz w:val="22"/>
          <w:szCs w:val="22"/>
        </w:rPr>
        <w:t xml:space="preserve"> </w:t>
      </w:r>
      <w:r w:rsidR="007C5730" w:rsidRPr="00144AB5">
        <w:rPr>
          <w:sz w:val="22"/>
          <w:szCs w:val="22"/>
        </w:rPr>
        <w:t>International Monetary Fund, Republic of Kazakhstan: Recent Economic Developments, IMF Staff Country Report No. 98/84, August 1998, p</w:t>
      </w:r>
      <w:r w:rsidR="004F2AA7" w:rsidRPr="00144AB5">
        <w:rPr>
          <w:sz w:val="22"/>
          <w:szCs w:val="22"/>
        </w:rPr>
        <w:t>p</w:t>
      </w:r>
      <w:r w:rsidR="007C5730" w:rsidRPr="00144AB5">
        <w:rPr>
          <w:sz w:val="22"/>
          <w:szCs w:val="22"/>
        </w:rPr>
        <w:t xml:space="preserve">. </w:t>
      </w:r>
      <w:r w:rsidR="0017504D" w:rsidRPr="00144AB5">
        <w:rPr>
          <w:sz w:val="22"/>
          <w:szCs w:val="22"/>
        </w:rPr>
        <w:t xml:space="preserve">5-6. </w:t>
      </w:r>
    </w:p>
    <w:p w14:paraId="7D685AF8" w14:textId="596C34B6" w:rsidR="00391A01" w:rsidRPr="00144AB5" w:rsidRDefault="00391A01" w:rsidP="00A93958">
      <w:pPr>
        <w:keepNext/>
        <w:jc w:val="both"/>
        <w:rPr>
          <w:sz w:val="22"/>
          <w:szCs w:val="22"/>
        </w:rPr>
      </w:pPr>
    </w:p>
    <w:p w14:paraId="1680BAD7" w14:textId="5798411C" w:rsidR="00391A01" w:rsidRPr="00144AB5" w:rsidRDefault="00A93958" w:rsidP="006E2086">
      <w:pPr>
        <w:keepNext/>
        <w:spacing w:line="360" w:lineRule="auto"/>
        <w:jc w:val="both"/>
      </w:pPr>
      <w:r w:rsidRPr="00144AB5">
        <w:rPr>
          <w:sz w:val="22"/>
          <w:szCs w:val="22"/>
        </w:rPr>
        <w:tab/>
      </w:r>
      <w:r w:rsidR="00437241" w:rsidRPr="00FF42BF">
        <w:t>The graph</w:t>
      </w:r>
      <w:r w:rsidR="00437241" w:rsidRPr="00144AB5">
        <w:t xml:space="preserve"> shows the dynamics of production in Kazakhstan during its first years of independence, categorized by economic sectors. For the base year, 1992 was chosen. Following this year, a decline was observed in all sectors of production, which highlighted the difficulties of transitioning from a centralized to a planned economy. The decline in agriculture and industry is attributed to the fact that the production of products relied on supplies of raw materials and components from other republics. After the collapse of the </w:t>
      </w:r>
      <w:r w:rsidR="00437241" w:rsidRPr="00144AB5">
        <w:lastRenderedPageBreak/>
        <w:t>USSR, these links ceased, and price liberalization led to hyperinflation in 1992, which affected production as raw material prices rose sharply. The privatization of enterprises also had an impact, as the state subsidized loss-making enterprises by printing money, leading to hyperinflation. The most affected sector was construction, which fell by almost 50%. The decline was due to a decrease in investment in infrastructure projects and a decline in confidence among foreign investors</w:t>
      </w:r>
      <w:r w:rsidR="00807F83" w:rsidRPr="00144AB5">
        <w:t xml:space="preserve"> because of </w:t>
      </w:r>
      <w:r w:rsidR="00A64543" w:rsidRPr="00144AB5">
        <w:t>the dissolution</w:t>
      </w:r>
      <w:r w:rsidR="00A73857" w:rsidRPr="00144AB5">
        <w:t xml:space="preserve"> of the Soviet Union</w:t>
      </w:r>
      <w:r w:rsidR="00437241" w:rsidRPr="00144AB5">
        <w:t xml:space="preserve">. Trade declined significantly from 1992 to 1994. However, in early 1994, trade began to increase due to the establishment of new trade relations with Western countries. Thus, in 1994, a partnership and cooperation agreement </w:t>
      </w:r>
      <w:r w:rsidR="00C20050" w:rsidRPr="00144AB5">
        <w:t>were</w:t>
      </w:r>
      <w:r w:rsidR="00437241" w:rsidRPr="00144AB5">
        <w:t xml:space="preserve"> signed with the EU, which opened access to European markets. There was also the establishment of direct trade links with China and Russia, which accelerated </w:t>
      </w:r>
      <w:r w:rsidR="00437241" w:rsidRPr="00FF42BF">
        <w:t>Kazakhstan's trade.</w:t>
      </w:r>
    </w:p>
    <w:p w14:paraId="5D9D6B1C" w14:textId="77777777" w:rsidR="00F917AC" w:rsidRPr="000350F7" w:rsidRDefault="00F917AC" w:rsidP="00810643">
      <w:pPr>
        <w:spacing w:line="360" w:lineRule="auto"/>
        <w:ind w:firstLine="360"/>
        <w:jc w:val="both"/>
      </w:pPr>
    </w:p>
    <w:p w14:paraId="2DB91E2D" w14:textId="0870774D" w:rsidR="0051020B" w:rsidRPr="00144AB5" w:rsidRDefault="00810643" w:rsidP="00810643">
      <w:pPr>
        <w:spacing w:line="360" w:lineRule="auto"/>
        <w:ind w:firstLine="360"/>
        <w:jc w:val="both"/>
      </w:pPr>
      <w:r w:rsidRPr="00144AB5">
        <w:rPr>
          <w:b/>
          <w:sz w:val="28"/>
          <w:szCs w:val="28"/>
        </w:rPr>
        <w:t>1.3</w:t>
      </w:r>
      <w:r w:rsidR="00685778" w:rsidRPr="00144AB5">
        <w:rPr>
          <w:b/>
          <w:sz w:val="28"/>
          <w:szCs w:val="28"/>
        </w:rPr>
        <w:t xml:space="preserve"> </w:t>
      </w:r>
      <w:r w:rsidR="00BE3AE9" w:rsidRPr="00144AB5">
        <w:rPr>
          <w:b/>
        </w:rPr>
        <w:t>Instituti</w:t>
      </w:r>
      <w:r w:rsidR="00B203A2" w:rsidRPr="00144AB5">
        <w:rPr>
          <w:b/>
        </w:rPr>
        <w:t xml:space="preserve">onal and </w:t>
      </w:r>
      <w:r w:rsidR="001A5A59" w:rsidRPr="00144AB5">
        <w:rPr>
          <w:b/>
        </w:rPr>
        <w:t>economic</w:t>
      </w:r>
      <w:r w:rsidR="00B203A2" w:rsidRPr="00144AB5">
        <w:rPr>
          <w:b/>
        </w:rPr>
        <w:t xml:space="preserve"> </w:t>
      </w:r>
      <w:r w:rsidR="001427DC" w:rsidRPr="00144AB5">
        <w:rPr>
          <w:b/>
        </w:rPr>
        <w:t>transition</w:t>
      </w:r>
      <w:r w:rsidR="00391A01" w:rsidRPr="00144AB5">
        <w:rPr>
          <w:b/>
        </w:rPr>
        <w:t xml:space="preserve"> to a market economy</w:t>
      </w:r>
      <w:r w:rsidR="00875033" w:rsidRPr="00144AB5">
        <w:rPr>
          <w:b/>
        </w:rPr>
        <w:t xml:space="preserve"> and their results.</w:t>
      </w:r>
    </w:p>
    <w:p w14:paraId="1B9DBF0E" w14:textId="1A6A3162" w:rsidR="00110F3C" w:rsidRPr="00144AB5" w:rsidRDefault="00757F20" w:rsidP="0051020B">
      <w:pPr>
        <w:spacing w:line="360" w:lineRule="auto"/>
        <w:ind w:firstLine="360"/>
        <w:jc w:val="both"/>
      </w:pPr>
      <w:r w:rsidRPr="00FF42BF">
        <w:t>The</w:t>
      </w:r>
      <w:r w:rsidRPr="00144AB5">
        <w:t xml:space="preserve"> country’s government had two key tasks: </w:t>
      </w:r>
      <w:r w:rsidR="001A5A59" w:rsidRPr="00144AB5">
        <w:t>stabilize</w:t>
      </w:r>
      <w:r w:rsidRPr="00144AB5">
        <w:t xml:space="preserve"> the economy and carry out structural reforms. Thus</w:t>
      </w:r>
      <w:r w:rsidR="004D4E6D" w:rsidRPr="00144AB5">
        <w:t>,</w:t>
      </w:r>
      <w:r w:rsidRPr="00144AB5">
        <w:t xml:space="preserve"> </w:t>
      </w:r>
      <w:r w:rsidR="00B46785" w:rsidRPr="00144AB5">
        <w:t>t</w:t>
      </w:r>
      <w:r w:rsidR="00110F3C" w:rsidRPr="00144AB5">
        <w:t xml:space="preserve">he transition to a market economy in Kazakhstan began on January 3, 1992, with the elimination of price controls for most consumer and producer goods. It allowed the introduction of market signals, meaning supply and demand now determine prices. These changes </w:t>
      </w:r>
      <w:r w:rsidR="00A719F4" w:rsidRPr="00144AB5">
        <w:t>have</w:t>
      </w:r>
      <w:r w:rsidR="00110F3C" w:rsidRPr="00144AB5">
        <w:t xml:space="preserve"> created a real competitive environment for sellers. Moreover, the transition from a closed to an open market attracted new companies from other countries. These events created conditions of competition. Furthermore, the government was given the following main tasks: to create new reforms in order to privatize the economy, introduce a law to protect rights, reallocate public spending, create a budget for essential services, and provide a social safety net. The government's task was to create a stable macroeconomic environment through fiscal and monetary policy. For instance, the country made significant structural reforms, especially in price and trade liberalization, privatization, and restructuring of the enterprise and banking sectors</w:t>
      </w:r>
      <w:r w:rsidR="002900C1" w:rsidRPr="00F83E5B">
        <w:rPr>
          <w:rStyle w:val="ae"/>
          <w:shd w:val="clear" w:color="auto" w:fill="FFFFFF"/>
        </w:rPr>
        <w:footnoteReference w:id="20"/>
      </w:r>
      <w:r w:rsidR="002900C1" w:rsidRPr="00144AB5">
        <w:t xml:space="preserve">. </w:t>
      </w:r>
      <w:r w:rsidR="00110F3C" w:rsidRPr="00144AB5">
        <w:t xml:space="preserve">The parliament focused on pension reforms, tax reform, expenditure policy, and public sector reform to consolidate the reforms more deeply. Thus, these reforms led to results, with inflation significantly reduced by 1998. GDP started to grow, and the external current </w:t>
      </w:r>
      <w:r w:rsidR="00110F3C" w:rsidRPr="00144AB5">
        <w:lastRenderedPageBreak/>
        <w:t>account deficit decreased to 6.5% due to the acceleration in economic activity and a decline in international oil prices.</w:t>
      </w:r>
    </w:p>
    <w:p w14:paraId="676B7366" w14:textId="77777777" w:rsidR="00110F3C" w:rsidRPr="00144AB5" w:rsidRDefault="00110F3C" w:rsidP="00110F3C">
      <w:pPr>
        <w:spacing w:line="360" w:lineRule="auto"/>
        <w:jc w:val="both"/>
      </w:pPr>
      <w:r w:rsidRPr="00144AB5">
        <w:t>           However, macroeconomic stabilization will not lay the foundations for sustainable growth and generating employment. The success of the reform program ultimately depends on the government's ability to implement a comprehensive program of structural and sectoral reforms. The state undertook several stages of reform, which will be described in detail below.</w:t>
      </w:r>
      <w:r w:rsidR="008E3CB6" w:rsidRPr="00144AB5">
        <w:tab/>
      </w:r>
    </w:p>
    <w:p w14:paraId="43D9F371" w14:textId="77777777" w:rsidR="002958D3" w:rsidRPr="00144AB5" w:rsidRDefault="00E16736" w:rsidP="002958D3">
      <w:pPr>
        <w:spacing w:line="360" w:lineRule="auto"/>
        <w:ind w:firstLine="708"/>
        <w:jc w:val="both"/>
      </w:pPr>
      <w:r w:rsidRPr="00FF42BF">
        <w:rPr>
          <w:color w:val="000000" w:themeColor="text1"/>
        </w:rPr>
        <w:t xml:space="preserve">The first stage of implementation by the government of Kazakhstan was a large-scale program to privatize state property. It started in mid-1997. Approximately 73% of all enterprises were </w:t>
      </w:r>
      <w:r w:rsidR="002958D3" w:rsidRPr="00FF42BF">
        <w:rPr>
          <w:color w:val="000000" w:themeColor="text1"/>
        </w:rPr>
        <w:t>privatized</w:t>
      </w:r>
      <w:r w:rsidRPr="00FF42BF">
        <w:rPr>
          <w:color w:val="000000" w:themeColor="text1"/>
        </w:rPr>
        <w:t xml:space="preserve">. The </w:t>
      </w:r>
      <w:r w:rsidRPr="00144AB5">
        <w:t xml:space="preserve">program was primarily based on mass privatization through cash auctions involving 1,297 companies. Private privatization has also attracted foreign investors to strategically essential industries, including oil, base metals, and telecommunications. Major deals included selling shares in </w:t>
      </w:r>
      <w:proofErr w:type="spellStart"/>
      <w:r w:rsidRPr="00144AB5">
        <w:t>Mangistaumunaigaz</w:t>
      </w:r>
      <w:proofErr w:type="spellEnd"/>
      <w:r w:rsidRPr="00144AB5">
        <w:t xml:space="preserve">, Aktobe, and </w:t>
      </w:r>
      <w:proofErr w:type="spellStart"/>
      <w:r w:rsidRPr="00144AB5">
        <w:t>Kazakhtelekom</w:t>
      </w:r>
      <w:proofErr w:type="spellEnd"/>
      <w:r w:rsidRPr="00144AB5">
        <w:t xml:space="preserve"> and a concession to develop the Karachaganak gas field. The following table presents the quantitative numbers of privatizations by main sectors of the economy from 1994 to 1997, showing the absolute number of enterprises privatized and their share in the total amount of privatization </w:t>
      </w:r>
      <w:r w:rsidRPr="00FF42BF">
        <w:t>for each year.</w:t>
      </w:r>
      <w:r w:rsidR="008E7EEF" w:rsidRPr="00144AB5">
        <w:tab/>
      </w:r>
    </w:p>
    <w:p w14:paraId="7FFB8424" w14:textId="1A5ED9E5" w:rsidR="000E1940" w:rsidRPr="00144AB5" w:rsidRDefault="008E7EEF" w:rsidP="002958D3">
      <w:pPr>
        <w:spacing w:line="360" w:lineRule="auto"/>
        <w:jc w:val="both"/>
        <w:rPr>
          <w:b/>
        </w:rPr>
      </w:pPr>
      <w:r w:rsidRPr="00144AB5">
        <w:rPr>
          <w:b/>
        </w:rPr>
        <w:t xml:space="preserve">Table 3. </w:t>
      </w:r>
      <w:r w:rsidR="007F3A5D" w:rsidRPr="00144AB5">
        <w:rPr>
          <w:b/>
        </w:rPr>
        <w:t>Kazakhstan: Privatized Enterprises b</w:t>
      </w:r>
      <w:r w:rsidR="00B3149C" w:rsidRPr="00144AB5">
        <w:rPr>
          <w:b/>
        </w:rPr>
        <w:t xml:space="preserve">y </w:t>
      </w:r>
      <w:r w:rsidR="00A6653B" w:rsidRPr="00144AB5">
        <w:rPr>
          <w:b/>
        </w:rPr>
        <w:t>Sectors</w:t>
      </w:r>
      <w:r w:rsidR="00087B0C" w:rsidRPr="00144AB5">
        <w:rPr>
          <w:b/>
        </w:rPr>
        <w:t>, 1994-1997</w:t>
      </w:r>
    </w:p>
    <w:tbl>
      <w:tblPr>
        <w:tblW w:w="8637" w:type="dxa"/>
        <w:jc w:val="center"/>
        <w:tblLook w:val="04A0" w:firstRow="1" w:lastRow="0" w:firstColumn="1" w:lastColumn="0" w:noHBand="0" w:noVBand="1"/>
      </w:tblPr>
      <w:tblGrid>
        <w:gridCol w:w="4385"/>
        <w:gridCol w:w="992"/>
        <w:gridCol w:w="1134"/>
        <w:gridCol w:w="992"/>
        <w:gridCol w:w="1134"/>
      </w:tblGrid>
      <w:tr w:rsidR="00160641" w14:paraId="64F1BB23" w14:textId="77777777" w:rsidTr="009F2AF5">
        <w:trPr>
          <w:trHeight w:val="340"/>
          <w:jc w:val="center"/>
        </w:trPr>
        <w:tc>
          <w:tcPr>
            <w:tcW w:w="8637"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75E1727A" w14:textId="4C8E43C7" w:rsidR="00160641" w:rsidRDefault="00160641">
            <w:pPr>
              <w:jc w:val="center"/>
              <w:rPr>
                <w:rFonts w:ascii="Calibri" w:hAnsi="Calibri" w:cs="Calibri"/>
                <w:b/>
                <w:bCs/>
                <w:color w:val="000000"/>
              </w:rPr>
            </w:pPr>
            <w:r>
              <w:rPr>
                <w:rFonts w:ascii="Calibri" w:hAnsi="Calibri" w:cs="Calibri"/>
                <w:b/>
                <w:bCs/>
                <w:color w:val="000000"/>
              </w:rPr>
              <w:t xml:space="preserve">Privatized Enterprises by Sectors, </w:t>
            </w:r>
            <w:r w:rsidR="009F2AF5">
              <w:rPr>
                <w:rFonts w:ascii="Calibri" w:hAnsi="Calibri" w:cs="Calibri"/>
                <w:b/>
                <w:bCs/>
                <w:color w:val="000000"/>
              </w:rPr>
              <w:t>1994–1997</w:t>
            </w:r>
          </w:p>
        </w:tc>
      </w:tr>
      <w:tr w:rsidR="00160641" w14:paraId="4B372EFB" w14:textId="77777777" w:rsidTr="00FF42BF">
        <w:trPr>
          <w:trHeight w:val="63"/>
          <w:jc w:val="center"/>
        </w:trPr>
        <w:tc>
          <w:tcPr>
            <w:tcW w:w="4385" w:type="dxa"/>
            <w:tcBorders>
              <w:top w:val="nil"/>
              <w:left w:val="nil"/>
              <w:bottom w:val="nil"/>
              <w:right w:val="nil"/>
            </w:tcBorders>
            <w:shd w:val="clear" w:color="auto" w:fill="auto"/>
            <w:noWrap/>
            <w:vAlign w:val="bottom"/>
            <w:hideMark/>
          </w:tcPr>
          <w:p w14:paraId="28A521A1" w14:textId="77777777" w:rsidR="00160641" w:rsidRDefault="00160641">
            <w:pPr>
              <w:jc w:val="center"/>
              <w:rPr>
                <w:rFonts w:ascii="Calibri" w:hAnsi="Calibri" w:cs="Calibri"/>
                <w:b/>
                <w:bCs/>
                <w:color w:val="000000"/>
              </w:rPr>
            </w:pPr>
          </w:p>
        </w:tc>
        <w:tc>
          <w:tcPr>
            <w:tcW w:w="992" w:type="dxa"/>
            <w:tcBorders>
              <w:top w:val="single" w:sz="4" w:space="0" w:color="auto"/>
              <w:left w:val="single" w:sz="4" w:space="0" w:color="auto"/>
              <w:bottom w:val="nil"/>
              <w:right w:val="single" w:sz="4" w:space="0" w:color="auto"/>
            </w:tcBorders>
            <w:shd w:val="clear" w:color="auto" w:fill="auto"/>
            <w:noWrap/>
            <w:vAlign w:val="center"/>
            <w:hideMark/>
          </w:tcPr>
          <w:p w14:paraId="6207F740" w14:textId="77777777" w:rsidR="00160641" w:rsidRDefault="00160641">
            <w:pPr>
              <w:jc w:val="center"/>
              <w:rPr>
                <w:rFonts w:ascii="Calibri" w:hAnsi="Calibri" w:cs="Calibri"/>
                <w:color w:val="000000"/>
              </w:rPr>
            </w:pPr>
            <w:r>
              <w:rPr>
                <w:rFonts w:ascii="Calibri" w:hAnsi="Calibri" w:cs="Calibri"/>
                <w:color w:val="000000"/>
              </w:rPr>
              <w:t>1994</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6A54351" w14:textId="77777777" w:rsidR="00160641" w:rsidRDefault="00160641">
            <w:pPr>
              <w:jc w:val="center"/>
              <w:rPr>
                <w:rFonts w:ascii="Calibri" w:hAnsi="Calibri" w:cs="Calibri"/>
                <w:color w:val="000000"/>
              </w:rPr>
            </w:pPr>
            <w:r>
              <w:rPr>
                <w:rFonts w:ascii="Calibri" w:hAnsi="Calibri" w:cs="Calibri"/>
                <w:color w:val="000000"/>
              </w:rPr>
              <w:t>1995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D1457EF" w14:textId="77777777" w:rsidR="00160641" w:rsidRDefault="00160641">
            <w:pPr>
              <w:jc w:val="center"/>
              <w:rPr>
                <w:rFonts w:ascii="Calibri" w:hAnsi="Calibri" w:cs="Calibri"/>
                <w:color w:val="000000"/>
              </w:rPr>
            </w:pPr>
            <w:r>
              <w:rPr>
                <w:rFonts w:ascii="Calibri" w:hAnsi="Calibri" w:cs="Calibri"/>
                <w:color w:val="000000"/>
              </w:rPr>
              <w:t>1996</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07E600A" w14:textId="77777777" w:rsidR="00160641" w:rsidRDefault="00160641">
            <w:pPr>
              <w:jc w:val="center"/>
              <w:rPr>
                <w:rFonts w:ascii="Calibri" w:hAnsi="Calibri" w:cs="Calibri"/>
                <w:color w:val="000000"/>
              </w:rPr>
            </w:pPr>
            <w:r>
              <w:rPr>
                <w:rFonts w:ascii="Calibri" w:hAnsi="Calibri" w:cs="Calibri"/>
                <w:color w:val="000000"/>
              </w:rPr>
              <w:t>1997</w:t>
            </w:r>
          </w:p>
        </w:tc>
      </w:tr>
      <w:tr w:rsidR="00160641" w14:paraId="5B6DDF70" w14:textId="77777777" w:rsidTr="00FF42BF">
        <w:trPr>
          <w:trHeight w:val="73"/>
          <w:jc w:val="center"/>
        </w:trPr>
        <w:tc>
          <w:tcPr>
            <w:tcW w:w="4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23ABD" w14:textId="77777777" w:rsidR="00160641" w:rsidRDefault="00160641">
            <w:pPr>
              <w:rPr>
                <w:rFonts w:ascii="Calibri" w:hAnsi="Calibri" w:cs="Calibri"/>
                <w:color w:val="000000"/>
              </w:rPr>
            </w:pPr>
            <w:r>
              <w:rPr>
                <w:rFonts w:ascii="Calibri" w:hAnsi="Calibri" w:cs="Calibri"/>
                <w:color w:val="000000"/>
              </w:rPr>
              <w:t>industry</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9641930" w14:textId="77777777" w:rsidR="00160641" w:rsidRDefault="00160641">
            <w:pPr>
              <w:jc w:val="center"/>
              <w:rPr>
                <w:rFonts w:ascii="Calibri" w:hAnsi="Calibri" w:cs="Calibri"/>
                <w:color w:val="000000"/>
              </w:rPr>
            </w:pPr>
            <w:r>
              <w:rPr>
                <w:rFonts w:ascii="Calibri" w:hAnsi="Calibri" w:cs="Calibri"/>
                <w:color w:val="000000"/>
              </w:rPr>
              <w:t>211</w:t>
            </w:r>
          </w:p>
        </w:tc>
        <w:tc>
          <w:tcPr>
            <w:tcW w:w="1134" w:type="dxa"/>
            <w:tcBorders>
              <w:top w:val="nil"/>
              <w:left w:val="nil"/>
              <w:bottom w:val="single" w:sz="4" w:space="0" w:color="auto"/>
              <w:right w:val="single" w:sz="4" w:space="0" w:color="auto"/>
            </w:tcBorders>
            <w:shd w:val="clear" w:color="auto" w:fill="auto"/>
            <w:noWrap/>
            <w:vAlign w:val="center"/>
            <w:hideMark/>
          </w:tcPr>
          <w:p w14:paraId="30270694" w14:textId="77777777" w:rsidR="00160641" w:rsidRDefault="00160641">
            <w:pPr>
              <w:jc w:val="center"/>
              <w:rPr>
                <w:rFonts w:ascii="Calibri" w:hAnsi="Calibri" w:cs="Calibri"/>
                <w:color w:val="000000"/>
              </w:rPr>
            </w:pPr>
            <w:r>
              <w:rPr>
                <w:rFonts w:ascii="Calibri" w:hAnsi="Calibri" w:cs="Calibri"/>
                <w:color w:val="000000"/>
              </w:rPr>
              <w:t>48</w:t>
            </w:r>
          </w:p>
        </w:tc>
        <w:tc>
          <w:tcPr>
            <w:tcW w:w="992" w:type="dxa"/>
            <w:tcBorders>
              <w:top w:val="nil"/>
              <w:left w:val="nil"/>
              <w:bottom w:val="single" w:sz="4" w:space="0" w:color="auto"/>
              <w:right w:val="single" w:sz="4" w:space="0" w:color="auto"/>
            </w:tcBorders>
            <w:shd w:val="clear" w:color="auto" w:fill="auto"/>
            <w:noWrap/>
            <w:vAlign w:val="center"/>
            <w:hideMark/>
          </w:tcPr>
          <w:p w14:paraId="643421D2" w14:textId="77777777" w:rsidR="00160641" w:rsidRDefault="00160641">
            <w:pPr>
              <w:jc w:val="center"/>
              <w:rPr>
                <w:rFonts w:ascii="Calibri" w:hAnsi="Calibri" w:cs="Calibri"/>
                <w:color w:val="000000"/>
              </w:rPr>
            </w:pPr>
            <w:r>
              <w:rPr>
                <w:rFonts w:ascii="Calibri" w:hAnsi="Calibri" w:cs="Calibri"/>
                <w:color w:val="000000"/>
              </w:rPr>
              <w:t>437</w:t>
            </w:r>
          </w:p>
        </w:tc>
        <w:tc>
          <w:tcPr>
            <w:tcW w:w="1134" w:type="dxa"/>
            <w:tcBorders>
              <w:top w:val="nil"/>
              <w:left w:val="nil"/>
              <w:bottom w:val="single" w:sz="4" w:space="0" w:color="auto"/>
              <w:right w:val="single" w:sz="4" w:space="0" w:color="auto"/>
            </w:tcBorders>
            <w:shd w:val="clear" w:color="auto" w:fill="auto"/>
            <w:noWrap/>
            <w:vAlign w:val="center"/>
            <w:hideMark/>
          </w:tcPr>
          <w:p w14:paraId="3F026F1F" w14:textId="77777777" w:rsidR="00160641" w:rsidRDefault="00160641">
            <w:pPr>
              <w:jc w:val="center"/>
              <w:rPr>
                <w:rFonts w:ascii="Calibri" w:hAnsi="Calibri" w:cs="Calibri"/>
                <w:color w:val="000000"/>
              </w:rPr>
            </w:pPr>
            <w:r>
              <w:rPr>
                <w:rFonts w:ascii="Calibri" w:hAnsi="Calibri" w:cs="Calibri"/>
                <w:color w:val="000000"/>
              </w:rPr>
              <w:t>608</w:t>
            </w:r>
          </w:p>
        </w:tc>
      </w:tr>
      <w:tr w:rsidR="00160641" w14:paraId="48314847"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2121AA19" w14:textId="77777777" w:rsidR="00160641" w:rsidRDefault="00160641">
            <w:pPr>
              <w:rPr>
                <w:rFonts w:ascii="Calibri" w:hAnsi="Calibri" w:cs="Calibri"/>
                <w:color w:val="000000"/>
              </w:rPr>
            </w:pPr>
            <w:r>
              <w:rPr>
                <w:rFonts w:ascii="Calibri" w:hAnsi="Calibri" w:cs="Calibri"/>
                <w:color w:val="000000"/>
              </w:rPr>
              <w:t>Construction</w:t>
            </w:r>
          </w:p>
        </w:tc>
        <w:tc>
          <w:tcPr>
            <w:tcW w:w="992" w:type="dxa"/>
            <w:tcBorders>
              <w:top w:val="nil"/>
              <w:left w:val="nil"/>
              <w:bottom w:val="single" w:sz="4" w:space="0" w:color="auto"/>
              <w:right w:val="single" w:sz="4" w:space="0" w:color="auto"/>
            </w:tcBorders>
            <w:shd w:val="clear" w:color="auto" w:fill="auto"/>
            <w:noWrap/>
            <w:vAlign w:val="center"/>
            <w:hideMark/>
          </w:tcPr>
          <w:p w14:paraId="238755D4" w14:textId="77777777" w:rsidR="00160641" w:rsidRDefault="00160641">
            <w:pPr>
              <w:jc w:val="center"/>
              <w:rPr>
                <w:rFonts w:ascii="Calibri" w:hAnsi="Calibri" w:cs="Calibri"/>
                <w:color w:val="000000"/>
              </w:rPr>
            </w:pPr>
            <w:r>
              <w:rPr>
                <w:rFonts w:ascii="Calibri" w:hAnsi="Calibri" w:cs="Calibri"/>
                <w:color w:val="000000"/>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19F46A34" w14:textId="77777777" w:rsidR="00160641" w:rsidRDefault="00160641">
            <w:pPr>
              <w:jc w:val="center"/>
              <w:rPr>
                <w:rFonts w:ascii="Calibri" w:hAnsi="Calibri" w:cs="Calibri"/>
                <w:color w:val="000000"/>
              </w:rPr>
            </w:pPr>
            <w:r>
              <w:rPr>
                <w:rFonts w:ascii="Calibri" w:hAnsi="Calibri" w:cs="Calibri"/>
                <w:color w:val="000000"/>
              </w:rPr>
              <w:t>52</w:t>
            </w:r>
          </w:p>
        </w:tc>
        <w:tc>
          <w:tcPr>
            <w:tcW w:w="992" w:type="dxa"/>
            <w:tcBorders>
              <w:top w:val="nil"/>
              <w:left w:val="nil"/>
              <w:bottom w:val="single" w:sz="4" w:space="0" w:color="auto"/>
              <w:right w:val="single" w:sz="4" w:space="0" w:color="auto"/>
            </w:tcBorders>
            <w:shd w:val="clear" w:color="auto" w:fill="auto"/>
            <w:noWrap/>
            <w:vAlign w:val="center"/>
            <w:hideMark/>
          </w:tcPr>
          <w:p w14:paraId="509B0B9B" w14:textId="77777777" w:rsidR="00160641" w:rsidRDefault="00160641">
            <w:pPr>
              <w:jc w:val="center"/>
              <w:rPr>
                <w:rFonts w:ascii="Calibri" w:hAnsi="Calibri" w:cs="Calibri"/>
                <w:color w:val="000000"/>
              </w:rPr>
            </w:pPr>
            <w:r>
              <w:rPr>
                <w:rFonts w:ascii="Calibri" w:hAnsi="Calibri" w:cs="Calibri"/>
                <w:color w:val="000000"/>
              </w:rPr>
              <w:t>45</w:t>
            </w:r>
          </w:p>
        </w:tc>
        <w:tc>
          <w:tcPr>
            <w:tcW w:w="1134" w:type="dxa"/>
            <w:tcBorders>
              <w:top w:val="nil"/>
              <w:left w:val="nil"/>
              <w:bottom w:val="single" w:sz="4" w:space="0" w:color="auto"/>
              <w:right w:val="single" w:sz="4" w:space="0" w:color="auto"/>
            </w:tcBorders>
            <w:shd w:val="clear" w:color="auto" w:fill="auto"/>
            <w:noWrap/>
            <w:vAlign w:val="center"/>
            <w:hideMark/>
          </w:tcPr>
          <w:p w14:paraId="6719146B" w14:textId="77777777" w:rsidR="00160641" w:rsidRDefault="00160641">
            <w:pPr>
              <w:jc w:val="center"/>
              <w:rPr>
                <w:rFonts w:ascii="Calibri" w:hAnsi="Calibri" w:cs="Calibri"/>
                <w:color w:val="000000"/>
              </w:rPr>
            </w:pPr>
            <w:r>
              <w:rPr>
                <w:rFonts w:ascii="Calibri" w:hAnsi="Calibri" w:cs="Calibri"/>
                <w:color w:val="000000"/>
              </w:rPr>
              <w:t>162</w:t>
            </w:r>
          </w:p>
        </w:tc>
      </w:tr>
      <w:tr w:rsidR="00160641" w14:paraId="30F1F538"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25AEABDA" w14:textId="77777777" w:rsidR="00160641" w:rsidRDefault="00160641">
            <w:pPr>
              <w:rPr>
                <w:rFonts w:ascii="Calibri" w:hAnsi="Calibri" w:cs="Calibri"/>
                <w:color w:val="000000"/>
              </w:rPr>
            </w:pPr>
            <w:r>
              <w:rPr>
                <w:rFonts w:ascii="Calibri" w:hAnsi="Calibri" w:cs="Calibri"/>
                <w:color w:val="000000"/>
              </w:rPr>
              <w:t>Agriculture</w:t>
            </w:r>
          </w:p>
        </w:tc>
        <w:tc>
          <w:tcPr>
            <w:tcW w:w="992" w:type="dxa"/>
            <w:tcBorders>
              <w:top w:val="nil"/>
              <w:left w:val="nil"/>
              <w:bottom w:val="single" w:sz="4" w:space="0" w:color="auto"/>
              <w:right w:val="single" w:sz="4" w:space="0" w:color="auto"/>
            </w:tcBorders>
            <w:shd w:val="clear" w:color="auto" w:fill="auto"/>
            <w:noWrap/>
            <w:vAlign w:val="center"/>
            <w:hideMark/>
          </w:tcPr>
          <w:p w14:paraId="39039ECA" w14:textId="77777777" w:rsidR="00160641" w:rsidRDefault="00160641">
            <w:pPr>
              <w:jc w:val="center"/>
              <w:rPr>
                <w:rFonts w:ascii="Calibri" w:hAnsi="Calibri" w:cs="Calibri"/>
                <w:color w:val="000000"/>
              </w:rPr>
            </w:pPr>
            <w:r>
              <w:rPr>
                <w:rFonts w:ascii="Calibri" w:hAnsi="Calibri" w:cs="Calibri"/>
                <w:color w:val="000000"/>
              </w:rPr>
              <w:t>918</w:t>
            </w:r>
          </w:p>
        </w:tc>
        <w:tc>
          <w:tcPr>
            <w:tcW w:w="1134" w:type="dxa"/>
            <w:tcBorders>
              <w:top w:val="nil"/>
              <w:left w:val="nil"/>
              <w:bottom w:val="single" w:sz="4" w:space="0" w:color="auto"/>
              <w:right w:val="single" w:sz="4" w:space="0" w:color="auto"/>
            </w:tcBorders>
            <w:shd w:val="clear" w:color="auto" w:fill="auto"/>
            <w:noWrap/>
            <w:vAlign w:val="center"/>
            <w:hideMark/>
          </w:tcPr>
          <w:p w14:paraId="5AEF87FE" w14:textId="77777777" w:rsidR="00160641" w:rsidRDefault="00160641">
            <w:pPr>
              <w:jc w:val="center"/>
              <w:rPr>
                <w:rFonts w:ascii="Calibri" w:hAnsi="Calibri" w:cs="Calibri"/>
                <w:color w:val="000000"/>
              </w:rPr>
            </w:pPr>
            <w:r>
              <w:rPr>
                <w:rFonts w:ascii="Calibri" w:hAnsi="Calibri" w:cs="Calibri"/>
                <w:color w:val="000000"/>
              </w:rPr>
              <w:t>514</w:t>
            </w:r>
          </w:p>
        </w:tc>
        <w:tc>
          <w:tcPr>
            <w:tcW w:w="992" w:type="dxa"/>
            <w:tcBorders>
              <w:top w:val="nil"/>
              <w:left w:val="nil"/>
              <w:bottom w:val="single" w:sz="4" w:space="0" w:color="auto"/>
              <w:right w:val="single" w:sz="4" w:space="0" w:color="auto"/>
            </w:tcBorders>
            <w:shd w:val="clear" w:color="auto" w:fill="auto"/>
            <w:noWrap/>
            <w:vAlign w:val="center"/>
            <w:hideMark/>
          </w:tcPr>
          <w:p w14:paraId="32410898" w14:textId="77777777" w:rsidR="00160641" w:rsidRDefault="00160641">
            <w:pPr>
              <w:jc w:val="center"/>
              <w:rPr>
                <w:rFonts w:ascii="Calibri" w:hAnsi="Calibri" w:cs="Calibri"/>
                <w:color w:val="000000"/>
              </w:rPr>
            </w:pPr>
            <w:r>
              <w:rPr>
                <w:rFonts w:ascii="Calibri" w:hAnsi="Calibri" w:cs="Calibri"/>
                <w:color w:val="000000"/>
              </w:rPr>
              <w:t>138</w:t>
            </w:r>
          </w:p>
        </w:tc>
        <w:tc>
          <w:tcPr>
            <w:tcW w:w="1134" w:type="dxa"/>
            <w:tcBorders>
              <w:top w:val="nil"/>
              <w:left w:val="nil"/>
              <w:bottom w:val="single" w:sz="4" w:space="0" w:color="auto"/>
              <w:right w:val="single" w:sz="4" w:space="0" w:color="auto"/>
            </w:tcBorders>
            <w:shd w:val="clear" w:color="auto" w:fill="auto"/>
            <w:noWrap/>
            <w:vAlign w:val="center"/>
            <w:hideMark/>
          </w:tcPr>
          <w:p w14:paraId="03F38996" w14:textId="77777777" w:rsidR="00160641" w:rsidRDefault="00160641">
            <w:pPr>
              <w:jc w:val="center"/>
              <w:rPr>
                <w:rFonts w:ascii="Calibri" w:hAnsi="Calibri" w:cs="Calibri"/>
                <w:color w:val="000000"/>
              </w:rPr>
            </w:pPr>
            <w:r>
              <w:rPr>
                <w:rFonts w:ascii="Calibri" w:hAnsi="Calibri" w:cs="Calibri"/>
                <w:color w:val="000000"/>
              </w:rPr>
              <w:t>18</w:t>
            </w:r>
          </w:p>
        </w:tc>
      </w:tr>
      <w:tr w:rsidR="00160641" w14:paraId="2CB09AE2"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4D5921E3" w14:textId="77777777" w:rsidR="00160641" w:rsidRDefault="00160641">
            <w:pPr>
              <w:rPr>
                <w:rFonts w:ascii="Calibri" w:hAnsi="Calibri" w:cs="Calibri"/>
                <w:color w:val="000000"/>
              </w:rPr>
            </w:pPr>
            <w:r>
              <w:rPr>
                <w:rFonts w:ascii="Calibri" w:hAnsi="Calibri" w:cs="Calibri"/>
                <w:color w:val="000000"/>
              </w:rPr>
              <w:t>Transport</w:t>
            </w:r>
          </w:p>
        </w:tc>
        <w:tc>
          <w:tcPr>
            <w:tcW w:w="992" w:type="dxa"/>
            <w:tcBorders>
              <w:top w:val="nil"/>
              <w:left w:val="nil"/>
              <w:bottom w:val="single" w:sz="4" w:space="0" w:color="auto"/>
              <w:right w:val="single" w:sz="4" w:space="0" w:color="auto"/>
            </w:tcBorders>
            <w:shd w:val="clear" w:color="auto" w:fill="auto"/>
            <w:noWrap/>
            <w:vAlign w:val="center"/>
            <w:hideMark/>
          </w:tcPr>
          <w:p w14:paraId="6F75D24F" w14:textId="77777777" w:rsidR="00160641" w:rsidRDefault="00160641">
            <w:pPr>
              <w:jc w:val="center"/>
              <w:rPr>
                <w:rFonts w:ascii="Calibri" w:hAnsi="Calibri" w:cs="Calibri"/>
                <w:color w:val="000000"/>
              </w:rPr>
            </w:pPr>
            <w:r>
              <w:rPr>
                <w:rFonts w:ascii="Calibri" w:hAnsi="Calibri" w:cs="Calibri"/>
                <w:color w:val="000000"/>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16122088" w14:textId="77777777" w:rsidR="00160641" w:rsidRDefault="00160641">
            <w:pPr>
              <w:jc w:val="center"/>
              <w:rPr>
                <w:rFonts w:ascii="Calibri" w:hAnsi="Calibri" w:cs="Calibri"/>
                <w:color w:val="000000"/>
              </w:rPr>
            </w:pPr>
            <w:r>
              <w:rPr>
                <w:rFonts w:ascii="Calibri" w:hAnsi="Calibri" w:cs="Calibri"/>
                <w:color w:val="000000"/>
              </w:rPr>
              <w:t>28</w:t>
            </w:r>
          </w:p>
        </w:tc>
        <w:tc>
          <w:tcPr>
            <w:tcW w:w="992" w:type="dxa"/>
            <w:tcBorders>
              <w:top w:val="nil"/>
              <w:left w:val="nil"/>
              <w:bottom w:val="single" w:sz="4" w:space="0" w:color="auto"/>
              <w:right w:val="single" w:sz="4" w:space="0" w:color="auto"/>
            </w:tcBorders>
            <w:shd w:val="clear" w:color="auto" w:fill="auto"/>
            <w:noWrap/>
            <w:vAlign w:val="center"/>
            <w:hideMark/>
          </w:tcPr>
          <w:p w14:paraId="5076B063" w14:textId="77777777" w:rsidR="00160641" w:rsidRDefault="00160641">
            <w:pPr>
              <w:jc w:val="center"/>
              <w:rPr>
                <w:rFonts w:ascii="Calibri" w:hAnsi="Calibri" w:cs="Calibri"/>
                <w:color w:val="000000"/>
              </w:rPr>
            </w:pPr>
            <w:r>
              <w:rPr>
                <w:rFonts w:ascii="Calibri" w:hAnsi="Calibri" w:cs="Calibri"/>
                <w:color w:val="000000"/>
              </w:rPr>
              <w:t>101</w:t>
            </w:r>
          </w:p>
        </w:tc>
        <w:tc>
          <w:tcPr>
            <w:tcW w:w="1134" w:type="dxa"/>
            <w:tcBorders>
              <w:top w:val="nil"/>
              <w:left w:val="nil"/>
              <w:bottom w:val="single" w:sz="4" w:space="0" w:color="auto"/>
              <w:right w:val="single" w:sz="4" w:space="0" w:color="auto"/>
            </w:tcBorders>
            <w:shd w:val="clear" w:color="auto" w:fill="auto"/>
            <w:noWrap/>
            <w:vAlign w:val="center"/>
            <w:hideMark/>
          </w:tcPr>
          <w:p w14:paraId="74599B88" w14:textId="77777777" w:rsidR="00160641" w:rsidRDefault="00160641">
            <w:pPr>
              <w:jc w:val="center"/>
              <w:rPr>
                <w:rFonts w:ascii="Calibri" w:hAnsi="Calibri" w:cs="Calibri"/>
                <w:color w:val="000000"/>
              </w:rPr>
            </w:pPr>
            <w:r>
              <w:rPr>
                <w:rFonts w:ascii="Calibri" w:hAnsi="Calibri" w:cs="Calibri"/>
                <w:color w:val="000000"/>
              </w:rPr>
              <w:t>331</w:t>
            </w:r>
          </w:p>
        </w:tc>
      </w:tr>
      <w:tr w:rsidR="00160641" w14:paraId="04839D99"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0E3287ED" w14:textId="77777777" w:rsidR="00160641" w:rsidRDefault="00160641">
            <w:pPr>
              <w:rPr>
                <w:rFonts w:ascii="Calibri" w:hAnsi="Calibri" w:cs="Calibri"/>
                <w:color w:val="000000"/>
              </w:rPr>
            </w:pPr>
            <w:r>
              <w:rPr>
                <w:rFonts w:ascii="Calibri" w:hAnsi="Calibri" w:cs="Calibri"/>
                <w:color w:val="000000"/>
              </w:rPr>
              <w:t>Trade and catering</w:t>
            </w:r>
          </w:p>
        </w:tc>
        <w:tc>
          <w:tcPr>
            <w:tcW w:w="992" w:type="dxa"/>
            <w:tcBorders>
              <w:top w:val="nil"/>
              <w:left w:val="nil"/>
              <w:bottom w:val="single" w:sz="4" w:space="0" w:color="auto"/>
              <w:right w:val="single" w:sz="4" w:space="0" w:color="auto"/>
            </w:tcBorders>
            <w:shd w:val="clear" w:color="auto" w:fill="auto"/>
            <w:noWrap/>
            <w:vAlign w:val="center"/>
            <w:hideMark/>
          </w:tcPr>
          <w:p w14:paraId="43954EF0" w14:textId="77777777" w:rsidR="00160641" w:rsidRDefault="00160641">
            <w:pPr>
              <w:jc w:val="center"/>
              <w:rPr>
                <w:rFonts w:ascii="Calibri" w:hAnsi="Calibri" w:cs="Calibri"/>
                <w:color w:val="000000"/>
              </w:rPr>
            </w:pPr>
            <w:r>
              <w:rPr>
                <w:rFonts w:ascii="Calibri" w:hAnsi="Calibri" w:cs="Calibri"/>
                <w:color w:val="000000"/>
              </w:rPr>
              <w:t>1394</w:t>
            </w:r>
          </w:p>
        </w:tc>
        <w:tc>
          <w:tcPr>
            <w:tcW w:w="1134" w:type="dxa"/>
            <w:tcBorders>
              <w:top w:val="nil"/>
              <w:left w:val="nil"/>
              <w:bottom w:val="single" w:sz="4" w:space="0" w:color="auto"/>
              <w:right w:val="single" w:sz="4" w:space="0" w:color="auto"/>
            </w:tcBorders>
            <w:shd w:val="clear" w:color="auto" w:fill="auto"/>
            <w:noWrap/>
            <w:vAlign w:val="center"/>
            <w:hideMark/>
          </w:tcPr>
          <w:p w14:paraId="52021DBC" w14:textId="77777777" w:rsidR="00160641" w:rsidRDefault="00160641">
            <w:pPr>
              <w:jc w:val="center"/>
              <w:rPr>
                <w:rFonts w:ascii="Calibri" w:hAnsi="Calibri" w:cs="Calibri"/>
                <w:color w:val="000000"/>
              </w:rPr>
            </w:pPr>
            <w:r>
              <w:rPr>
                <w:rFonts w:ascii="Calibri" w:hAnsi="Calibri" w:cs="Calibri"/>
                <w:color w:val="000000"/>
              </w:rPr>
              <w:t>1358</w:t>
            </w:r>
          </w:p>
        </w:tc>
        <w:tc>
          <w:tcPr>
            <w:tcW w:w="992" w:type="dxa"/>
            <w:tcBorders>
              <w:top w:val="nil"/>
              <w:left w:val="nil"/>
              <w:bottom w:val="single" w:sz="4" w:space="0" w:color="auto"/>
              <w:right w:val="single" w:sz="4" w:space="0" w:color="auto"/>
            </w:tcBorders>
            <w:shd w:val="clear" w:color="auto" w:fill="auto"/>
            <w:noWrap/>
            <w:vAlign w:val="center"/>
            <w:hideMark/>
          </w:tcPr>
          <w:p w14:paraId="363B9941" w14:textId="77777777" w:rsidR="00160641" w:rsidRDefault="00160641">
            <w:pPr>
              <w:jc w:val="center"/>
              <w:rPr>
                <w:rFonts w:ascii="Calibri" w:hAnsi="Calibri" w:cs="Calibri"/>
                <w:color w:val="000000"/>
              </w:rPr>
            </w:pPr>
            <w:r>
              <w:rPr>
                <w:rFonts w:ascii="Calibri" w:hAnsi="Calibri" w:cs="Calibri"/>
                <w:color w:val="000000"/>
              </w:rPr>
              <w:t>1519</w:t>
            </w:r>
          </w:p>
        </w:tc>
        <w:tc>
          <w:tcPr>
            <w:tcW w:w="1134" w:type="dxa"/>
            <w:tcBorders>
              <w:top w:val="nil"/>
              <w:left w:val="nil"/>
              <w:bottom w:val="single" w:sz="4" w:space="0" w:color="auto"/>
              <w:right w:val="single" w:sz="4" w:space="0" w:color="auto"/>
            </w:tcBorders>
            <w:shd w:val="clear" w:color="auto" w:fill="auto"/>
            <w:noWrap/>
            <w:vAlign w:val="center"/>
            <w:hideMark/>
          </w:tcPr>
          <w:p w14:paraId="277311EE" w14:textId="77777777" w:rsidR="00160641" w:rsidRDefault="00160641">
            <w:pPr>
              <w:jc w:val="center"/>
              <w:rPr>
                <w:rFonts w:ascii="Calibri" w:hAnsi="Calibri" w:cs="Calibri"/>
                <w:color w:val="000000"/>
              </w:rPr>
            </w:pPr>
            <w:r>
              <w:rPr>
                <w:rFonts w:ascii="Calibri" w:hAnsi="Calibri" w:cs="Calibri"/>
                <w:color w:val="000000"/>
              </w:rPr>
              <w:t>1279</w:t>
            </w:r>
          </w:p>
        </w:tc>
      </w:tr>
      <w:tr w:rsidR="00160641" w14:paraId="236D8025"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4841AAA8" w14:textId="77777777" w:rsidR="00160641" w:rsidRDefault="00160641">
            <w:pPr>
              <w:rPr>
                <w:rFonts w:ascii="Calibri" w:hAnsi="Calibri" w:cs="Calibri"/>
                <w:color w:val="000000"/>
              </w:rPr>
            </w:pPr>
            <w:r>
              <w:rPr>
                <w:rFonts w:ascii="Calibri" w:hAnsi="Calibri" w:cs="Calibri"/>
                <w:color w:val="000000"/>
              </w:rPr>
              <w:t>Personal and Public Services</w:t>
            </w:r>
          </w:p>
        </w:tc>
        <w:tc>
          <w:tcPr>
            <w:tcW w:w="992" w:type="dxa"/>
            <w:tcBorders>
              <w:top w:val="nil"/>
              <w:left w:val="nil"/>
              <w:bottom w:val="single" w:sz="4" w:space="0" w:color="auto"/>
              <w:right w:val="single" w:sz="4" w:space="0" w:color="auto"/>
            </w:tcBorders>
            <w:shd w:val="clear" w:color="auto" w:fill="auto"/>
            <w:noWrap/>
            <w:vAlign w:val="center"/>
            <w:hideMark/>
          </w:tcPr>
          <w:p w14:paraId="1A3CD217" w14:textId="77777777" w:rsidR="00160641" w:rsidRDefault="00160641">
            <w:pPr>
              <w:jc w:val="center"/>
              <w:rPr>
                <w:rFonts w:ascii="Calibri" w:hAnsi="Calibri" w:cs="Calibri"/>
                <w:color w:val="000000"/>
              </w:rPr>
            </w:pPr>
            <w:r>
              <w:rPr>
                <w:rFonts w:ascii="Calibri" w:hAnsi="Calibri" w:cs="Calibri"/>
                <w:color w:val="000000"/>
              </w:rPr>
              <w:t>587</w:t>
            </w:r>
          </w:p>
        </w:tc>
        <w:tc>
          <w:tcPr>
            <w:tcW w:w="1134" w:type="dxa"/>
            <w:tcBorders>
              <w:top w:val="nil"/>
              <w:left w:val="nil"/>
              <w:bottom w:val="single" w:sz="4" w:space="0" w:color="auto"/>
              <w:right w:val="single" w:sz="4" w:space="0" w:color="auto"/>
            </w:tcBorders>
            <w:shd w:val="clear" w:color="auto" w:fill="auto"/>
            <w:noWrap/>
            <w:vAlign w:val="center"/>
            <w:hideMark/>
          </w:tcPr>
          <w:p w14:paraId="2A5474C7" w14:textId="77777777" w:rsidR="00160641" w:rsidRDefault="00160641">
            <w:pPr>
              <w:jc w:val="center"/>
              <w:rPr>
                <w:rFonts w:ascii="Calibri" w:hAnsi="Calibri" w:cs="Calibri"/>
                <w:color w:val="000000"/>
              </w:rPr>
            </w:pPr>
            <w:r>
              <w:rPr>
                <w:rFonts w:ascii="Calibri" w:hAnsi="Calibri" w:cs="Calibri"/>
                <w:color w:val="000000"/>
              </w:rPr>
              <w:t>337</w:t>
            </w:r>
          </w:p>
        </w:tc>
        <w:tc>
          <w:tcPr>
            <w:tcW w:w="992" w:type="dxa"/>
            <w:tcBorders>
              <w:top w:val="nil"/>
              <w:left w:val="nil"/>
              <w:bottom w:val="single" w:sz="4" w:space="0" w:color="auto"/>
              <w:right w:val="single" w:sz="4" w:space="0" w:color="auto"/>
            </w:tcBorders>
            <w:shd w:val="clear" w:color="auto" w:fill="auto"/>
            <w:noWrap/>
            <w:vAlign w:val="center"/>
            <w:hideMark/>
          </w:tcPr>
          <w:p w14:paraId="0510C785" w14:textId="77777777" w:rsidR="00160641" w:rsidRDefault="00160641">
            <w:pPr>
              <w:jc w:val="center"/>
              <w:rPr>
                <w:rFonts w:ascii="Calibri" w:hAnsi="Calibri" w:cs="Calibri"/>
                <w:color w:val="000000"/>
              </w:rPr>
            </w:pPr>
            <w:r>
              <w:rPr>
                <w:rFonts w:ascii="Calibri" w:hAnsi="Calibri" w:cs="Calibri"/>
                <w:color w:val="000000"/>
              </w:rPr>
              <w:t>280</w:t>
            </w:r>
          </w:p>
        </w:tc>
        <w:tc>
          <w:tcPr>
            <w:tcW w:w="1134" w:type="dxa"/>
            <w:tcBorders>
              <w:top w:val="nil"/>
              <w:left w:val="nil"/>
              <w:bottom w:val="single" w:sz="4" w:space="0" w:color="auto"/>
              <w:right w:val="single" w:sz="4" w:space="0" w:color="auto"/>
            </w:tcBorders>
            <w:shd w:val="clear" w:color="auto" w:fill="auto"/>
            <w:noWrap/>
            <w:vAlign w:val="center"/>
            <w:hideMark/>
          </w:tcPr>
          <w:p w14:paraId="6FC2E8E5" w14:textId="77777777" w:rsidR="00160641" w:rsidRDefault="00160641">
            <w:pPr>
              <w:jc w:val="center"/>
              <w:rPr>
                <w:rFonts w:ascii="Calibri" w:hAnsi="Calibri" w:cs="Calibri"/>
                <w:color w:val="000000"/>
              </w:rPr>
            </w:pPr>
            <w:r>
              <w:rPr>
                <w:rFonts w:ascii="Calibri" w:hAnsi="Calibri" w:cs="Calibri"/>
                <w:color w:val="000000"/>
              </w:rPr>
              <w:t>689</w:t>
            </w:r>
          </w:p>
        </w:tc>
      </w:tr>
      <w:tr w:rsidR="00160641" w14:paraId="661DA4DE"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3AD9D519" w14:textId="77777777" w:rsidR="00160641" w:rsidRDefault="00160641">
            <w:pPr>
              <w:rPr>
                <w:rFonts w:ascii="Calibri" w:hAnsi="Calibri" w:cs="Calibri"/>
                <w:color w:val="000000"/>
              </w:rPr>
            </w:pPr>
            <w:r>
              <w:rPr>
                <w:rFonts w:ascii="Calibri" w:hAnsi="Calibri" w:cs="Calibri"/>
                <w:color w:val="000000"/>
              </w:rPr>
              <w:t>Other sectors</w:t>
            </w:r>
          </w:p>
        </w:tc>
        <w:tc>
          <w:tcPr>
            <w:tcW w:w="992" w:type="dxa"/>
            <w:tcBorders>
              <w:top w:val="nil"/>
              <w:left w:val="nil"/>
              <w:bottom w:val="single" w:sz="4" w:space="0" w:color="auto"/>
              <w:right w:val="single" w:sz="4" w:space="0" w:color="auto"/>
            </w:tcBorders>
            <w:shd w:val="clear" w:color="auto" w:fill="auto"/>
            <w:noWrap/>
            <w:vAlign w:val="center"/>
            <w:hideMark/>
          </w:tcPr>
          <w:p w14:paraId="51D0E8C3" w14:textId="77777777" w:rsidR="00160641" w:rsidRDefault="00160641">
            <w:pPr>
              <w:jc w:val="center"/>
              <w:rPr>
                <w:rFonts w:ascii="Calibri" w:hAnsi="Calibri" w:cs="Calibri"/>
                <w:color w:val="000000"/>
              </w:rPr>
            </w:pPr>
            <w:r>
              <w:rPr>
                <w:rFonts w:ascii="Calibri" w:hAnsi="Calibri" w:cs="Calibri"/>
                <w:color w:val="000000"/>
              </w:rPr>
              <w:t>747</w:t>
            </w:r>
          </w:p>
        </w:tc>
        <w:tc>
          <w:tcPr>
            <w:tcW w:w="1134" w:type="dxa"/>
            <w:tcBorders>
              <w:top w:val="nil"/>
              <w:left w:val="nil"/>
              <w:bottom w:val="single" w:sz="4" w:space="0" w:color="auto"/>
              <w:right w:val="single" w:sz="4" w:space="0" w:color="auto"/>
            </w:tcBorders>
            <w:shd w:val="clear" w:color="auto" w:fill="auto"/>
            <w:noWrap/>
            <w:vAlign w:val="center"/>
            <w:hideMark/>
          </w:tcPr>
          <w:p w14:paraId="567E6205" w14:textId="77777777" w:rsidR="00160641" w:rsidRDefault="00160641">
            <w:pPr>
              <w:jc w:val="center"/>
              <w:rPr>
                <w:rFonts w:ascii="Calibri" w:hAnsi="Calibri" w:cs="Calibri"/>
                <w:color w:val="000000"/>
              </w:rPr>
            </w:pPr>
            <w:r>
              <w:rPr>
                <w:rFonts w:ascii="Calibri" w:hAnsi="Calibri" w:cs="Calibri"/>
                <w:color w:val="000000"/>
              </w:rPr>
              <w:t>806</w:t>
            </w:r>
          </w:p>
        </w:tc>
        <w:tc>
          <w:tcPr>
            <w:tcW w:w="992" w:type="dxa"/>
            <w:tcBorders>
              <w:top w:val="nil"/>
              <w:left w:val="nil"/>
              <w:bottom w:val="single" w:sz="4" w:space="0" w:color="auto"/>
              <w:right w:val="single" w:sz="4" w:space="0" w:color="auto"/>
            </w:tcBorders>
            <w:shd w:val="clear" w:color="auto" w:fill="auto"/>
            <w:noWrap/>
            <w:vAlign w:val="center"/>
            <w:hideMark/>
          </w:tcPr>
          <w:p w14:paraId="49834A35" w14:textId="77777777" w:rsidR="00160641" w:rsidRDefault="00160641">
            <w:pPr>
              <w:jc w:val="center"/>
              <w:rPr>
                <w:rFonts w:ascii="Calibri" w:hAnsi="Calibri" w:cs="Calibri"/>
                <w:color w:val="000000"/>
              </w:rPr>
            </w:pPr>
            <w:r>
              <w:rPr>
                <w:rFonts w:ascii="Calibri" w:hAnsi="Calibri" w:cs="Calibri"/>
                <w:color w:val="000000"/>
              </w:rPr>
              <w:t>1536</w:t>
            </w:r>
          </w:p>
        </w:tc>
        <w:tc>
          <w:tcPr>
            <w:tcW w:w="1134" w:type="dxa"/>
            <w:tcBorders>
              <w:top w:val="nil"/>
              <w:left w:val="nil"/>
              <w:bottom w:val="single" w:sz="4" w:space="0" w:color="auto"/>
              <w:right w:val="single" w:sz="4" w:space="0" w:color="auto"/>
            </w:tcBorders>
            <w:shd w:val="clear" w:color="auto" w:fill="auto"/>
            <w:noWrap/>
            <w:vAlign w:val="center"/>
            <w:hideMark/>
          </w:tcPr>
          <w:p w14:paraId="4CC2BEC7" w14:textId="77777777" w:rsidR="00160641" w:rsidRDefault="00160641">
            <w:pPr>
              <w:jc w:val="center"/>
              <w:rPr>
                <w:rFonts w:ascii="Calibri" w:hAnsi="Calibri" w:cs="Calibri"/>
                <w:color w:val="000000"/>
              </w:rPr>
            </w:pPr>
            <w:r>
              <w:rPr>
                <w:rFonts w:ascii="Calibri" w:hAnsi="Calibri" w:cs="Calibri"/>
                <w:color w:val="000000"/>
              </w:rPr>
              <w:t>3690</w:t>
            </w:r>
          </w:p>
        </w:tc>
      </w:tr>
      <w:tr w:rsidR="00160641" w14:paraId="4FC6323A" w14:textId="77777777" w:rsidTr="00FF42BF">
        <w:trPr>
          <w:trHeight w:val="73"/>
          <w:jc w:val="center"/>
        </w:trPr>
        <w:tc>
          <w:tcPr>
            <w:tcW w:w="4385" w:type="dxa"/>
            <w:tcBorders>
              <w:top w:val="nil"/>
              <w:left w:val="single" w:sz="4" w:space="0" w:color="auto"/>
              <w:bottom w:val="nil"/>
              <w:right w:val="single" w:sz="4" w:space="0" w:color="auto"/>
            </w:tcBorders>
            <w:shd w:val="clear" w:color="auto" w:fill="auto"/>
            <w:noWrap/>
            <w:vAlign w:val="bottom"/>
            <w:hideMark/>
          </w:tcPr>
          <w:p w14:paraId="1A4ACAEB" w14:textId="77777777" w:rsidR="00160641" w:rsidRDefault="00160641">
            <w:pPr>
              <w:rPr>
                <w:rFonts w:ascii="Calibri" w:hAnsi="Calibri" w:cs="Calibri"/>
                <w:color w:val="000000"/>
              </w:rPr>
            </w:pPr>
            <w:r>
              <w:rPr>
                <w:rFonts w:ascii="Calibri" w:hAnsi="Calibri" w:cs="Calibri"/>
                <w:color w:val="000000"/>
              </w:rPr>
              <w:t>Total</w:t>
            </w:r>
          </w:p>
        </w:tc>
        <w:tc>
          <w:tcPr>
            <w:tcW w:w="992" w:type="dxa"/>
            <w:tcBorders>
              <w:top w:val="nil"/>
              <w:left w:val="nil"/>
              <w:bottom w:val="nil"/>
              <w:right w:val="single" w:sz="4" w:space="0" w:color="auto"/>
            </w:tcBorders>
            <w:shd w:val="clear" w:color="auto" w:fill="auto"/>
            <w:noWrap/>
            <w:vAlign w:val="center"/>
            <w:hideMark/>
          </w:tcPr>
          <w:p w14:paraId="42574CEC" w14:textId="77777777" w:rsidR="00160641" w:rsidRDefault="00160641">
            <w:pPr>
              <w:jc w:val="center"/>
              <w:rPr>
                <w:rFonts w:ascii="Calibri" w:hAnsi="Calibri" w:cs="Calibri"/>
                <w:color w:val="000000"/>
              </w:rPr>
            </w:pPr>
            <w:r>
              <w:rPr>
                <w:rFonts w:ascii="Calibri" w:hAnsi="Calibri" w:cs="Calibri"/>
                <w:color w:val="000000"/>
              </w:rPr>
              <w:t>4147</w:t>
            </w:r>
          </w:p>
        </w:tc>
        <w:tc>
          <w:tcPr>
            <w:tcW w:w="1134" w:type="dxa"/>
            <w:tcBorders>
              <w:top w:val="nil"/>
              <w:left w:val="nil"/>
              <w:bottom w:val="nil"/>
              <w:right w:val="single" w:sz="4" w:space="0" w:color="auto"/>
            </w:tcBorders>
            <w:shd w:val="clear" w:color="auto" w:fill="auto"/>
            <w:noWrap/>
            <w:vAlign w:val="center"/>
            <w:hideMark/>
          </w:tcPr>
          <w:p w14:paraId="2A2ED260" w14:textId="77777777" w:rsidR="00160641" w:rsidRDefault="00160641">
            <w:pPr>
              <w:jc w:val="center"/>
              <w:rPr>
                <w:rFonts w:ascii="Calibri" w:hAnsi="Calibri" w:cs="Calibri"/>
                <w:color w:val="000000"/>
              </w:rPr>
            </w:pPr>
            <w:r>
              <w:rPr>
                <w:rFonts w:ascii="Calibri" w:hAnsi="Calibri" w:cs="Calibri"/>
                <w:color w:val="000000"/>
              </w:rPr>
              <w:t>3143</w:t>
            </w:r>
          </w:p>
        </w:tc>
        <w:tc>
          <w:tcPr>
            <w:tcW w:w="992" w:type="dxa"/>
            <w:tcBorders>
              <w:top w:val="nil"/>
              <w:left w:val="nil"/>
              <w:bottom w:val="nil"/>
              <w:right w:val="single" w:sz="4" w:space="0" w:color="auto"/>
            </w:tcBorders>
            <w:shd w:val="clear" w:color="auto" w:fill="auto"/>
            <w:noWrap/>
            <w:vAlign w:val="center"/>
            <w:hideMark/>
          </w:tcPr>
          <w:p w14:paraId="61498224" w14:textId="77777777" w:rsidR="00160641" w:rsidRDefault="00160641">
            <w:pPr>
              <w:jc w:val="center"/>
              <w:rPr>
                <w:rFonts w:ascii="Calibri" w:hAnsi="Calibri" w:cs="Calibri"/>
                <w:color w:val="000000"/>
              </w:rPr>
            </w:pPr>
            <w:r>
              <w:rPr>
                <w:rFonts w:ascii="Calibri" w:hAnsi="Calibri" w:cs="Calibri"/>
                <w:color w:val="000000"/>
              </w:rPr>
              <w:t>4056</w:t>
            </w:r>
          </w:p>
        </w:tc>
        <w:tc>
          <w:tcPr>
            <w:tcW w:w="1134" w:type="dxa"/>
            <w:tcBorders>
              <w:top w:val="nil"/>
              <w:left w:val="nil"/>
              <w:bottom w:val="nil"/>
              <w:right w:val="single" w:sz="4" w:space="0" w:color="auto"/>
            </w:tcBorders>
            <w:shd w:val="clear" w:color="auto" w:fill="auto"/>
            <w:noWrap/>
            <w:vAlign w:val="center"/>
            <w:hideMark/>
          </w:tcPr>
          <w:p w14:paraId="5C12940A" w14:textId="77777777" w:rsidR="00160641" w:rsidRDefault="00160641">
            <w:pPr>
              <w:jc w:val="center"/>
              <w:rPr>
                <w:rFonts w:ascii="Calibri" w:hAnsi="Calibri" w:cs="Calibri"/>
                <w:color w:val="000000"/>
              </w:rPr>
            </w:pPr>
            <w:r>
              <w:rPr>
                <w:rFonts w:ascii="Calibri" w:hAnsi="Calibri" w:cs="Calibri"/>
                <w:color w:val="000000"/>
              </w:rPr>
              <w:t>6777</w:t>
            </w:r>
          </w:p>
        </w:tc>
      </w:tr>
      <w:tr w:rsidR="00160641" w14:paraId="689B9997" w14:textId="77777777" w:rsidTr="009F2AF5">
        <w:trPr>
          <w:trHeight w:val="340"/>
          <w:jc w:val="center"/>
        </w:trPr>
        <w:tc>
          <w:tcPr>
            <w:tcW w:w="8637"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0181B8CF" w14:textId="77777777" w:rsidR="00160641" w:rsidRDefault="00160641">
            <w:pPr>
              <w:jc w:val="center"/>
              <w:rPr>
                <w:rFonts w:ascii="Calibri" w:hAnsi="Calibri" w:cs="Calibri"/>
                <w:b/>
                <w:bCs/>
                <w:color w:val="000000"/>
              </w:rPr>
            </w:pPr>
            <w:r>
              <w:rPr>
                <w:rFonts w:ascii="Calibri" w:hAnsi="Calibri" w:cs="Calibri"/>
                <w:b/>
                <w:bCs/>
                <w:color w:val="000000"/>
              </w:rPr>
              <w:t>In Percent of Total</w:t>
            </w:r>
          </w:p>
        </w:tc>
      </w:tr>
      <w:tr w:rsidR="00160641" w14:paraId="7B37C2F9" w14:textId="77777777" w:rsidTr="00FF42BF">
        <w:trPr>
          <w:trHeight w:val="6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34601F22" w14:textId="77777777" w:rsidR="00160641" w:rsidRDefault="00160641">
            <w:pPr>
              <w:rPr>
                <w:rFonts w:ascii="Calibri" w:hAnsi="Calibri" w:cs="Calibri"/>
                <w:color w:val="000000"/>
              </w:rPr>
            </w:pPr>
            <w:r>
              <w:rPr>
                <w:rFonts w:ascii="Calibri" w:hAnsi="Calibri" w:cs="Calibri"/>
                <w:color w:val="000000"/>
              </w:rPr>
              <w:t>Industry</w:t>
            </w:r>
          </w:p>
        </w:tc>
        <w:tc>
          <w:tcPr>
            <w:tcW w:w="992" w:type="dxa"/>
            <w:tcBorders>
              <w:top w:val="nil"/>
              <w:left w:val="nil"/>
              <w:bottom w:val="single" w:sz="4" w:space="0" w:color="auto"/>
              <w:right w:val="single" w:sz="4" w:space="0" w:color="auto"/>
            </w:tcBorders>
            <w:shd w:val="clear" w:color="auto" w:fill="auto"/>
            <w:noWrap/>
            <w:vAlign w:val="bottom"/>
            <w:hideMark/>
          </w:tcPr>
          <w:p w14:paraId="66972228" w14:textId="77777777" w:rsidR="00160641" w:rsidRDefault="00160641">
            <w:pPr>
              <w:jc w:val="right"/>
              <w:rPr>
                <w:rFonts w:ascii="Calibri" w:hAnsi="Calibri" w:cs="Calibri"/>
                <w:color w:val="000000"/>
              </w:rPr>
            </w:pPr>
            <w:r>
              <w:rPr>
                <w:rFonts w:ascii="Calibri" w:hAnsi="Calibri" w:cs="Calibri"/>
                <w:color w:val="000000"/>
              </w:rPr>
              <w:t>5,10%</w:t>
            </w:r>
          </w:p>
        </w:tc>
        <w:tc>
          <w:tcPr>
            <w:tcW w:w="1134" w:type="dxa"/>
            <w:tcBorders>
              <w:top w:val="nil"/>
              <w:left w:val="nil"/>
              <w:bottom w:val="single" w:sz="4" w:space="0" w:color="auto"/>
              <w:right w:val="single" w:sz="4" w:space="0" w:color="auto"/>
            </w:tcBorders>
            <w:shd w:val="clear" w:color="auto" w:fill="auto"/>
            <w:noWrap/>
            <w:vAlign w:val="bottom"/>
            <w:hideMark/>
          </w:tcPr>
          <w:p w14:paraId="4F064B52" w14:textId="77777777" w:rsidR="00160641" w:rsidRDefault="00160641">
            <w:pPr>
              <w:jc w:val="right"/>
              <w:rPr>
                <w:rFonts w:ascii="Calibri" w:hAnsi="Calibri" w:cs="Calibri"/>
                <w:color w:val="000000"/>
              </w:rPr>
            </w:pPr>
            <w:r>
              <w:rPr>
                <w:rFonts w:ascii="Calibri" w:hAnsi="Calibri" w:cs="Calibri"/>
                <w:color w:val="000000"/>
              </w:rPr>
              <w:t>1,50%</w:t>
            </w:r>
          </w:p>
        </w:tc>
        <w:tc>
          <w:tcPr>
            <w:tcW w:w="992" w:type="dxa"/>
            <w:tcBorders>
              <w:top w:val="nil"/>
              <w:left w:val="nil"/>
              <w:bottom w:val="single" w:sz="4" w:space="0" w:color="auto"/>
              <w:right w:val="single" w:sz="4" w:space="0" w:color="auto"/>
            </w:tcBorders>
            <w:shd w:val="clear" w:color="auto" w:fill="auto"/>
            <w:noWrap/>
            <w:vAlign w:val="bottom"/>
            <w:hideMark/>
          </w:tcPr>
          <w:p w14:paraId="3F846D1E" w14:textId="77777777" w:rsidR="00160641" w:rsidRDefault="00160641">
            <w:pPr>
              <w:jc w:val="right"/>
              <w:rPr>
                <w:rFonts w:ascii="Calibri" w:hAnsi="Calibri" w:cs="Calibri"/>
                <w:color w:val="000000"/>
              </w:rPr>
            </w:pPr>
            <w:r>
              <w:rPr>
                <w:rFonts w:ascii="Calibri" w:hAnsi="Calibri" w:cs="Calibri"/>
                <w:color w:val="000000"/>
              </w:rPr>
              <w:t>10,80%</w:t>
            </w:r>
          </w:p>
        </w:tc>
        <w:tc>
          <w:tcPr>
            <w:tcW w:w="1134" w:type="dxa"/>
            <w:tcBorders>
              <w:top w:val="nil"/>
              <w:left w:val="nil"/>
              <w:bottom w:val="single" w:sz="4" w:space="0" w:color="auto"/>
              <w:right w:val="single" w:sz="4" w:space="0" w:color="auto"/>
            </w:tcBorders>
            <w:shd w:val="clear" w:color="auto" w:fill="auto"/>
            <w:noWrap/>
            <w:vAlign w:val="bottom"/>
            <w:hideMark/>
          </w:tcPr>
          <w:p w14:paraId="565AFA0E" w14:textId="77777777" w:rsidR="00160641" w:rsidRDefault="00160641">
            <w:pPr>
              <w:jc w:val="right"/>
              <w:rPr>
                <w:rFonts w:ascii="Calibri" w:hAnsi="Calibri" w:cs="Calibri"/>
                <w:color w:val="000000"/>
              </w:rPr>
            </w:pPr>
            <w:r>
              <w:rPr>
                <w:rFonts w:ascii="Calibri" w:hAnsi="Calibri" w:cs="Calibri"/>
                <w:color w:val="000000"/>
              </w:rPr>
              <w:t>9%</w:t>
            </w:r>
          </w:p>
        </w:tc>
      </w:tr>
      <w:tr w:rsidR="00160641" w14:paraId="2F4B4F60"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253FCD22" w14:textId="77777777" w:rsidR="00160641" w:rsidRDefault="00160641">
            <w:pPr>
              <w:rPr>
                <w:rFonts w:ascii="Calibri" w:hAnsi="Calibri" w:cs="Calibri"/>
                <w:color w:val="000000"/>
              </w:rPr>
            </w:pPr>
            <w:r>
              <w:rPr>
                <w:rFonts w:ascii="Calibri" w:hAnsi="Calibri" w:cs="Calibri"/>
                <w:color w:val="000000"/>
              </w:rPr>
              <w:t>Construction</w:t>
            </w:r>
          </w:p>
        </w:tc>
        <w:tc>
          <w:tcPr>
            <w:tcW w:w="992" w:type="dxa"/>
            <w:tcBorders>
              <w:top w:val="nil"/>
              <w:left w:val="nil"/>
              <w:bottom w:val="single" w:sz="4" w:space="0" w:color="auto"/>
              <w:right w:val="single" w:sz="4" w:space="0" w:color="auto"/>
            </w:tcBorders>
            <w:shd w:val="clear" w:color="auto" w:fill="auto"/>
            <w:noWrap/>
            <w:vAlign w:val="bottom"/>
            <w:hideMark/>
          </w:tcPr>
          <w:p w14:paraId="1BAD62CD" w14:textId="77777777" w:rsidR="00160641" w:rsidRDefault="00160641">
            <w:pPr>
              <w:jc w:val="right"/>
              <w:rPr>
                <w:rFonts w:ascii="Calibri" w:hAnsi="Calibri" w:cs="Calibri"/>
                <w:color w:val="000000"/>
              </w:rPr>
            </w:pPr>
            <w:r>
              <w:rPr>
                <w:rFonts w:ascii="Calibri" w:hAnsi="Calibri" w:cs="Calibri"/>
                <w:color w:val="000000"/>
              </w:rPr>
              <w:t>2,70%</w:t>
            </w:r>
          </w:p>
        </w:tc>
        <w:tc>
          <w:tcPr>
            <w:tcW w:w="1134" w:type="dxa"/>
            <w:tcBorders>
              <w:top w:val="nil"/>
              <w:left w:val="nil"/>
              <w:bottom w:val="single" w:sz="4" w:space="0" w:color="auto"/>
              <w:right w:val="single" w:sz="4" w:space="0" w:color="auto"/>
            </w:tcBorders>
            <w:shd w:val="clear" w:color="auto" w:fill="auto"/>
            <w:noWrap/>
            <w:vAlign w:val="bottom"/>
            <w:hideMark/>
          </w:tcPr>
          <w:p w14:paraId="65B416F5" w14:textId="77777777" w:rsidR="00160641" w:rsidRDefault="00160641">
            <w:pPr>
              <w:jc w:val="right"/>
              <w:rPr>
                <w:rFonts w:ascii="Calibri" w:hAnsi="Calibri" w:cs="Calibri"/>
                <w:color w:val="000000"/>
              </w:rPr>
            </w:pPr>
            <w:r>
              <w:rPr>
                <w:rFonts w:ascii="Calibri" w:hAnsi="Calibri" w:cs="Calibri"/>
                <w:color w:val="000000"/>
              </w:rPr>
              <w:t>1,70%</w:t>
            </w:r>
          </w:p>
        </w:tc>
        <w:tc>
          <w:tcPr>
            <w:tcW w:w="992" w:type="dxa"/>
            <w:tcBorders>
              <w:top w:val="nil"/>
              <w:left w:val="nil"/>
              <w:bottom w:val="single" w:sz="4" w:space="0" w:color="auto"/>
              <w:right w:val="single" w:sz="4" w:space="0" w:color="auto"/>
            </w:tcBorders>
            <w:shd w:val="clear" w:color="auto" w:fill="auto"/>
            <w:noWrap/>
            <w:vAlign w:val="bottom"/>
            <w:hideMark/>
          </w:tcPr>
          <w:p w14:paraId="48E18F98" w14:textId="77777777" w:rsidR="00160641" w:rsidRDefault="00160641">
            <w:pPr>
              <w:jc w:val="right"/>
              <w:rPr>
                <w:rFonts w:ascii="Calibri" w:hAnsi="Calibri" w:cs="Calibri"/>
                <w:color w:val="000000"/>
              </w:rPr>
            </w:pPr>
            <w:r>
              <w:rPr>
                <w:rFonts w:ascii="Calibri" w:hAnsi="Calibri" w:cs="Calibri"/>
                <w:color w:val="000000"/>
              </w:rPr>
              <w:t>1,10%</w:t>
            </w:r>
          </w:p>
        </w:tc>
        <w:tc>
          <w:tcPr>
            <w:tcW w:w="1134" w:type="dxa"/>
            <w:tcBorders>
              <w:top w:val="nil"/>
              <w:left w:val="nil"/>
              <w:bottom w:val="single" w:sz="4" w:space="0" w:color="auto"/>
              <w:right w:val="single" w:sz="4" w:space="0" w:color="auto"/>
            </w:tcBorders>
            <w:shd w:val="clear" w:color="auto" w:fill="auto"/>
            <w:noWrap/>
            <w:vAlign w:val="bottom"/>
            <w:hideMark/>
          </w:tcPr>
          <w:p w14:paraId="104E84DA" w14:textId="77777777" w:rsidR="00160641" w:rsidRDefault="00160641">
            <w:pPr>
              <w:jc w:val="right"/>
              <w:rPr>
                <w:rFonts w:ascii="Calibri" w:hAnsi="Calibri" w:cs="Calibri"/>
                <w:color w:val="000000"/>
              </w:rPr>
            </w:pPr>
            <w:r>
              <w:rPr>
                <w:rFonts w:ascii="Calibri" w:hAnsi="Calibri" w:cs="Calibri"/>
                <w:color w:val="000000"/>
              </w:rPr>
              <w:t>2,40%</w:t>
            </w:r>
          </w:p>
        </w:tc>
      </w:tr>
      <w:tr w:rsidR="00160641" w14:paraId="5C712473"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7730E7D8" w14:textId="77777777" w:rsidR="00160641" w:rsidRDefault="00160641">
            <w:pPr>
              <w:rPr>
                <w:rFonts w:ascii="Calibri" w:hAnsi="Calibri" w:cs="Calibri"/>
                <w:color w:val="000000"/>
              </w:rPr>
            </w:pPr>
            <w:r>
              <w:rPr>
                <w:rFonts w:ascii="Calibri" w:hAnsi="Calibri" w:cs="Calibri"/>
                <w:color w:val="000000"/>
              </w:rPr>
              <w:t>Agriculture</w:t>
            </w:r>
          </w:p>
        </w:tc>
        <w:tc>
          <w:tcPr>
            <w:tcW w:w="992" w:type="dxa"/>
            <w:tcBorders>
              <w:top w:val="nil"/>
              <w:left w:val="nil"/>
              <w:bottom w:val="single" w:sz="4" w:space="0" w:color="auto"/>
              <w:right w:val="single" w:sz="4" w:space="0" w:color="auto"/>
            </w:tcBorders>
            <w:shd w:val="clear" w:color="auto" w:fill="auto"/>
            <w:noWrap/>
            <w:vAlign w:val="bottom"/>
            <w:hideMark/>
          </w:tcPr>
          <w:p w14:paraId="2A3B3EBC" w14:textId="77777777" w:rsidR="00160641" w:rsidRDefault="00160641">
            <w:pPr>
              <w:jc w:val="right"/>
              <w:rPr>
                <w:rFonts w:ascii="Calibri" w:hAnsi="Calibri" w:cs="Calibri"/>
                <w:color w:val="000000"/>
              </w:rPr>
            </w:pPr>
            <w:r>
              <w:rPr>
                <w:rFonts w:ascii="Calibri" w:hAnsi="Calibri" w:cs="Calibri"/>
                <w:color w:val="000000"/>
              </w:rPr>
              <w:t>22,10%</w:t>
            </w:r>
          </w:p>
        </w:tc>
        <w:tc>
          <w:tcPr>
            <w:tcW w:w="1134" w:type="dxa"/>
            <w:tcBorders>
              <w:top w:val="nil"/>
              <w:left w:val="nil"/>
              <w:bottom w:val="single" w:sz="4" w:space="0" w:color="auto"/>
              <w:right w:val="single" w:sz="4" w:space="0" w:color="auto"/>
            </w:tcBorders>
            <w:shd w:val="clear" w:color="auto" w:fill="auto"/>
            <w:noWrap/>
            <w:vAlign w:val="bottom"/>
            <w:hideMark/>
          </w:tcPr>
          <w:p w14:paraId="3DE2701D" w14:textId="77777777" w:rsidR="00160641" w:rsidRDefault="00160641">
            <w:pPr>
              <w:jc w:val="right"/>
              <w:rPr>
                <w:rFonts w:ascii="Calibri" w:hAnsi="Calibri" w:cs="Calibri"/>
                <w:color w:val="000000"/>
              </w:rPr>
            </w:pPr>
            <w:r>
              <w:rPr>
                <w:rFonts w:ascii="Calibri" w:hAnsi="Calibri" w:cs="Calibri"/>
                <w:color w:val="000000"/>
              </w:rPr>
              <w:t>16,40%</w:t>
            </w:r>
          </w:p>
        </w:tc>
        <w:tc>
          <w:tcPr>
            <w:tcW w:w="992" w:type="dxa"/>
            <w:tcBorders>
              <w:top w:val="nil"/>
              <w:left w:val="nil"/>
              <w:bottom w:val="single" w:sz="4" w:space="0" w:color="auto"/>
              <w:right w:val="single" w:sz="4" w:space="0" w:color="auto"/>
            </w:tcBorders>
            <w:shd w:val="clear" w:color="auto" w:fill="auto"/>
            <w:noWrap/>
            <w:vAlign w:val="bottom"/>
            <w:hideMark/>
          </w:tcPr>
          <w:p w14:paraId="32F3DCC1" w14:textId="77777777" w:rsidR="00160641" w:rsidRDefault="00160641">
            <w:pPr>
              <w:jc w:val="right"/>
              <w:rPr>
                <w:rFonts w:ascii="Calibri" w:hAnsi="Calibri" w:cs="Calibri"/>
                <w:color w:val="000000"/>
              </w:rPr>
            </w:pPr>
            <w:r>
              <w:rPr>
                <w:rFonts w:ascii="Calibri" w:hAnsi="Calibri" w:cs="Calibri"/>
                <w:color w:val="000000"/>
              </w:rPr>
              <w:t>3,40%</w:t>
            </w:r>
          </w:p>
        </w:tc>
        <w:tc>
          <w:tcPr>
            <w:tcW w:w="1134" w:type="dxa"/>
            <w:tcBorders>
              <w:top w:val="nil"/>
              <w:left w:val="nil"/>
              <w:bottom w:val="single" w:sz="4" w:space="0" w:color="auto"/>
              <w:right w:val="single" w:sz="4" w:space="0" w:color="auto"/>
            </w:tcBorders>
            <w:shd w:val="clear" w:color="auto" w:fill="auto"/>
            <w:noWrap/>
            <w:vAlign w:val="bottom"/>
            <w:hideMark/>
          </w:tcPr>
          <w:p w14:paraId="5068B83F" w14:textId="77777777" w:rsidR="00160641" w:rsidRDefault="00160641">
            <w:pPr>
              <w:jc w:val="right"/>
              <w:rPr>
                <w:rFonts w:ascii="Calibri" w:hAnsi="Calibri" w:cs="Calibri"/>
                <w:color w:val="000000"/>
              </w:rPr>
            </w:pPr>
            <w:r>
              <w:rPr>
                <w:rFonts w:ascii="Calibri" w:hAnsi="Calibri" w:cs="Calibri"/>
                <w:color w:val="000000"/>
              </w:rPr>
              <w:t>0,30%</w:t>
            </w:r>
          </w:p>
        </w:tc>
      </w:tr>
      <w:tr w:rsidR="00160641" w14:paraId="7095CFF6" w14:textId="77777777" w:rsidTr="00FF42BF">
        <w:trPr>
          <w:trHeight w:val="73"/>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7B902844" w14:textId="77777777" w:rsidR="00160641" w:rsidRDefault="00160641">
            <w:pPr>
              <w:rPr>
                <w:rFonts w:ascii="Calibri" w:hAnsi="Calibri" w:cs="Calibri"/>
                <w:color w:val="000000"/>
              </w:rPr>
            </w:pPr>
            <w:r>
              <w:rPr>
                <w:rFonts w:ascii="Calibri" w:hAnsi="Calibri" w:cs="Calibri"/>
                <w:color w:val="000000"/>
              </w:rPr>
              <w:t>Transport</w:t>
            </w:r>
          </w:p>
        </w:tc>
        <w:tc>
          <w:tcPr>
            <w:tcW w:w="992" w:type="dxa"/>
            <w:tcBorders>
              <w:top w:val="nil"/>
              <w:left w:val="nil"/>
              <w:bottom w:val="single" w:sz="4" w:space="0" w:color="auto"/>
              <w:right w:val="single" w:sz="4" w:space="0" w:color="auto"/>
            </w:tcBorders>
            <w:shd w:val="clear" w:color="auto" w:fill="auto"/>
            <w:noWrap/>
            <w:vAlign w:val="bottom"/>
            <w:hideMark/>
          </w:tcPr>
          <w:p w14:paraId="6465A665" w14:textId="77777777" w:rsidR="00160641" w:rsidRDefault="00160641">
            <w:pPr>
              <w:jc w:val="right"/>
              <w:rPr>
                <w:rFonts w:ascii="Calibri" w:hAnsi="Calibri" w:cs="Calibri"/>
                <w:color w:val="000000"/>
              </w:rPr>
            </w:pPr>
            <w:r>
              <w:rPr>
                <w:rFonts w:ascii="Calibri" w:hAnsi="Calibri" w:cs="Calibri"/>
                <w:color w:val="000000"/>
              </w:rPr>
              <w:t>4,30%</w:t>
            </w:r>
          </w:p>
        </w:tc>
        <w:tc>
          <w:tcPr>
            <w:tcW w:w="1134" w:type="dxa"/>
            <w:tcBorders>
              <w:top w:val="nil"/>
              <w:left w:val="nil"/>
              <w:bottom w:val="single" w:sz="4" w:space="0" w:color="auto"/>
              <w:right w:val="single" w:sz="4" w:space="0" w:color="auto"/>
            </w:tcBorders>
            <w:shd w:val="clear" w:color="auto" w:fill="auto"/>
            <w:noWrap/>
            <w:vAlign w:val="bottom"/>
            <w:hideMark/>
          </w:tcPr>
          <w:p w14:paraId="2AAD6DE6" w14:textId="77777777" w:rsidR="00160641" w:rsidRDefault="00160641">
            <w:pPr>
              <w:jc w:val="right"/>
              <w:rPr>
                <w:rFonts w:ascii="Calibri" w:hAnsi="Calibri" w:cs="Calibri"/>
                <w:color w:val="000000"/>
              </w:rPr>
            </w:pPr>
            <w:r>
              <w:rPr>
                <w:rFonts w:ascii="Calibri" w:hAnsi="Calibri" w:cs="Calibri"/>
                <w:color w:val="000000"/>
              </w:rPr>
              <w:t>0,90%</w:t>
            </w:r>
          </w:p>
        </w:tc>
        <w:tc>
          <w:tcPr>
            <w:tcW w:w="992" w:type="dxa"/>
            <w:tcBorders>
              <w:top w:val="nil"/>
              <w:left w:val="nil"/>
              <w:bottom w:val="single" w:sz="4" w:space="0" w:color="auto"/>
              <w:right w:val="single" w:sz="4" w:space="0" w:color="auto"/>
            </w:tcBorders>
            <w:shd w:val="clear" w:color="auto" w:fill="auto"/>
            <w:noWrap/>
            <w:vAlign w:val="bottom"/>
            <w:hideMark/>
          </w:tcPr>
          <w:p w14:paraId="5A5DD809" w14:textId="77777777" w:rsidR="00160641" w:rsidRDefault="00160641">
            <w:pPr>
              <w:jc w:val="right"/>
              <w:rPr>
                <w:rFonts w:ascii="Calibri" w:hAnsi="Calibri" w:cs="Calibri"/>
                <w:color w:val="000000"/>
              </w:rPr>
            </w:pPr>
            <w:r>
              <w:rPr>
                <w:rFonts w:ascii="Calibri" w:hAnsi="Calibri" w:cs="Calibri"/>
                <w:color w:val="000000"/>
              </w:rPr>
              <w:t>2,50%</w:t>
            </w:r>
          </w:p>
        </w:tc>
        <w:tc>
          <w:tcPr>
            <w:tcW w:w="1134" w:type="dxa"/>
            <w:tcBorders>
              <w:top w:val="nil"/>
              <w:left w:val="nil"/>
              <w:bottom w:val="single" w:sz="4" w:space="0" w:color="auto"/>
              <w:right w:val="single" w:sz="4" w:space="0" w:color="auto"/>
            </w:tcBorders>
            <w:shd w:val="clear" w:color="auto" w:fill="auto"/>
            <w:noWrap/>
            <w:vAlign w:val="bottom"/>
            <w:hideMark/>
          </w:tcPr>
          <w:p w14:paraId="5D35B60C" w14:textId="77777777" w:rsidR="00160641" w:rsidRDefault="00160641">
            <w:pPr>
              <w:jc w:val="right"/>
              <w:rPr>
                <w:rFonts w:ascii="Calibri" w:hAnsi="Calibri" w:cs="Calibri"/>
                <w:color w:val="000000"/>
              </w:rPr>
            </w:pPr>
            <w:r>
              <w:rPr>
                <w:rFonts w:ascii="Calibri" w:hAnsi="Calibri" w:cs="Calibri"/>
                <w:color w:val="000000"/>
              </w:rPr>
              <w:t>4,90%</w:t>
            </w:r>
          </w:p>
        </w:tc>
      </w:tr>
      <w:tr w:rsidR="00160641" w14:paraId="6EB650D8" w14:textId="77777777" w:rsidTr="00FF42BF">
        <w:trPr>
          <w:trHeight w:val="102"/>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3E57F5E5" w14:textId="77777777" w:rsidR="00160641" w:rsidRDefault="00160641">
            <w:pPr>
              <w:rPr>
                <w:rFonts w:ascii="Calibri" w:hAnsi="Calibri" w:cs="Calibri"/>
                <w:color w:val="000000"/>
              </w:rPr>
            </w:pPr>
            <w:r>
              <w:rPr>
                <w:rFonts w:ascii="Calibri" w:hAnsi="Calibri" w:cs="Calibri"/>
                <w:color w:val="000000"/>
              </w:rPr>
              <w:t>Trade and catering</w:t>
            </w:r>
          </w:p>
        </w:tc>
        <w:tc>
          <w:tcPr>
            <w:tcW w:w="992" w:type="dxa"/>
            <w:tcBorders>
              <w:top w:val="nil"/>
              <w:left w:val="nil"/>
              <w:bottom w:val="single" w:sz="4" w:space="0" w:color="auto"/>
              <w:right w:val="single" w:sz="4" w:space="0" w:color="auto"/>
            </w:tcBorders>
            <w:shd w:val="clear" w:color="auto" w:fill="auto"/>
            <w:noWrap/>
            <w:vAlign w:val="bottom"/>
            <w:hideMark/>
          </w:tcPr>
          <w:p w14:paraId="4F8130D3" w14:textId="77777777" w:rsidR="00160641" w:rsidRDefault="00160641">
            <w:pPr>
              <w:jc w:val="right"/>
              <w:rPr>
                <w:rFonts w:ascii="Calibri" w:hAnsi="Calibri" w:cs="Calibri"/>
                <w:color w:val="000000"/>
              </w:rPr>
            </w:pPr>
            <w:r>
              <w:rPr>
                <w:rFonts w:ascii="Calibri" w:hAnsi="Calibri" w:cs="Calibri"/>
                <w:color w:val="000000"/>
              </w:rPr>
              <w:t>33,60%</w:t>
            </w:r>
          </w:p>
        </w:tc>
        <w:tc>
          <w:tcPr>
            <w:tcW w:w="1134" w:type="dxa"/>
            <w:tcBorders>
              <w:top w:val="nil"/>
              <w:left w:val="nil"/>
              <w:bottom w:val="single" w:sz="4" w:space="0" w:color="auto"/>
              <w:right w:val="single" w:sz="4" w:space="0" w:color="auto"/>
            </w:tcBorders>
            <w:shd w:val="clear" w:color="auto" w:fill="auto"/>
            <w:noWrap/>
            <w:vAlign w:val="bottom"/>
            <w:hideMark/>
          </w:tcPr>
          <w:p w14:paraId="2A3AF84E" w14:textId="77777777" w:rsidR="00160641" w:rsidRDefault="00160641">
            <w:pPr>
              <w:jc w:val="right"/>
              <w:rPr>
                <w:rFonts w:ascii="Calibri" w:hAnsi="Calibri" w:cs="Calibri"/>
                <w:color w:val="000000"/>
              </w:rPr>
            </w:pPr>
            <w:r>
              <w:rPr>
                <w:rFonts w:ascii="Calibri" w:hAnsi="Calibri" w:cs="Calibri"/>
                <w:color w:val="000000"/>
              </w:rPr>
              <w:t>43,20%</w:t>
            </w:r>
          </w:p>
        </w:tc>
        <w:tc>
          <w:tcPr>
            <w:tcW w:w="992" w:type="dxa"/>
            <w:tcBorders>
              <w:top w:val="nil"/>
              <w:left w:val="nil"/>
              <w:bottom w:val="single" w:sz="4" w:space="0" w:color="auto"/>
              <w:right w:val="single" w:sz="4" w:space="0" w:color="auto"/>
            </w:tcBorders>
            <w:shd w:val="clear" w:color="auto" w:fill="auto"/>
            <w:noWrap/>
            <w:vAlign w:val="bottom"/>
            <w:hideMark/>
          </w:tcPr>
          <w:p w14:paraId="33548029" w14:textId="77777777" w:rsidR="00160641" w:rsidRDefault="00160641">
            <w:pPr>
              <w:jc w:val="right"/>
              <w:rPr>
                <w:rFonts w:ascii="Calibri" w:hAnsi="Calibri" w:cs="Calibri"/>
                <w:color w:val="000000"/>
              </w:rPr>
            </w:pPr>
            <w:r>
              <w:rPr>
                <w:rFonts w:ascii="Calibri" w:hAnsi="Calibri" w:cs="Calibri"/>
                <w:color w:val="000000"/>
              </w:rPr>
              <w:t>37,50%</w:t>
            </w:r>
          </w:p>
        </w:tc>
        <w:tc>
          <w:tcPr>
            <w:tcW w:w="1134" w:type="dxa"/>
            <w:tcBorders>
              <w:top w:val="nil"/>
              <w:left w:val="nil"/>
              <w:bottom w:val="single" w:sz="4" w:space="0" w:color="auto"/>
              <w:right w:val="single" w:sz="4" w:space="0" w:color="auto"/>
            </w:tcBorders>
            <w:shd w:val="clear" w:color="auto" w:fill="auto"/>
            <w:noWrap/>
            <w:vAlign w:val="bottom"/>
            <w:hideMark/>
          </w:tcPr>
          <w:p w14:paraId="4BC564BC" w14:textId="77777777" w:rsidR="00160641" w:rsidRDefault="00160641">
            <w:pPr>
              <w:jc w:val="right"/>
              <w:rPr>
                <w:rFonts w:ascii="Calibri" w:hAnsi="Calibri" w:cs="Calibri"/>
                <w:color w:val="000000"/>
              </w:rPr>
            </w:pPr>
            <w:r>
              <w:rPr>
                <w:rFonts w:ascii="Calibri" w:hAnsi="Calibri" w:cs="Calibri"/>
                <w:color w:val="000000"/>
              </w:rPr>
              <w:t>18,90%</w:t>
            </w:r>
          </w:p>
        </w:tc>
      </w:tr>
      <w:tr w:rsidR="00160641" w14:paraId="4C41E140" w14:textId="77777777" w:rsidTr="009F2AF5">
        <w:trPr>
          <w:trHeight w:val="320"/>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6348526C" w14:textId="77777777" w:rsidR="00160641" w:rsidRDefault="00160641">
            <w:pPr>
              <w:rPr>
                <w:rFonts w:ascii="Calibri" w:hAnsi="Calibri" w:cs="Calibri"/>
                <w:color w:val="000000"/>
              </w:rPr>
            </w:pPr>
            <w:r>
              <w:rPr>
                <w:rFonts w:ascii="Calibri" w:hAnsi="Calibri" w:cs="Calibri"/>
                <w:color w:val="000000"/>
              </w:rPr>
              <w:t>Personal and Public Services</w:t>
            </w:r>
          </w:p>
        </w:tc>
        <w:tc>
          <w:tcPr>
            <w:tcW w:w="992" w:type="dxa"/>
            <w:tcBorders>
              <w:top w:val="nil"/>
              <w:left w:val="nil"/>
              <w:bottom w:val="single" w:sz="4" w:space="0" w:color="auto"/>
              <w:right w:val="single" w:sz="4" w:space="0" w:color="auto"/>
            </w:tcBorders>
            <w:shd w:val="clear" w:color="auto" w:fill="auto"/>
            <w:noWrap/>
            <w:vAlign w:val="bottom"/>
            <w:hideMark/>
          </w:tcPr>
          <w:p w14:paraId="688EDF0F" w14:textId="77777777" w:rsidR="00160641" w:rsidRDefault="00160641">
            <w:pPr>
              <w:jc w:val="right"/>
              <w:rPr>
                <w:rFonts w:ascii="Calibri" w:hAnsi="Calibri" w:cs="Calibri"/>
                <w:color w:val="000000"/>
              </w:rPr>
            </w:pPr>
            <w:r>
              <w:rPr>
                <w:rFonts w:ascii="Calibri" w:hAnsi="Calibri" w:cs="Calibri"/>
                <w:color w:val="000000"/>
              </w:rPr>
              <w:t>14,20%</w:t>
            </w:r>
          </w:p>
        </w:tc>
        <w:tc>
          <w:tcPr>
            <w:tcW w:w="1134" w:type="dxa"/>
            <w:tcBorders>
              <w:top w:val="nil"/>
              <w:left w:val="nil"/>
              <w:bottom w:val="single" w:sz="4" w:space="0" w:color="auto"/>
              <w:right w:val="single" w:sz="4" w:space="0" w:color="auto"/>
            </w:tcBorders>
            <w:shd w:val="clear" w:color="auto" w:fill="auto"/>
            <w:noWrap/>
            <w:vAlign w:val="bottom"/>
            <w:hideMark/>
          </w:tcPr>
          <w:p w14:paraId="4C103CE2" w14:textId="77777777" w:rsidR="00160641" w:rsidRDefault="00160641">
            <w:pPr>
              <w:jc w:val="right"/>
              <w:rPr>
                <w:rFonts w:ascii="Calibri" w:hAnsi="Calibri" w:cs="Calibri"/>
                <w:color w:val="000000"/>
              </w:rPr>
            </w:pPr>
            <w:r>
              <w:rPr>
                <w:rFonts w:ascii="Calibri" w:hAnsi="Calibri" w:cs="Calibri"/>
                <w:color w:val="000000"/>
              </w:rPr>
              <w:t>10,70%</w:t>
            </w:r>
          </w:p>
        </w:tc>
        <w:tc>
          <w:tcPr>
            <w:tcW w:w="992" w:type="dxa"/>
            <w:tcBorders>
              <w:top w:val="nil"/>
              <w:left w:val="nil"/>
              <w:bottom w:val="single" w:sz="4" w:space="0" w:color="auto"/>
              <w:right w:val="single" w:sz="4" w:space="0" w:color="auto"/>
            </w:tcBorders>
            <w:shd w:val="clear" w:color="auto" w:fill="auto"/>
            <w:noWrap/>
            <w:vAlign w:val="bottom"/>
            <w:hideMark/>
          </w:tcPr>
          <w:p w14:paraId="25FC7C4D" w14:textId="77777777" w:rsidR="00160641" w:rsidRDefault="00160641">
            <w:pPr>
              <w:jc w:val="right"/>
              <w:rPr>
                <w:rFonts w:ascii="Calibri" w:hAnsi="Calibri" w:cs="Calibri"/>
                <w:color w:val="000000"/>
              </w:rPr>
            </w:pPr>
            <w:r>
              <w:rPr>
                <w:rFonts w:ascii="Calibri" w:hAnsi="Calibri" w:cs="Calibri"/>
                <w:color w:val="000000"/>
              </w:rPr>
              <w:t>6,90%</w:t>
            </w:r>
          </w:p>
        </w:tc>
        <w:tc>
          <w:tcPr>
            <w:tcW w:w="1134" w:type="dxa"/>
            <w:tcBorders>
              <w:top w:val="nil"/>
              <w:left w:val="nil"/>
              <w:bottom w:val="single" w:sz="4" w:space="0" w:color="auto"/>
              <w:right w:val="single" w:sz="4" w:space="0" w:color="auto"/>
            </w:tcBorders>
            <w:shd w:val="clear" w:color="auto" w:fill="auto"/>
            <w:noWrap/>
            <w:vAlign w:val="bottom"/>
            <w:hideMark/>
          </w:tcPr>
          <w:p w14:paraId="62395369" w14:textId="77777777" w:rsidR="00160641" w:rsidRDefault="00160641">
            <w:pPr>
              <w:jc w:val="right"/>
              <w:rPr>
                <w:rFonts w:ascii="Calibri" w:hAnsi="Calibri" w:cs="Calibri"/>
                <w:color w:val="000000"/>
              </w:rPr>
            </w:pPr>
            <w:r>
              <w:rPr>
                <w:rFonts w:ascii="Calibri" w:hAnsi="Calibri" w:cs="Calibri"/>
                <w:color w:val="000000"/>
              </w:rPr>
              <w:t>10,20%</w:t>
            </w:r>
          </w:p>
        </w:tc>
      </w:tr>
      <w:tr w:rsidR="00160641" w14:paraId="39F5677C" w14:textId="77777777" w:rsidTr="009F2AF5">
        <w:trPr>
          <w:trHeight w:val="320"/>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166B22A1" w14:textId="77777777" w:rsidR="00160641" w:rsidRDefault="00160641">
            <w:pPr>
              <w:rPr>
                <w:rFonts w:ascii="Calibri" w:hAnsi="Calibri" w:cs="Calibri"/>
                <w:color w:val="000000"/>
              </w:rPr>
            </w:pPr>
            <w:r>
              <w:rPr>
                <w:rFonts w:ascii="Calibri" w:hAnsi="Calibri" w:cs="Calibri"/>
                <w:color w:val="000000"/>
              </w:rPr>
              <w:t>Other sectors</w:t>
            </w:r>
          </w:p>
        </w:tc>
        <w:tc>
          <w:tcPr>
            <w:tcW w:w="992" w:type="dxa"/>
            <w:tcBorders>
              <w:top w:val="nil"/>
              <w:left w:val="nil"/>
              <w:bottom w:val="single" w:sz="4" w:space="0" w:color="auto"/>
              <w:right w:val="single" w:sz="4" w:space="0" w:color="auto"/>
            </w:tcBorders>
            <w:shd w:val="clear" w:color="auto" w:fill="auto"/>
            <w:noWrap/>
            <w:vAlign w:val="bottom"/>
            <w:hideMark/>
          </w:tcPr>
          <w:p w14:paraId="271C2DD1" w14:textId="77777777" w:rsidR="00160641" w:rsidRDefault="00160641">
            <w:pPr>
              <w:jc w:val="right"/>
              <w:rPr>
                <w:rFonts w:ascii="Calibri" w:hAnsi="Calibri" w:cs="Calibri"/>
                <w:color w:val="000000"/>
              </w:rPr>
            </w:pPr>
            <w:r>
              <w:rPr>
                <w:rFonts w:ascii="Calibri" w:hAnsi="Calibri" w:cs="Calibri"/>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14:paraId="7F166EA8" w14:textId="77777777" w:rsidR="00160641" w:rsidRDefault="00160641">
            <w:pPr>
              <w:jc w:val="right"/>
              <w:rPr>
                <w:rFonts w:ascii="Calibri" w:hAnsi="Calibri" w:cs="Calibri"/>
                <w:color w:val="000000"/>
              </w:rPr>
            </w:pPr>
            <w:r>
              <w:rPr>
                <w:rFonts w:ascii="Calibri" w:hAnsi="Calibri" w:cs="Calibri"/>
                <w:color w:val="000000"/>
              </w:rPr>
              <w:t>25,60%</w:t>
            </w:r>
          </w:p>
        </w:tc>
        <w:tc>
          <w:tcPr>
            <w:tcW w:w="992" w:type="dxa"/>
            <w:tcBorders>
              <w:top w:val="nil"/>
              <w:left w:val="nil"/>
              <w:bottom w:val="single" w:sz="4" w:space="0" w:color="auto"/>
              <w:right w:val="single" w:sz="4" w:space="0" w:color="auto"/>
            </w:tcBorders>
            <w:shd w:val="clear" w:color="auto" w:fill="auto"/>
            <w:noWrap/>
            <w:vAlign w:val="bottom"/>
            <w:hideMark/>
          </w:tcPr>
          <w:p w14:paraId="1AA02B07" w14:textId="77777777" w:rsidR="00160641" w:rsidRDefault="00160641">
            <w:pPr>
              <w:jc w:val="right"/>
              <w:rPr>
                <w:rFonts w:ascii="Calibri" w:hAnsi="Calibri" w:cs="Calibri"/>
                <w:color w:val="000000"/>
              </w:rPr>
            </w:pPr>
            <w:r>
              <w:rPr>
                <w:rFonts w:ascii="Calibri" w:hAnsi="Calibri" w:cs="Calibri"/>
                <w:color w:val="000000"/>
              </w:rPr>
              <w:t>37,90%</w:t>
            </w:r>
          </w:p>
        </w:tc>
        <w:tc>
          <w:tcPr>
            <w:tcW w:w="1134" w:type="dxa"/>
            <w:tcBorders>
              <w:top w:val="nil"/>
              <w:left w:val="nil"/>
              <w:bottom w:val="single" w:sz="4" w:space="0" w:color="auto"/>
              <w:right w:val="single" w:sz="4" w:space="0" w:color="auto"/>
            </w:tcBorders>
            <w:shd w:val="clear" w:color="auto" w:fill="auto"/>
            <w:noWrap/>
            <w:vAlign w:val="bottom"/>
            <w:hideMark/>
          </w:tcPr>
          <w:p w14:paraId="0D9F7919" w14:textId="77777777" w:rsidR="00160641" w:rsidRDefault="00160641">
            <w:pPr>
              <w:jc w:val="right"/>
              <w:rPr>
                <w:rFonts w:ascii="Calibri" w:hAnsi="Calibri" w:cs="Calibri"/>
                <w:color w:val="000000"/>
              </w:rPr>
            </w:pPr>
            <w:r>
              <w:rPr>
                <w:rFonts w:ascii="Calibri" w:hAnsi="Calibri" w:cs="Calibri"/>
                <w:color w:val="000000"/>
              </w:rPr>
              <w:t>54,40%</w:t>
            </w:r>
          </w:p>
        </w:tc>
      </w:tr>
      <w:tr w:rsidR="00160641" w14:paraId="7F24950D" w14:textId="77777777" w:rsidTr="009F2AF5">
        <w:trPr>
          <w:trHeight w:val="320"/>
          <w:jc w:val="center"/>
        </w:trPr>
        <w:tc>
          <w:tcPr>
            <w:tcW w:w="4385" w:type="dxa"/>
            <w:tcBorders>
              <w:top w:val="nil"/>
              <w:left w:val="single" w:sz="4" w:space="0" w:color="auto"/>
              <w:bottom w:val="single" w:sz="4" w:space="0" w:color="auto"/>
              <w:right w:val="single" w:sz="4" w:space="0" w:color="auto"/>
            </w:tcBorders>
            <w:shd w:val="clear" w:color="auto" w:fill="auto"/>
            <w:noWrap/>
            <w:vAlign w:val="bottom"/>
            <w:hideMark/>
          </w:tcPr>
          <w:p w14:paraId="168FCAC1" w14:textId="77777777" w:rsidR="00160641" w:rsidRDefault="00160641">
            <w:pPr>
              <w:rPr>
                <w:rFonts w:ascii="Calibri" w:hAnsi="Calibri" w:cs="Calibri"/>
                <w:color w:val="000000"/>
              </w:rPr>
            </w:pPr>
            <w:r>
              <w:rPr>
                <w:rFonts w:ascii="Calibri" w:hAnsi="Calibri" w:cs="Calibri"/>
                <w:color w:val="000000"/>
              </w:rPr>
              <w:t>Total</w:t>
            </w:r>
          </w:p>
        </w:tc>
        <w:tc>
          <w:tcPr>
            <w:tcW w:w="992" w:type="dxa"/>
            <w:tcBorders>
              <w:top w:val="nil"/>
              <w:left w:val="nil"/>
              <w:bottom w:val="single" w:sz="4" w:space="0" w:color="auto"/>
              <w:right w:val="single" w:sz="4" w:space="0" w:color="auto"/>
            </w:tcBorders>
            <w:shd w:val="clear" w:color="auto" w:fill="auto"/>
            <w:noWrap/>
            <w:vAlign w:val="bottom"/>
            <w:hideMark/>
          </w:tcPr>
          <w:p w14:paraId="25620543" w14:textId="77777777" w:rsidR="00160641" w:rsidRDefault="00160641">
            <w:pPr>
              <w:jc w:val="right"/>
              <w:rPr>
                <w:rFonts w:ascii="Calibri" w:hAnsi="Calibri" w:cs="Calibri"/>
                <w:color w:val="000000"/>
              </w:rPr>
            </w:pPr>
            <w:r>
              <w:rPr>
                <w:rFonts w:ascii="Calibri" w:hAnsi="Calibri" w:cs="Calibri"/>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3C70A931" w14:textId="77777777" w:rsidR="00160641" w:rsidRDefault="00160641">
            <w:pPr>
              <w:jc w:val="right"/>
              <w:rPr>
                <w:rFonts w:ascii="Calibri" w:hAnsi="Calibri" w:cs="Calibri"/>
                <w:color w:val="000000"/>
              </w:rPr>
            </w:pPr>
            <w:r>
              <w:rPr>
                <w:rFonts w:ascii="Calibri" w:hAnsi="Calibri" w:cs="Calibri"/>
                <w:color w:val="000000"/>
              </w:rPr>
              <w:t>100%</w:t>
            </w:r>
          </w:p>
        </w:tc>
        <w:tc>
          <w:tcPr>
            <w:tcW w:w="992" w:type="dxa"/>
            <w:tcBorders>
              <w:top w:val="nil"/>
              <w:left w:val="nil"/>
              <w:bottom w:val="single" w:sz="4" w:space="0" w:color="auto"/>
              <w:right w:val="single" w:sz="4" w:space="0" w:color="auto"/>
            </w:tcBorders>
            <w:shd w:val="clear" w:color="auto" w:fill="auto"/>
            <w:noWrap/>
            <w:vAlign w:val="bottom"/>
            <w:hideMark/>
          </w:tcPr>
          <w:p w14:paraId="49178C13" w14:textId="77777777" w:rsidR="00160641" w:rsidRDefault="00160641">
            <w:pPr>
              <w:jc w:val="right"/>
              <w:rPr>
                <w:rFonts w:ascii="Calibri" w:hAnsi="Calibri" w:cs="Calibri"/>
                <w:color w:val="000000"/>
              </w:rPr>
            </w:pPr>
            <w:r>
              <w:rPr>
                <w:rFonts w:ascii="Calibri" w:hAnsi="Calibri" w:cs="Calibri"/>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2765957D" w14:textId="77777777" w:rsidR="00160641" w:rsidRDefault="00160641">
            <w:pPr>
              <w:jc w:val="right"/>
              <w:rPr>
                <w:rFonts w:ascii="Calibri" w:hAnsi="Calibri" w:cs="Calibri"/>
                <w:color w:val="000000"/>
              </w:rPr>
            </w:pPr>
            <w:r>
              <w:rPr>
                <w:rFonts w:ascii="Calibri" w:hAnsi="Calibri" w:cs="Calibri"/>
                <w:color w:val="000000"/>
              </w:rPr>
              <w:t>100%</w:t>
            </w:r>
          </w:p>
        </w:tc>
      </w:tr>
    </w:tbl>
    <w:p w14:paraId="6DE2EC84" w14:textId="28347D01" w:rsidR="00087B0C" w:rsidRPr="00144AB5" w:rsidRDefault="00DB3FD3" w:rsidP="00C126A1">
      <w:pPr>
        <w:jc w:val="both"/>
        <w:rPr>
          <w:sz w:val="22"/>
          <w:szCs w:val="22"/>
        </w:rPr>
      </w:pPr>
      <w:r w:rsidRPr="00144AB5">
        <w:rPr>
          <w:sz w:val="22"/>
          <w:szCs w:val="22"/>
        </w:rPr>
        <w:lastRenderedPageBreak/>
        <w:t xml:space="preserve">Source: </w:t>
      </w:r>
      <w:r w:rsidR="00EE506B" w:rsidRPr="00144AB5">
        <w:rPr>
          <w:sz w:val="22"/>
          <w:szCs w:val="22"/>
        </w:rPr>
        <w:t>Ministry of Finance, National Statistical Agency</w:t>
      </w:r>
      <w:r w:rsidR="00533136" w:rsidRPr="00144AB5">
        <w:rPr>
          <w:sz w:val="22"/>
          <w:szCs w:val="22"/>
        </w:rPr>
        <w:t xml:space="preserve">, IMF Country </w:t>
      </w:r>
      <w:r w:rsidR="00C126A1" w:rsidRPr="00144AB5">
        <w:rPr>
          <w:sz w:val="22"/>
          <w:szCs w:val="22"/>
        </w:rPr>
        <w:t>Report 98/14</w:t>
      </w:r>
      <w:r w:rsidR="000B2730" w:rsidRPr="00144AB5">
        <w:rPr>
          <w:sz w:val="22"/>
          <w:szCs w:val="22"/>
        </w:rPr>
        <w:t xml:space="preserve">. </w:t>
      </w:r>
    </w:p>
    <w:p w14:paraId="29CF80E2" w14:textId="43605B51" w:rsidR="00CC3D04" w:rsidRPr="00144AB5" w:rsidRDefault="00CC3D04" w:rsidP="00200D8E">
      <w:pPr>
        <w:spacing w:line="360" w:lineRule="auto"/>
        <w:jc w:val="both"/>
      </w:pPr>
    </w:p>
    <w:p w14:paraId="20E33E77" w14:textId="77777777" w:rsidR="001C2857" w:rsidRPr="00144AB5" w:rsidRDefault="001E1925" w:rsidP="001C2857">
      <w:pPr>
        <w:spacing w:line="360" w:lineRule="auto"/>
        <w:ind w:firstLine="360"/>
        <w:jc w:val="both"/>
      </w:pPr>
      <w:r w:rsidRPr="00FF42BF">
        <w:t>In the next</w:t>
      </w:r>
      <w:r w:rsidRPr="00144AB5">
        <w:t xml:space="preserve"> phase, the state focused on implementing sectoral reforms, including agriculture, transport, oil, and coal. As a result, in 1997, the government reduced its role in the agricultural sector. This allowed the emergence of many independent enterprises to increase production and create competition. In the oil and coal sectors, the state focused on privatizing enterprises and closing non-profitable ones. For example, in 1997, the government closed eight non-profitable coal enterprises in the Karaganda region. Measures to eliminate preferential tariffs have been taken in the transport sector, and transport infrastructure privatization has begun. In health and education, the state introduced private fee-based services that have allowed it to attract private investors and build new fee-based hospitals that will provide more modern technology and services for treating diseases. </w:t>
      </w:r>
    </w:p>
    <w:p w14:paraId="056A37E5" w14:textId="48582E38" w:rsidR="001E1925" w:rsidRPr="00144AB5" w:rsidRDefault="001E1925" w:rsidP="001C2857">
      <w:pPr>
        <w:spacing w:line="360" w:lineRule="auto"/>
        <w:ind w:firstLine="360"/>
        <w:jc w:val="both"/>
      </w:pPr>
      <w:r w:rsidRPr="00144AB5">
        <w:t xml:space="preserve">With regard to financial sector reforms, the government focused on banking supervision. Thus, the number of bank branches decreased by nearly 40%, improving sector stability. Moving to the banking system, it can be divided into four stages. The first phase was preparatory and started a few years before the main processes of banking system development. By the time of independence, the banking system consisted of six state banks: the State Bank, </w:t>
      </w:r>
      <w:proofErr w:type="spellStart"/>
      <w:r w:rsidRPr="00144AB5">
        <w:t>Vnesheconombank</w:t>
      </w:r>
      <w:proofErr w:type="spellEnd"/>
      <w:r w:rsidRPr="00144AB5">
        <w:t xml:space="preserve">, </w:t>
      </w:r>
      <w:proofErr w:type="spellStart"/>
      <w:r w:rsidRPr="00144AB5">
        <w:t>Promstroybank</w:t>
      </w:r>
      <w:proofErr w:type="spellEnd"/>
      <w:r w:rsidRPr="00144AB5">
        <w:t xml:space="preserve">, </w:t>
      </w:r>
      <w:proofErr w:type="spellStart"/>
      <w:r w:rsidRPr="00144AB5">
        <w:t>Agroprombank</w:t>
      </w:r>
      <w:proofErr w:type="spellEnd"/>
      <w:r w:rsidRPr="00144AB5">
        <w:t xml:space="preserve">, Credit Bank, and Sberbank. They were the basis for forming a two-tier system in Kazakhstan, as the first private commercial banks were created on their basis. The second phase (1992-1993) represented the growth of commercial banks under high inflation. Considering the fact that the banking system was just beginning to develop during this time, control from the State Bank was weak, and the requirements for the licensing procedure of the banks were minimal. These conditions created preconditions for the formation of one-day banks. Thus, if there were 72 in 1991, by 1992, there were more than 200. A significant event occurred in 1993 when the law "On the National Bank of the Republic of Kazakhstan" and "On banks and banking activities in the Republic of Kazakhstan" were adopted. In November 1993, the country exited the ruble zone, Soviet rubles were eliminated, and the national currency, the tenge, was introduced. The third phase (1994-2003) was the longest. The National Bank has tightened the requirements for opening banks, so that if the authorized capital was initially $500.000, it is now at least 2 billion tenge, approximately $15.5 million. The fourth period, which started in 2004, is </w:t>
      </w:r>
      <w:r w:rsidRPr="00144AB5">
        <w:lastRenderedPageBreak/>
        <w:t>considered a period of further development of the banking system of Kazakhstan and its integration into the world financial market</w:t>
      </w:r>
      <w:r w:rsidRPr="00F83E5B">
        <w:rPr>
          <w:rStyle w:val="ae"/>
          <w:shd w:val="clear" w:color="auto" w:fill="FFFFFF"/>
        </w:rPr>
        <w:footnoteReference w:id="21"/>
      </w:r>
      <w:r w:rsidRPr="00144AB5">
        <w:rPr>
          <w:rStyle w:val="ae"/>
          <w:shd w:val="clear" w:color="auto" w:fill="FFFFFF"/>
        </w:rPr>
        <w:t>.</w:t>
      </w:r>
      <w:r w:rsidR="008B0C62" w:rsidRPr="00144AB5">
        <w:rPr>
          <w:shd w:val="clear" w:color="auto" w:fill="FFFFFF"/>
        </w:rPr>
        <w:t xml:space="preserve"> </w:t>
      </w:r>
      <w:r w:rsidR="00B3580F" w:rsidRPr="00144AB5">
        <w:rPr>
          <w:shd w:val="clear" w:color="auto" w:fill="FFFFFF"/>
        </w:rPr>
        <w:t>For implementing monetary policy, the National Bank of Kazakhstan established the following main tasks: ensuring the functioning of payment systems, carrying out currency regulation and exchange control, and promoting the stability of the financial system.</w:t>
      </w:r>
    </w:p>
    <w:p w14:paraId="1E496E1C" w14:textId="697631E4" w:rsidR="001E1925" w:rsidRPr="00144AB5" w:rsidRDefault="001E1925" w:rsidP="001E1925">
      <w:pPr>
        <w:spacing w:line="360" w:lineRule="auto"/>
        <w:ind w:firstLine="360"/>
        <w:jc w:val="both"/>
        <w:rPr>
          <w:shd w:val="clear" w:color="auto" w:fill="FFFFFF"/>
          <w:vertAlign w:val="superscript"/>
        </w:rPr>
      </w:pPr>
      <w:r w:rsidRPr="00144AB5">
        <w:t>New laws were introduced concerning unfair competition, natural monopolies, and consumer protection. As a result of improved legislation to support direct investment, 13 contracts worth US$ 58 million were signed by the end of 1997</w:t>
      </w:r>
      <w:r w:rsidRPr="00F83E5B">
        <w:rPr>
          <w:rStyle w:val="ae"/>
          <w:shd w:val="clear" w:color="auto" w:fill="FFFFFF"/>
        </w:rPr>
        <w:footnoteReference w:id="22"/>
      </w:r>
      <w:r w:rsidRPr="00144AB5">
        <w:rPr>
          <w:rStyle w:val="ae"/>
          <w:shd w:val="clear" w:color="auto" w:fill="FFFFFF"/>
        </w:rPr>
        <w:t>.</w:t>
      </w:r>
      <w:r w:rsidR="007E4429" w:rsidRPr="00144AB5">
        <w:rPr>
          <w:shd w:val="clear" w:color="auto" w:fill="FFFFFF"/>
          <w:vertAlign w:val="superscript"/>
        </w:rPr>
        <w:t xml:space="preserve"> </w:t>
      </w:r>
      <w:r w:rsidRPr="00144AB5">
        <w:t xml:space="preserve">Big changes also occurred in the fiscal system. The collapse of the Soviet centralized income distribution system and the transition to a market economy contributed to this development. Most of the revenues in the first years of independence came to the state through taxes on the profits of privatized enterprises. Before 1990, taxes were not based on real profit. Instead, they were centrally planned norms. The prices of goods and services were set by the state in all areas; they were "centralized". The Union controlled most of the budget, excluding the opportunity to manage expenses. For instance, the Kazakh USSR was a net receiver of subsidies from the central Soviet budget. This means that if the country's republic-level budget had a deficit, it </w:t>
      </w:r>
      <w:r w:rsidRPr="00FF42BF">
        <w:t>was covered by Union transfers without loans and interest. In 1991, when republics began to hold back on the traditional upward revenue sharing, the Union’s subsidy to Kazakhstan dropped to under 7 percent of GDP</w:t>
      </w:r>
      <w:r w:rsidRPr="00FF42BF">
        <w:rPr>
          <w:rStyle w:val="ae"/>
          <w:shd w:val="clear" w:color="auto" w:fill="FFFFFF"/>
        </w:rPr>
        <w:footnoteReference w:id="23"/>
      </w:r>
      <w:r w:rsidRPr="00FF42BF">
        <w:rPr>
          <w:rStyle w:val="ae"/>
          <w:shd w:val="clear" w:color="auto" w:fill="FFFFFF"/>
        </w:rPr>
        <w:t>.</w:t>
      </w:r>
      <w:r w:rsidR="000B44D4" w:rsidRPr="00144AB5">
        <w:rPr>
          <w:shd w:val="clear" w:color="auto" w:fill="FFFFFF"/>
        </w:rPr>
        <w:t xml:space="preserve"> </w:t>
      </w:r>
    </w:p>
    <w:p w14:paraId="5AF08310" w14:textId="37F71E12" w:rsidR="007D11A6" w:rsidRPr="00144AB5" w:rsidRDefault="007D11A6" w:rsidP="001E1925">
      <w:pPr>
        <w:spacing w:line="360" w:lineRule="auto"/>
        <w:jc w:val="both"/>
        <w:rPr>
          <w:b/>
        </w:rPr>
      </w:pPr>
      <w:r w:rsidRPr="00144AB5">
        <w:rPr>
          <w:b/>
        </w:rPr>
        <w:t>Table 4. Government Financial Operations (% GDP)</w:t>
      </w:r>
    </w:p>
    <w:tbl>
      <w:tblPr>
        <w:tblW w:w="8364" w:type="dxa"/>
        <w:jc w:val="center"/>
        <w:tblLook w:val="04A0" w:firstRow="1" w:lastRow="0" w:firstColumn="1" w:lastColumn="0" w:noHBand="0" w:noVBand="1"/>
      </w:tblPr>
      <w:tblGrid>
        <w:gridCol w:w="3402"/>
        <w:gridCol w:w="1276"/>
        <w:gridCol w:w="1134"/>
        <w:gridCol w:w="1276"/>
        <w:gridCol w:w="1276"/>
      </w:tblGrid>
      <w:tr w:rsidR="009E0CAC" w14:paraId="30E773CB" w14:textId="77777777" w:rsidTr="003321FE">
        <w:trPr>
          <w:trHeight w:val="320"/>
          <w:jc w:val="center"/>
        </w:trPr>
        <w:tc>
          <w:tcPr>
            <w:tcW w:w="3402" w:type="dxa"/>
            <w:tcBorders>
              <w:top w:val="nil"/>
              <w:left w:val="nil"/>
              <w:bottom w:val="nil"/>
              <w:right w:val="nil"/>
            </w:tcBorders>
            <w:shd w:val="clear" w:color="auto" w:fill="auto"/>
            <w:noWrap/>
            <w:vAlign w:val="bottom"/>
            <w:hideMark/>
          </w:tcPr>
          <w:p w14:paraId="57E0EB55" w14:textId="77777777" w:rsidR="007D11A6" w:rsidRPr="00144AB5" w:rsidRDefault="007D11A6"/>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F2A5" w14:textId="77777777" w:rsidR="007D11A6" w:rsidRDefault="007D11A6" w:rsidP="009E0CAC">
            <w:pPr>
              <w:jc w:val="center"/>
              <w:rPr>
                <w:rFonts w:ascii="Calibri" w:hAnsi="Calibri" w:cs="Calibri"/>
                <w:color w:val="000000"/>
              </w:rPr>
            </w:pPr>
            <w:r>
              <w:rPr>
                <w:rFonts w:ascii="Calibri" w:hAnsi="Calibri" w:cs="Calibri"/>
                <w:color w:val="000000"/>
              </w:rPr>
              <w:t>1988</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1598AD2" w14:textId="77777777" w:rsidR="007D11A6" w:rsidRDefault="007D11A6" w:rsidP="009E0CAC">
            <w:pPr>
              <w:jc w:val="center"/>
              <w:rPr>
                <w:rFonts w:ascii="Calibri" w:hAnsi="Calibri" w:cs="Calibri"/>
                <w:color w:val="000000"/>
              </w:rPr>
            </w:pPr>
            <w:r>
              <w:rPr>
                <w:rFonts w:ascii="Calibri" w:hAnsi="Calibri" w:cs="Calibri"/>
                <w:color w:val="000000"/>
              </w:rPr>
              <w:t>1989</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32F5CD4" w14:textId="77777777" w:rsidR="007D11A6" w:rsidRDefault="007D11A6" w:rsidP="009E0CAC">
            <w:pPr>
              <w:jc w:val="center"/>
              <w:rPr>
                <w:rFonts w:ascii="Calibri" w:hAnsi="Calibri" w:cs="Calibri"/>
                <w:color w:val="000000"/>
              </w:rPr>
            </w:pPr>
            <w:r>
              <w:rPr>
                <w:rFonts w:ascii="Calibri" w:hAnsi="Calibri" w:cs="Calibri"/>
                <w:color w:val="000000"/>
              </w:rPr>
              <w:t>1990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B08EFE1" w14:textId="77777777" w:rsidR="007D11A6" w:rsidRDefault="007D11A6" w:rsidP="009E0CAC">
            <w:pPr>
              <w:jc w:val="center"/>
              <w:rPr>
                <w:rFonts w:ascii="Calibri" w:hAnsi="Calibri" w:cs="Calibri"/>
                <w:color w:val="000000"/>
              </w:rPr>
            </w:pPr>
            <w:r>
              <w:rPr>
                <w:rFonts w:ascii="Calibri" w:hAnsi="Calibri" w:cs="Calibri"/>
                <w:color w:val="000000"/>
              </w:rPr>
              <w:t>1991</w:t>
            </w:r>
          </w:p>
        </w:tc>
      </w:tr>
      <w:tr w:rsidR="009E0CAC" w14:paraId="6DAB8A1C" w14:textId="77777777" w:rsidTr="003321FE">
        <w:trPr>
          <w:trHeight w:val="320"/>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1F030" w14:textId="77777777" w:rsidR="007D11A6" w:rsidRDefault="007D11A6">
            <w:pPr>
              <w:rPr>
                <w:rFonts w:ascii="Calibri" w:hAnsi="Calibri" w:cs="Calibri"/>
                <w:color w:val="000000"/>
              </w:rPr>
            </w:pPr>
            <w:r>
              <w:rPr>
                <w:rFonts w:ascii="Calibri" w:hAnsi="Calibri" w:cs="Calibri"/>
                <w:color w:val="000000"/>
              </w:rPr>
              <w:t>Total revenue</w:t>
            </w:r>
          </w:p>
        </w:tc>
        <w:tc>
          <w:tcPr>
            <w:tcW w:w="1276" w:type="dxa"/>
            <w:tcBorders>
              <w:top w:val="nil"/>
              <w:left w:val="nil"/>
              <w:bottom w:val="single" w:sz="4" w:space="0" w:color="auto"/>
              <w:right w:val="single" w:sz="4" w:space="0" w:color="auto"/>
            </w:tcBorders>
            <w:shd w:val="clear" w:color="auto" w:fill="auto"/>
            <w:noWrap/>
            <w:vAlign w:val="bottom"/>
            <w:hideMark/>
          </w:tcPr>
          <w:p w14:paraId="7478392D" w14:textId="77777777" w:rsidR="007D11A6" w:rsidRDefault="007D11A6" w:rsidP="009E0CAC">
            <w:pPr>
              <w:jc w:val="center"/>
              <w:rPr>
                <w:rFonts w:ascii="Calibri" w:hAnsi="Calibri" w:cs="Calibri"/>
                <w:color w:val="000000"/>
              </w:rPr>
            </w:pPr>
            <w:r>
              <w:rPr>
                <w:rFonts w:ascii="Calibri" w:hAnsi="Calibri" w:cs="Calibri"/>
                <w:color w:val="000000"/>
              </w:rPr>
              <w:t>25,8</w:t>
            </w:r>
          </w:p>
        </w:tc>
        <w:tc>
          <w:tcPr>
            <w:tcW w:w="1134" w:type="dxa"/>
            <w:tcBorders>
              <w:top w:val="nil"/>
              <w:left w:val="nil"/>
              <w:bottom w:val="single" w:sz="4" w:space="0" w:color="auto"/>
              <w:right w:val="single" w:sz="4" w:space="0" w:color="auto"/>
            </w:tcBorders>
            <w:shd w:val="clear" w:color="auto" w:fill="auto"/>
            <w:noWrap/>
            <w:vAlign w:val="bottom"/>
            <w:hideMark/>
          </w:tcPr>
          <w:p w14:paraId="43366816" w14:textId="77777777" w:rsidR="007D11A6" w:rsidRDefault="007D11A6" w:rsidP="009E0CAC">
            <w:pPr>
              <w:jc w:val="center"/>
              <w:rPr>
                <w:rFonts w:ascii="Calibri" w:hAnsi="Calibri" w:cs="Calibri"/>
                <w:color w:val="000000"/>
              </w:rPr>
            </w:pPr>
            <w:r>
              <w:rPr>
                <w:rFonts w:ascii="Calibri" w:hAnsi="Calibri" w:cs="Calibri"/>
                <w:color w:val="000000"/>
              </w:rPr>
              <w:t>25,7</w:t>
            </w:r>
          </w:p>
        </w:tc>
        <w:tc>
          <w:tcPr>
            <w:tcW w:w="1276" w:type="dxa"/>
            <w:tcBorders>
              <w:top w:val="nil"/>
              <w:left w:val="nil"/>
              <w:bottom w:val="single" w:sz="4" w:space="0" w:color="auto"/>
              <w:right w:val="single" w:sz="4" w:space="0" w:color="auto"/>
            </w:tcBorders>
            <w:shd w:val="clear" w:color="auto" w:fill="auto"/>
            <w:noWrap/>
            <w:vAlign w:val="bottom"/>
            <w:hideMark/>
          </w:tcPr>
          <w:p w14:paraId="1943EDD5" w14:textId="77777777" w:rsidR="007D11A6" w:rsidRDefault="007D11A6" w:rsidP="009E0CAC">
            <w:pPr>
              <w:jc w:val="center"/>
              <w:rPr>
                <w:rFonts w:ascii="Calibri" w:hAnsi="Calibri" w:cs="Calibri"/>
                <w:color w:val="000000"/>
              </w:rPr>
            </w:pPr>
            <w:r>
              <w:rPr>
                <w:rFonts w:ascii="Calibri" w:hAnsi="Calibri" w:cs="Calibri"/>
                <w:color w:val="000000"/>
              </w:rPr>
              <w:t>22,8</w:t>
            </w:r>
          </w:p>
        </w:tc>
        <w:tc>
          <w:tcPr>
            <w:tcW w:w="1276" w:type="dxa"/>
            <w:tcBorders>
              <w:top w:val="nil"/>
              <w:left w:val="nil"/>
              <w:bottom w:val="single" w:sz="4" w:space="0" w:color="auto"/>
              <w:right w:val="single" w:sz="4" w:space="0" w:color="auto"/>
            </w:tcBorders>
            <w:shd w:val="clear" w:color="auto" w:fill="auto"/>
            <w:noWrap/>
            <w:vAlign w:val="bottom"/>
            <w:hideMark/>
          </w:tcPr>
          <w:p w14:paraId="5E07D60D" w14:textId="77777777" w:rsidR="007D11A6" w:rsidRDefault="007D11A6" w:rsidP="009E0CAC">
            <w:pPr>
              <w:jc w:val="center"/>
              <w:rPr>
                <w:rFonts w:ascii="Calibri" w:hAnsi="Calibri" w:cs="Calibri"/>
                <w:color w:val="000000"/>
              </w:rPr>
            </w:pPr>
            <w:r>
              <w:rPr>
                <w:rFonts w:ascii="Calibri" w:hAnsi="Calibri" w:cs="Calibri"/>
                <w:color w:val="000000"/>
              </w:rPr>
              <w:t>21,1</w:t>
            </w:r>
          </w:p>
        </w:tc>
      </w:tr>
      <w:tr w:rsidR="009E0CAC" w14:paraId="1C7C0F62" w14:textId="77777777" w:rsidTr="003321FE">
        <w:trPr>
          <w:trHeight w:val="320"/>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68DE48C2" w14:textId="77777777" w:rsidR="007D11A6" w:rsidRDefault="007D11A6">
            <w:pPr>
              <w:rPr>
                <w:rFonts w:ascii="Calibri" w:hAnsi="Calibri" w:cs="Calibri"/>
                <w:color w:val="000000"/>
              </w:rPr>
            </w:pPr>
            <w:r>
              <w:rPr>
                <w:rFonts w:ascii="Calibri" w:hAnsi="Calibri" w:cs="Calibri"/>
                <w:color w:val="000000"/>
              </w:rPr>
              <w:t>Total expenditures</w:t>
            </w:r>
          </w:p>
        </w:tc>
        <w:tc>
          <w:tcPr>
            <w:tcW w:w="1276" w:type="dxa"/>
            <w:tcBorders>
              <w:top w:val="nil"/>
              <w:left w:val="nil"/>
              <w:bottom w:val="single" w:sz="4" w:space="0" w:color="auto"/>
              <w:right w:val="single" w:sz="4" w:space="0" w:color="auto"/>
            </w:tcBorders>
            <w:shd w:val="clear" w:color="auto" w:fill="auto"/>
            <w:noWrap/>
            <w:vAlign w:val="bottom"/>
            <w:hideMark/>
          </w:tcPr>
          <w:p w14:paraId="329A2C98" w14:textId="77777777" w:rsidR="007D11A6" w:rsidRDefault="007D11A6" w:rsidP="009E0CAC">
            <w:pPr>
              <w:jc w:val="center"/>
              <w:rPr>
                <w:rFonts w:ascii="Calibri" w:hAnsi="Calibri" w:cs="Calibri"/>
                <w:color w:val="000000"/>
              </w:rPr>
            </w:pPr>
            <w:r>
              <w:rPr>
                <w:rFonts w:ascii="Calibri" w:hAnsi="Calibri" w:cs="Calibri"/>
                <w:color w:val="000000"/>
              </w:rPr>
              <w:t>34,6</w:t>
            </w:r>
          </w:p>
        </w:tc>
        <w:tc>
          <w:tcPr>
            <w:tcW w:w="1134" w:type="dxa"/>
            <w:tcBorders>
              <w:top w:val="nil"/>
              <w:left w:val="nil"/>
              <w:bottom w:val="single" w:sz="4" w:space="0" w:color="auto"/>
              <w:right w:val="single" w:sz="4" w:space="0" w:color="auto"/>
            </w:tcBorders>
            <w:shd w:val="clear" w:color="auto" w:fill="auto"/>
            <w:noWrap/>
            <w:vAlign w:val="bottom"/>
            <w:hideMark/>
          </w:tcPr>
          <w:p w14:paraId="5FAD8F32" w14:textId="77777777" w:rsidR="007D11A6" w:rsidRDefault="007D11A6" w:rsidP="009E0CAC">
            <w:pPr>
              <w:jc w:val="center"/>
              <w:rPr>
                <w:rFonts w:ascii="Calibri" w:hAnsi="Calibri" w:cs="Calibri"/>
                <w:color w:val="000000"/>
              </w:rPr>
            </w:pPr>
            <w:r>
              <w:rPr>
                <w:rFonts w:ascii="Calibri" w:hAnsi="Calibri" w:cs="Calibri"/>
                <w:color w:val="000000"/>
              </w:rPr>
              <w:t>36,6</w:t>
            </w:r>
          </w:p>
        </w:tc>
        <w:tc>
          <w:tcPr>
            <w:tcW w:w="1276" w:type="dxa"/>
            <w:tcBorders>
              <w:top w:val="nil"/>
              <w:left w:val="nil"/>
              <w:bottom w:val="single" w:sz="4" w:space="0" w:color="auto"/>
              <w:right w:val="single" w:sz="4" w:space="0" w:color="auto"/>
            </w:tcBorders>
            <w:shd w:val="clear" w:color="auto" w:fill="auto"/>
            <w:noWrap/>
            <w:vAlign w:val="bottom"/>
            <w:hideMark/>
          </w:tcPr>
          <w:p w14:paraId="205B520C" w14:textId="77777777" w:rsidR="007D11A6" w:rsidRDefault="007D11A6" w:rsidP="009E0CAC">
            <w:pPr>
              <w:jc w:val="center"/>
              <w:rPr>
                <w:rFonts w:ascii="Calibri" w:hAnsi="Calibri" w:cs="Calibri"/>
                <w:color w:val="000000"/>
              </w:rPr>
            </w:pPr>
            <w:r>
              <w:rPr>
                <w:rFonts w:ascii="Calibri" w:hAnsi="Calibri" w:cs="Calibri"/>
                <w:color w:val="000000"/>
              </w:rPr>
              <w:t>33,4</w:t>
            </w:r>
          </w:p>
        </w:tc>
        <w:tc>
          <w:tcPr>
            <w:tcW w:w="1276" w:type="dxa"/>
            <w:tcBorders>
              <w:top w:val="nil"/>
              <w:left w:val="nil"/>
              <w:bottom w:val="single" w:sz="4" w:space="0" w:color="auto"/>
              <w:right w:val="single" w:sz="4" w:space="0" w:color="auto"/>
            </w:tcBorders>
            <w:shd w:val="clear" w:color="auto" w:fill="auto"/>
            <w:noWrap/>
            <w:vAlign w:val="bottom"/>
            <w:hideMark/>
          </w:tcPr>
          <w:p w14:paraId="6A676AE0" w14:textId="77777777" w:rsidR="007D11A6" w:rsidRDefault="007D11A6" w:rsidP="009E0CAC">
            <w:pPr>
              <w:jc w:val="center"/>
              <w:rPr>
                <w:rFonts w:ascii="Calibri" w:hAnsi="Calibri" w:cs="Calibri"/>
                <w:color w:val="000000"/>
              </w:rPr>
            </w:pPr>
            <w:r>
              <w:rPr>
                <w:rFonts w:ascii="Calibri" w:hAnsi="Calibri" w:cs="Calibri"/>
                <w:color w:val="000000"/>
              </w:rPr>
              <w:t>36</w:t>
            </w:r>
          </w:p>
        </w:tc>
      </w:tr>
      <w:tr w:rsidR="009E0CAC" w14:paraId="73332932" w14:textId="77777777" w:rsidTr="003321FE">
        <w:trPr>
          <w:trHeight w:val="320"/>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5E66EDAE" w14:textId="77777777" w:rsidR="007D11A6" w:rsidRDefault="007D11A6">
            <w:pPr>
              <w:rPr>
                <w:rFonts w:ascii="Calibri" w:hAnsi="Calibri" w:cs="Calibri"/>
                <w:color w:val="000000"/>
              </w:rPr>
            </w:pPr>
            <w:r>
              <w:rPr>
                <w:rFonts w:ascii="Calibri" w:hAnsi="Calibri" w:cs="Calibri"/>
                <w:color w:val="000000"/>
              </w:rPr>
              <w:t>Net transfer f. Union</w:t>
            </w:r>
          </w:p>
        </w:tc>
        <w:tc>
          <w:tcPr>
            <w:tcW w:w="1276" w:type="dxa"/>
            <w:tcBorders>
              <w:top w:val="nil"/>
              <w:left w:val="nil"/>
              <w:bottom w:val="single" w:sz="4" w:space="0" w:color="auto"/>
              <w:right w:val="single" w:sz="4" w:space="0" w:color="auto"/>
            </w:tcBorders>
            <w:shd w:val="clear" w:color="auto" w:fill="auto"/>
            <w:noWrap/>
            <w:vAlign w:val="bottom"/>
            <w:hideMark/>
          </w:tcPr>
          <w:p w14:paraId="2DB90634" w14:textId="77777777" w:rsidR="007D11A6" w:rsidRDefault="007D11A6" w:rsidP="009E0CAC">
            <w:pPr>
              <w:jc w:val="center"/>
              <w:rPr>
                <w:rFonts w:ascii="Calibri" w:hAnsi="Calibri" w:cs="Calibri"/>
                <w:color w:val="000000"/>
              </w:rPr>
            </w:pPr>
            <w:r>
              <w:rPr>
                <w:rFonts w:ascii="Calibri" w:hAnsi="Calibri" w:cs="Calibri"/>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14:paraId="2E2FB223" w14:textId="77777777" w:rsidR="007D11A6" w:rsidRDefault="007D11A6" w:rsidP="009E0CAC">
            <w:pPr>
              <w:jc w:val="center"/>
              <w:rPr>
                <w:rFonts w:ascii="Calibri" w:hAnsi="Calibri" w:cs="Calibri"/>
                <w:color w:val="000000"/>
              </w:rPr>
            </w:pPr>
            <w:r>
              <w:rPr>
                <w:rFonts w:ascii="Calibri" w:hAnsi="Calibri" w:cs="Calibri"/>
                <w:color w:val="000000"/>
              </w:rPr>
              <w:t>9,8</w:t>
            </w:r>
          </w:p>
        </w:tc>
        <w:tc>
          <w:tcPr>
            <w:tcW w:w="1276" w:type="dxa"/>
            <w:tcBorders>
              <w:top w:val="nil"/>
              <w:left w:val="nil"/>
              <w:bottom w:val="single" w:sz="4" w:space="0" w:color="auto"/>
              <w:right w:val="single" w:sz="4" w:space="0" w:color="auto"/>
            </w:tcBorders>
            <w:shd w:val="clear" w:color="auto" w:fill="auto"/>
            <w:noWrap/>
            <w:vAlign w:val="bottom"/>
            <w:hideMark/>
          </w:tcPr>
          <w:p w14:paraId="76D1B9DC" w14:textId="77777777" w:rsidR="007D11A6" w:rsidRDefault="007D11A6" w:rsidP="009E0CAC">
            <w:pPr>
              <w:jc w:val="center"/>
              <w:rPr>
                <w:rFonts w:ascii="Calibri" w:hAnsi="Calibri" w:cs="Calibri"/>
                <w:color w:val="000000"/>
              </w:rPr>
            </w:pPr>
            <w:r>
              <w:rPr>
                <w:rFonts w:ascii="Calibri" w:hAnsi="Calibri" w:cs="Calibri"/>
                <w:color w:val="000000"/>
              </w:rPr>
              <w:t>9,3</w:t>
            </w:r>
          </w:p>
        </w:tc>
        <w:tc>
          <w:tcPr>
            <w:tcW w:w="1276" w:type="dxa"/>
            <w:tcBorders>
              <w:top w:val="nil"/>
              <w:left w:val="nil"/>
              <w:bottom w:val="single" w:sz="4" w:space="0" w:color="auto"/>
              <w:right w:val="single" w:sz="4" w:space="0" w:color="auto"/>
            </w:tcBorders>
            <w:shd w:val="clear" w:color="auto" w:fill="auto"/>
            <w:noWrap/>
            <w:vAlign w:val="bottom"/>
            <w:hideMark/>
          </w:tcPr>
          <w:p w14:paraId="66D42242" w14:textId="77777777" w:rsidR="007D11A6" w:rsidRDefault="007D11A6" w:rsidP="009E0CAC">
            <w:pPr>
              <w:jc w:val="center"/>
              <w:rPr>
                <w:rFonts w:ascii="Calibri" w:hAnsi="Calibri" w:cs="Calibri"/>
                <w:color w:val="000000"/>
              </w:rPr>
            </w:pPr>
            <w:r>
              <w:rPr>
                <w:rFonts w:ascii="Calibri" w:hAnsi="Calibri" w:cs="Calibri"/>
                <w:color w:val="000000"/>
              </w:rPr>
              <w:t>6,7</w:t>
            </w:r>
          </w:p>
        </w:tc>
      </w:tr>
      <w:tr w:rsidR="009E0CAC" w14:paraId="72D1DE18" w14:textId="77777777" w:rsidTr="003321FE">
        <w:trPr>
          <w:trHeight w:val="320"/>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CC06099" w14:textId="77777777" w:rsidR="007D11A6" w:rsidRDefault="007D11A6">
            <w:pPr>
              <w:rPr>
                <w:rFonts w:ascii="Calibri" w:hAnsi="Calibri" w:cs="Calibri"/>
                <w:color w:val="000000"/>
              </w:rPr>
            </w:pPr>
            <w:r>
              <w:rPr>
                <w:rFonts w:ascii="Calibri" w:hAnsi="Calibri" w:cs="Calibri"/>
                <w:color w:val="000000"/>
              </w:rPr>
              <w:t>Balance</w:t>
            </w:r>
          </w:p>
        </w:tc>
        <w:tc>
          <w:tcPr>
            <w:tcW w:w="1276" w:type="dxa"/>
            <w:tcBorders>
              <w:top w:val="nil"/>
              <w:left w:val="nil"/>
              <w:bottom w:val="single" w:sz="4" w:space="0" w:color="auto"/>
              <w:right w:val="single" w:sz="4" w:space="0" w:color="auto"/>
            </w:tcBorders>
            <w:shd w:val="clear" w:color="auto" w:fill="auto"/>
            <w:noWrap/>
            <w:vAlign w:val="bottom"/>
            <w:hideMark/>
          </w:tcPr>
          <w:p w14:paraId="4B4683C1" w14:textId="77777777" w:rsidR="007D11A6" w:rsidRDefault="007D11A6" w:rsidP="009E0CAC">
            <w:pPr>
              <w:jc w:val="center"/>
              <w:rPr>
                <w:rFonts w:ascii="Calibri" w:hAnsi="Calibri" w:cs="Calibri"/>
                <w:color w:val="000000"/>
              </w:rPr>
            </w:pPr>
            <w:r>
              <w:rPr>
                <w:rFonts w:ascii="Calibri" w:hAnsi="Calibri" w:cs="Calibri"/>
                <w:color w:val="000000"/>
              </w:rPr>
              <w:t>-8,8</w:t>
            </w:r>
          </w:p>
        </w:tc>
        <w:tc>
          <w:tcPr>
            <w:tcW w:w="1134" w:type="dxa"/>
            <w:tcBorders>
              <w:top w:val="nil"/>
              <w:left w:val="nil"/>
              <w:bottom w:val="single" w:sz="4" w:space="0" w:color="auto"/>
              <w:right w:val="single" w:sz="4" w:space="0" w:color="auto"/>
            </w:tcBorders>
            <w:shd w:val="clear" w:color="auto" w:fill="auto"/>
            <w:noWrap/>
            <w:vAlign w:val="bottom"/>
            <w:hideMark/>
          </w:tcPr>
          <w:p w14:paraId="6B396977" w14:textId="77777777" w:rsidR="007D11A6" w:rsidRDefault="007D11A6" w:rsidP="009E0CAC">
            <w:pPr>
              <w:jc w:val="center"/>
              <w:rPr>
                <w:rFonts w:ascii="Calibri" w:hAnsi="Calibri" w:cs="Calibri"/>
                <w:color w:val="000000"/>
              </w:rPr>
            </w:pPr>
            <w:r>
              <w:rPr>
                <w:rFonts w:ascii="Calibri" w:hAnsi="Calibri" w:cs="Calibri"/>
                <w:color w:val="000000"/>
              </w:rPr>
              <w:t>-10,9</w:t>
            </w:r>
          </w:p>
        </w:tc>
        <w:tc>
          <w:tcPr>
            <w:tcW w:w="1276" w:type="dxa"/>
            <w:tcBorders>
              <w:top w:val="nil"/>
              <w:left w:val="nil"/>
              <w:bottom w:val="single" w:sz="4" w:space="0" w:color="auto"/>
              <w:right w:val="single" w:sz="4" w:space="0" w:color="auto"/>
            </w:tcBorders>
            <w:shd w:val="clear" w:color="auto" w:fill="auto"/>
            <w:noWrap/>
            <w:vAlign w:val="bottom"/>
            <w:hideMark/>
          </w:tcPr>
          <w:p w14:paraId="148FD8B8" w14:textId="77777777" w:rsidR="007D11A6" w:rsidRDefault="007D11A6" w:rsidP="009E0CAC">
            <w:pPr>
              <w:jc w:val="center"/>
              <w:rPr>
                <w:rFonts w:ascii="Calibri" w:hAnsi="Calibri" w:cs="Calibri"/>
                <w:color w:val="000000"/>
              </w:rPr>
            </w:pPr>
            <w:r>
              <w:rPr>
                <w:rFonts w:ascii="Calibri" w:hAnsi="Calibri" w:cs="Calibri"/>
                <w:color w:val="000000"/>
              </w:rPr>
              <w:t>-10,6</w:t>
            </w:r>
          </w:p>
        </w:tc>
        <w:tc>
          <w:tcPr>
            <w:tcW w:w="1276" w:type="dxa"/>
            <w:tcBorders>
              <w:top w:val="nil"/>
              <w:left w:val="nil"/>
              <w:bottom w:val="single" w:sz="4" w:space="0" w:color="auto"/>
              <w:right w:val="single" w:sz="4" w:space="0" w:color="auto"/>
            </w:tcBorders>
            <w:shd w:val="clear" w:color="auto" w:fill="auto"/>
            <w:noWrap/>
            <w:vAlign w:val="bottom"/>
            <w:hideMark/>
          </w:tcPr>
          <w:p w14:paraId="6D79C044" w14:textId="77777777" w:rsidR="007D11A6" w:rsidRDefault="007D11A6" w:rsidP="009E0CAC">
            <w:pPr>
              <w:jc w:val="center"/>
              <w:rPr>
                <w:rFonts w:ascii="Calibri" w:hAnsi="Calibri" w:cs="Calibri"/>
                <w:color w:val="000000"/>
              </w:rPr>
            </w:pPr>
            <w:r>
              <w:rPr>
                <w:rFonts w:ascii="Calibri" w:hAnsi="Calibri" w:cs="Calibri"/>
                <w:color w:val="000000"/>
              </w:rPr>
              <w:t>-14,7</w:t>
            </w:r>
          </w:p>
        </w:tc>
      </w:tr>
    </w:tbl>
    <w:p w14:paraId="18F7BC45" w14:textId="2C56ED01" w:rsidR="004F1E7D" w:rsidRPr="00144AB5" w:rsidRDefault="007D11A6" w:rsidP="007E211F">
      <w:pPr>
        <w:jc w:val="both"/>
        <w:rPr>
          <w:sz w:val="22"/>
          <w:szCs w:val="22"/>
        </w:rPr>
      </w:pPr>
      <w:r w:rsidRPr="00144AB5">
        <w:rPr>
          <w:sz w:val="22"/>
          <w:szCs w:val="22"/>
        </w:rPr>
        <w:t>Source:</w:t>
      </w:r>
      <w:r w:rsidR="00EF78B3" w:rsidRPr="00144AB5">
        <w:rPr>
          <w:sz w:val="22"/>
          <w:szCs w:val="22"/>
        </w:rPr>
        <w:t xml:space="preserve"> A World Bank country study, Kazakhstan: the transition to a market economy, pp. 1</w:t>
      </w:r>
      <w:r w:rsidR="004B37B0" w:rsidRPr="00144AB5">
        <w:rPr>
          <w:sz w:val="22"/>
          <w:szCs w:val="22"/>
        </w:rPr>
        <w:t>6</w:t>
      </w:r>
    </w:p>
    <w:p w14:paraId="1EC30CA4" w14:textId="33EAE43A" w:rsidR="00A33F19" w:rsidRPr="00144AB5" w:rsidRDefault="007E211F" w:rsidP="00164DD4">
      <w:pPr>
        <w:spacing w:line="360" w:lineRule="auto"/>
        <w:jc w:val="both"/>
      </w:pPr>
      <w:r w:rsidRPr="00144AB5">
        <w:tab/>
      </w:r>
      <w:r w:rsidR="00896A33" w:rsidRPr="00FF42BF">
        <w:t>According to Table 4, total transfers to the Kazakh budget were over 10 percent of GDP in 1989 and 1990</w:t>
      </w:r>
      <w:r w:rsidR="00896A33" w:rsidRPr="00144AB5">
        <w:t xml:space="preserve">, respectively. In 1991, when republics began to change their economies, the Union’s subsidy to Kazakhstan decreased to below 7 percent of GDP. In </w:t>
      </w:r>
      <w:r w:rsidR="00896A33" w:rsidRPr="00144AB5">
        <w:lastRenderedPageBreak/>
        <w:t xml:space="preserve">1991, a new type of tax law was introduced. After this tax was introduced, enterprises are now subject to profit taxes at proportional rates, individuals are subject to progressive income taxes. </w:t>
      </w:r>
    </w:p>
    <w:p w14:paraId="6B7142A5" w14:textId="544CB4CA" w:rsidR="005B2508" w:rsidRPr="00144AB5" w:rsidRDefault="005B2508" w:rsidP="005B2508">
      <w:pPr>
        <w:spacing w:line="360" w:lineRule="auto"/>
        <w:jc w:val="both"/>
      </w:pPr>
      <w:r w:rsidRPr="00144AB5">
        <w:t xml:space="preserve">      To assess the fiscal policy of Kazakhstan in the transition period, it is essential to analyze the dynamics of government revenues, expenditures, and sources of financing the budget deficit. The table below displays key fiscal indicators for 1995-1998, including total revenue and expenditure as a percentage of GDP, share of tax revenues, revenues, size of the budget deficit, and its coverage by domestic and external sources.</w:t>
      </w:r>
      <w:r w:rsidR="0042185C" w:rsidRPr="00144AB5">
        <w:t xml:space="preserve"> The period from 1995 to 1998 is particularly important as it marks a phase of enhanced economic reforms and efforts to stabilize the national economy after the initial post-independence </w:t>
      </w:r>
      <w:r w:rsidR="0042185C" w:rsidRPr="00FF42BF">
        <w:t>turbulences.</w:t>
      </w:r>
      <w:r w:rsidRPr="00FF42BF">
        <w:t xml:space="preserve"> Multiple main indicators suggest that public finances experienced difficulties during this period.</w:t>
      </w:r>
    </w:p>
    <w:p w14:paraId="491C078E" w14:textId="55424C2D" w:rsidR="00D02D3F" w:rsidRPr="005B2508" w:rsidRDefault="0048174A" w:rsidP="0048174A">
      <w:pPr>
        <w:spacing w:line="360" w:lineRule="auto"/>
        <w:jc w:val="both"/>
        <w:rPr>
          <w:b/>
        </w:rPr>
      </w:pPr>
      <w:r w:rsidRPr="005B2508">
        <w:rPr>
          <w:b/>
        </w:rPr>
        <w:t>Table 5. Key Fiscal Indicators, 1995-1998</w:t>
      </w:r>
    </w:p>
    <w:tbl>
      <w:tblPr>
        <w:tblW w:w="8500" w:type="dxa"/>
        <w:tblLook w:val="04A0" w:firstRow="1" w:lastRow="0" w:firstColumn="1" w:lastColumn="0" w:noHBand="0" w:noVBand="1"/>
      </w:tblPr>
      <w:tblGrid>
        <w:gridCol w:w="4390"/>
        <w:gridCol w:w="1275"/>
        <w:gridCol w:w="851"/>
        <w:gridCol w:w="992"/>
        <w:gridCol w:w="992"/>
      </w:tblGrid>
      <w:tr w:rsidR="005824BF" w14:paraId="3FD87E83" w14:textId="77777777" w:rsidTr="00CE105F">
        <w:trPr>
          <w:trHeight w:val="340"/>
        </w:trPr>
        <w:tc>
          <w:tcPr>
            <w:tcW w:w="439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974EDEF" w14:textId="77777777" w:rsidR="005824BF" w:rsidRDefault="005824BF">
            <w:pPr>
              <w:rPr>
                <w:rFonts w:ascii="Calibri" w:hAnsi="Calibri" w:cs="Calibri"/>
                <w:b/>
                <w:bCs/>
                <w:color w:val="000000"/>
              </w:rPr>
            </w:pPr>
            <w:r>
              <w:rPr>
                <w:rFonts w:ascii="Calibri" w:hAnsi="Calibri" w:cs="Calibri"/>
                <w:b/>
                <w:bCs/>
                <w:color w:val="000000"/>
              </w:rPr>
              <w:t>Fiscal indicator</w:t>
            </w:r>
          </w:p>
        </w:tc>
        <w:tc>
          <w:tcPr>
            <w:tcW w:w="4110" w:type="dxa"/>
            <w:gridSpan w:val="4"/>
            <w:tcBorders>
              <w:top w:val="single" w:sz="4" w:space="0" w:color="auto"/>
              <w:left w:val="nil"/>
              <w:bottom w:val="single" w:sz="4" w:space="0" w:color="auto"/>
              <w:right w:val="single" w:sz="4" w:space="0" w:color="000000"/>
            </w:tcBorders>
            <w:shd w:val="clear" w:color="auto" w:fill="auto"/>
            <w:vAlign w:val="bottom"/>
            <w:hideMark/>
          </w:tcPr>
          <w:p w14:paraId="65D88E50" w14:textId="77777777" w:rsidR="005824BF" w:rsidRDefault="005824BF">
            <w:pPr>
              <w:jc w:val="center"/>
              <w:rPr>
                <w:rFonts w:ascii="Calibri" w:hAnsi="Calibri" w:cs="Calibri"/>
                <w:b/>
                <w:bCs/>
                <w:color w:val="000000"/>
              </w:rPr>
            </w:pPr>
            <w:r>
              <w:rPr>
                <w:rFonts w:ascii="Calibri" w:hAnsi="Calibri" w:cs="Calibri"/>
                <w:b/>
                <w:bCs/>
                <w:color w:val="000000"/>
              </w:rPr>
              <w:t>year</w:t>
            </w:r>
          </w:p>
        </w:tc>
      </w:tr>
      <w:tr w:rsidR="005824BF" w14:paraId="6480BF1A" w14:textId="77777777" w:rsidTr="00CE105F">
        <w:trPr>
          <w:trHeight w:val="320"/>
        </w:trPr>
        <w:tc>
          <w:tcPr>
            <w:tcW w:w="4390" w:type="dxa"/>
            <w:vMerge/>
            <w:tcBorders>
              <w:top w:val="single" w:sz="4" w:space="0" w:color="auto"/>
              <w:left w:val="single" w:sz="4" w:space="0" w:color="auto"/>
              <w:bottom w:val="single" w:sz="4" w:space="0" w:color="auto"/>
              <w:right w:val="single" w:sz="4" w:space="0" w:color="auto"/>
            </w:tcBorders>
            <w:vAlign w:val="center"/>
            <w:hideMark/>
          </w:tcPr>
          <w:p w14:paraId="6F7A2D32" w14:textId="77777777" w:rsidR="005824BF" w:rsidRDefault="005824BF">
            <w:pPr>
              <w:rPr>
                <w:rFonts w:ascii="Calibri" w:hAnsi="Calibri" w:cs="Calibri"/>
                <w:b/>
                <w:bCs/>
                <w:color w:val="000000"/>
              </w:rPr>
            </w:pPr>
          </w:p>
        </w:tc>
        <w:tc>
          <w:tcPr>
            <w:tcW w:w="1275" w:type="dxa"/>
            <w:tcBorders>
              <w:top w:val="nil"/>
              <w:left w:val="nil"/>
              <w:bottom w:val="single" w:sz="4" w:space="0" w:color="auto"/>
              <w:right w:val="single" w:sz="4" w:space="0" w:color="auto"/>
            </w:tcBorders>
            <w:shd w:val="clear" w:color="auto" w:fill="auto"/>
            <w:noWrap/>
            <w:vAlign w:val="center"/>
            <w:hideMark/>
          </w:tcPr>
          <w:p w14:paraId="3D24CD8D" w14:textId="77777777" w:rsidR="005824BF" w:rsidRDefault="005824BF">
            <w:pPr>
              <w:jc w:val="right"/>
              <w:rPr>
                <w:rFonts w:ascii="Calibri" w:hAnsi="Calibri" w:cs="Calibri"/>
                <w:color w:val="000000"/>
              </w:rPr>
            </w:pPr>
            <w:r>
              <w:rPr>
                <w:rFonts w:ascii="Calibri" w:hAnsi="Calibri" w:cs="Calibri"/>
                <w:color w:val="000000"/>
              </w:rPr>
              <w:t>1995</w:t>
            </w:r>
          </w:p>
        </w:tc>
        <w:tc>
          <w:tcPr>
            <w:tcW w:w="851" w:type="dxa"/>
            <w:tcBorders>
              <w:top w:val="nil"/>
              <w:left w:val="nil"/>
              <w:bottom w:val="single" w:sz="4" w:space="0" w:color="auto"/>
              <w:right w:val="single" w:sz="4" w:space="0" w:color="auto"/>
            </w:tcBorders>
            <w:shd w:val="clear" w:color="auto" w:fill="auto"/>
            <w:noWrap/>
            <w:vAlign w:val="center"/>
            <w:hideMark/>
          </w:tcPr>
          <w:p w14:paraId="47EE73C3" w14:textId="77777777" w:rsidR="005824BF" w:rsidRDefault="005824BF">
            <w:pPr>
              <w:jc w:val="right"/>
              <w:rPr>
                <w:rFonts w:ascii="Calibri" w:hAnsi="Calibri" w:cs="Calibri"/>
                <w:color w:val="000000"/>
              </w:rPr>
            </w:pPr>
            <w:r>
              <w:rPr>
                <w:rFonts w:ascii="Calibri" w:hAnsi="Calibri" w:cs="Calibri"/>
                <w:color w:val="000000"/>
              </w:rPr>
              <w:t>1996</w:t>
            </w:r>
          </w:p>
        </w:tc>
        <w:tc>
          <w:tcPr>
            <w:tcW w:w="992" w:type="dxa"/>
            <w:tcBorders>
              <w:top w:val="nil"/>
              <w:left w:val="nil"/>
              <w:bottom w:val="single" w:sz="4" w:space="0" w:color="auto"/>
              <w:right w:val="single" w:sz="4" w:space="0" w:color="auto"/>
            </w:tcBorders>
            <w:shd w:val="clear" w:color="auto" w:fill="auto"/>
            <w:noWrap/>
            <w:vAlign w:val="center"/>
            <w:hideMark/>
          </w:tcPr>
          <w:p w14:paraId="21DBDC01" w14:textId="77777777" w:rsidR="005824BF" w:rsidRDefault="005824BF">
            <w:pPr>
              <w:jc w:val="right"/>
              <w:rPr>
                <w:rFonts w:ascii="Calibri" w:hAnsi="Calibri" w:cs="Calibri"/>
                <w:color w:val="000000"/>
              </w:rPr>
            </w:pPr>
            <w:r>
              <w:rPr>
                <w:rFonts w:ascii="Calibri" w:hAnsi="Calibri" w:cs="Calibri"/>
                <w:color w:val="000000"/>
              </w:rPr>
              <w:t>1997</w:t>
            </w:r>
          </w:p>
        </w:tc>
        <w:tc>
          <w:tcPr>
            <w:tcW w:w="992" w:type="dxa"/>
            <w:tcBorders>
              <w:top w:val="nil"/>
              <w:left w:val="nil"/>
              <w:bottom w:val="single" w:sz="4" w:space="0" w:color="auto"/>
              <w:right w:val="single" w:sz="4" w:space="0" w:color="auto"/>
            </w:tcBorders>
            <w:shd w:val="clear" w:color="auto" w:fill="auto"/>
            <w:noWrap/>
            <w:vAlign w:val="center"/>
            <w:hideMark/>
          </w:tcPr>
          <w:p w14:paraId="0A93D5E1" w14:textId="77777777" w:rsidR="005824BF" w:rsidRDefault="005824BF">
            <w:pPr>
              <w:jc w:val="right"/>
              <w:rPr>
                <w:rFonts w:ascii="Calibri" w:hAnsi="Calibri" w:cs="Calibri"/>
                <w:color w:val="000000"/>
              </w:rPr>
            </w:pPr>
            <w:r>
              <w:rPr>
                <w:rFonts w:ascii="Calibri" w:hAnsi="Calibri" w:cs="Calibri"/>
                <w:color w:val="000000"/>
              </w:rPr>
              <w:t>1998</w:t>
            </w:r>
          </w:p>
        </w:tc>
      </w:tr>
      <w:tr w:rsidR="005824BF" w14:paraId="10665D32" w14:textId="77777777" w:rsidTr="00CE105F">
        <w:trPr>
          <w:trHeight w:val="320"/>
        </w:trPr>
        <w:tc>
          <w:tcPr>
            <w:tcW w:w="4390" w:type="dxa"/>
            <w:vMerge/>
            <w:tcBorders>
              <w:top w:val="single" w:sz="4" w:space="0" w:color="auto"/>
              <w:left w:val="single" w:sz="4" w:space="0" w:color="auto"/>
              <w:bottom w:val="single" w:sz="4" w:space="0" w:color="auto"/>
              <w:right w:val="single" w:sz="4" w:space="0" w:color="auto"/>
            </w:tcBorders>
            <w:vAlign w:val="center"/>
            <w:hideMark/>
          </w:tcPr>
          <w:p w14:paraId="3A302249" w14:textId="77777777" w:rsidR="005824BF" w:rsidRDefault="005824BF">
            <w:pPr>
              <w:rPr>
                <w:rFonts w:ascii="Calibri" w:hAnsi="Calibri" w:cs="Calibri"/>
                <w:b/>
                <w:bCs/>
                <w:color w:val="000000"/>
              </w:rPr>
            </w:pPr>
          </w:p>
        </w:tc>
        <w:tc>
          <w:tcPr>
            <w:tcW w:w="4110" w:type="dxa"/>
            <w:gridSpan w:val="4"/>
            <w:tcBorders>
              <w:top w:val="single" w:sz="4" w:space="0" w:color="auto"/>
              <w:left w:val="nil"/>
              <w:bottom w:val="single" w:sz="4" w:space="0" w:color="auto"/>
              <w:right w:val="single" w:sz="4" w:space="0" w:color="000000"/>
            </w:tcBorders>
            <w:shd w:val="clear" w:color="auto" w:fill="auto"/>
            <w:vAlign w:val="bottom"/>
            <w:hideMark/>
          </w:tcPr>
          <w:p w14:paraId="63A01C31" w14:textId="77777777" w:rsidR="005824BF" w:rsidRDefault="005824BF">
            <w:pPr>
              <w:jc w:val="center"/>
              <w:rPr>
                <w:rFonts w:ascii="Calibri" w:hAnsi="Calibri" w:cs="Calibri"/>
                <w:color w:val="000000"/>
              </w:rPr>
            </w:pPr>
            <w:r>
              <w:rPr>
                <w:rFonts w:ascii="Calibri" w:hAnsi="Calibri" w:cs="Calibri"/>
                <w:color w:val="000000"/>
              </w:rPr>
              <w:t>in percentage of GDP</w:t>
            </w:r>
          </w:p>
        </w:tc>
      </w:tr>
      <w:tr w:rsidR="005824BF" w14:paraId="65A1CC47"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4211EF07" w14:textId="77777777" w:rsidR="005824BF" w:rsidRDefault="005824BF">
            <w:pPr>
              <w:rPr>
                <w:rFonts w:ascii="Calibri" w:hAnsi="Calibri" w:cs="Calibri"/>
                <w:color w:val="000000"/>
              </w:rPr>
            </w:pPr>
            <w:r>
              <w:rPr>
                <w:rFonts w:ascii="Calibri" w:hAnsi="Calibri" w:cs="Calibri"/>
                <w:color w:val="000000"/>
              </w:rPr>
              <w:t>Total revenues and grants</w:t>
            </w:r>
          </w:p>
        </w:tc>
        <w:tc>
          <w:tcPr>
            <w:tcW w:w="1275" w:type="dxa"/>
            <w:tcBorders>
              <w:top w:val="nil"/>
              <w:left w:val="nil"/>
              <w:bottom w:val="single" w:sz="4" w:space="0" w:color="auto"/>
              <w:right w:val="single" w:sz="4" w:space="0" w:color="auto"/>
            </w:tcBorders>
            <w:shd w:val="clear" w:color="auto" w:fill="auto"/>
            <w:noWrap/>
            <w:vAlign w:val="center"/>
            <w:hideMark/>
          </w:tcPr>
          <w:p w14:paraId="450BAB4C" w14:textId="77777777" w:rsidR="005824BF" w:rsidRDefault="005824BF">
            <w:pPr>
              <w:jc w:val="right"/>
              <w:rPr>
                <w:rFonts w:ascii="Calibri" w:hAnsi="Calibri" w:cs="Calibri"/>
                <w:color w:val="000000"/>
              </w:rPr>
            </w:pPr>
            <w:r>
              <w:rPr>
                <w:rFonts w:ascii="Calibri" w:hAnsi="Calibri" w:cs="Calibri"/>
                <w:color w:val="000000"/>
              </w:rPr>
              <w:t>17,6</w:t>
            </w:r>
          </w:p>
        </w:tc>
        <w:tc>
          <w:tcPr>
            <w:tcW w:w="851" w:type="dxa"/>
            <w:tcBorders>
              <w:top w:val="nil"/>
              <w:left w:val="nil"/>
              <w:bottom w:val="single" w:sz="4" w:space="0" w:color="auto"/>
              <w:right w:val="single" w:sz="4" w:space="0" w:color="auto"/>
            </w:tcBorders>
            <w:shd w:val="clear" w:color="auto" w:fill="auto"/>
            <w:noWrap/>
            <w:vAlign w:val="center"/>
            <w:hideMark/>
          </w:tcPr>
          <w:p w14:paraId="6BB74E96" w14:textId="77777777" w:rsidR="005824BF" w:rsidRDefault="005824BF">
            <w:pPr>
              <w:jc w:val="right"/>
              <w:rPr>
                <w:rFonts w:ascii="Calibri" w:hAnsi="Calibri" w:cs="Calibri"/>
                <w:color w:val="000000"/>
              </w:rPr>
            </w:pPr>
            <w:r>
              <w:rPr>
                <w:rFonts w:ascii="Calibri" w:hAnsi="Calibri" w:cs="Calibri"/>
                <w:color w:val="000000"/>
              </w:rPr>
              <w:t>15,4</w:t>
            </w:r>
          </w:p>
        </w:tc>
        <w:tc>
          <w:tcPr>
            <w:tcW w:w="992" w:type="dxa"/>
            <w:tcBorders>
              <w:top w:val="nil"/>
              <w:left w:val="nil"/>
              <w:bottom w:val="single" w:sz="4" w:space="0" w:color="auto"/>
              <w:right w:val="single" w:sz="4" w:space="0" w:color="auto"/>
            </w:tcBorders>
            <w:shd w:val="clear" w:color="auto" w:fill="auto"/>
            <w:noWrap/>
            <w:vAlign w:val="center"/>
            <w:hideMark/>
          </w:tcPr>
          <w:p w14:paraId="724EB15F" w14:textId="77777777" w:rsidR="005824BF" w:rsidRDefault="005824BF">
            <w:pPr>
              <w:jc w:val="right"/>
              <w:rPr>
                <w:rFonts w:ascii="Calibri" w:hAnsi="Calibri" w:cs="Calibri"/>
                <w:color w:val="000000"/>
              </w:rPr>
            </w:pPr>
            <w:r>
              <w:rPr>
                <w:rFonts w:ascii="Calibri" w:hAnsi="Calibri" w:cs="Calibri"/>
                <w:color w:val="000000"/>
              </w:rPr>
              <w:t>16,5</w:t>
            </w:r>
          </w:p>
        </w:tc>
        <w:tc>
          <w:tcPr>
            <w:tcW w:w="992" w:type="dxa"/>
            <w:tcBorders>
              <w:top w:val="nil"/>
              <w:left w:val="nil"/>
              <w:bottom w:val="single" w:sz="4" w:space="0" w:color="auto"/>
              <w:right w:val="single" w:sz="4" w:space="0" w:color="auto"/>
            </w:tcBorders>
            <w:shd w:val="clear" w:color="auto" w:fill="auto"/>
            <w:noWrap/>
            <w:vAlign w:val="center"/>
            <w:hideMark/>
          </w:tcPr>
          <w:p w14:paraId="4FF78478" w14:textId="77777777" w:rsidR="005824BF" w:rsidRDefault="005824BF">
            <w:pPr>
              <w:jc w:val="right"/>
              <w:rPr>
                <w:rFonts w:ascii="Calibri" w:hAnsi="Calibri" w:cs="Calibri"/>
                <w:color w:val="000000"/>
              </w:rPr>
            </w:pPr>
            <w:r>
              <w:rPr>
                <w:rFonts w:ascii="Calibri" w:hAnsi="Calibri" w:cs="Calibri"/>
                <w:color w:val="000000"/>
              </w:rPr>
              <w:t>16</w:t>
            </w:r>
          </w:p>
        </w:tc>
      </w:tr>
      <w:tr w:rsidR="005824BF" w14:paraId="6C0C49E6"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0B26B416" w14:textId="77777777" w:rsidR="005824BF" w:rsidRDefault="005824BF">
            <w:pPr>
              <w:rPr>
                <w:rFonts w:ascii="Calibri" w:hAnsi="Calibri" w:cs="Calibri"/>
                <w:color w:val="000000"/>
              </w:rPr>
            </w:pPr>
            <w:r>
              <w:rPr>
                <w:rFonts w:ascii="Calibri" w:hAnsi="Calibri" w:cs="Calibri"/>
                <w:color w:val="000000"/>
              </w:rPr>
              <w:t xml:space="preserve">Tax </w:t>
            </w:r>
            <w:proofErr w:type="spellStart"/>
            <w:r>
              <w:rPr>
                <w:rFonts w:ascii="Calibri" w:hAnsi="Calibri" w:cs="Calibri"/>
                <w:color w:val="000000"/>
              </w:rPr>
              <w:t>renevues</w:t>
            </w:r>
            <w:proofErr w:type="spellEnd"/>
          </w:p>
        </w:tc>
        <w:tc>
          <w:tcPr>
            <w:tcW w:w="1275" w:type="dxa"/>
            <w:tcBorders>
              <w:top w:val="nil"/>
              <w:left w:val="nil"/>
              <w:bottom w:val="single" w:sz="4" w:space="0" w:color="auto"/>
              <w:right w:val="single" w:sz="4" w:space="0" w:color="auto"/>
            </w:tcBorders>
            <w:shd w:val="clear" w:color="auto" w:fill="auto"/>
            <w:noWrap/>
            <w:vAlign w:val="center"/>
            <w:hideMark/>
          </w:tcPr>
          <w:p w14:paraId="66D75FDF" w14:textId="77777777" w:rsidR="005824BF" w:rsidRDefault="005824BF">
            <w:pPr>
              <w:jc w:val="right"/>
              <w:rPr>
                <w:rFonts w:ascii="Calibri" w:hAnsi="Calibri" w:cs="Calibri"/>
                <w:color w:val="000000"/>
              </w:rPr>
            </w:pPr>
            <w:r>
              <w:rPr>
                <w:rFonts w:ascii="Calibri" w:hAnsi="Calibri" w:cs="Calibri"/>
                <w:color w:val="000000"/>
              </w:rPr>
              <w:t>13</w:t>
            </w:r>
          </w:p>
        </w:tc>
        <w:tc>
          <w:tcPr>
            <w:tcW w:w="851" w:type="dxa"/>
            <w:tcBorders>
              <w:top w:val="nil"/>
              <w:left w:val="nil"/>
              <w:bottom w:val="single" w:sz="4" w:space="0" w:color="auto"/>
              <w:right w:val="single" w:sz="4" w:space="0" w:color="auto"/>
            </w:tcBorders>
            <w:shd w:val="clear" w:color="auto" w:fill="auto"/>
            <w:noWrap/>
            <w:vAlign w:val="center"/>
            <w:hideMark/>
          </w:tcPr>
          <w:p w14:paraId="6F85CA78" w14:textId="77777777" w:rsidR="005824BF" w:rsidRDefault="005824BF">
            <w:pPr>
              <w:jc w:val="right"/>
              <w:rPr>
                <w:rFonts w:ascii="Calibri" w:hAnsi="Calibri" w:cs="Calibri"/>
                <w:color w:val="000000"/>
              </w:rPr>
            </w:pPr>
            <w:r>
              <w:rPr>
                <w:rFonts w:ascii="Calibri" w:hAnsi="Calibri" w:cs="Calibri"/>
                <w:color w:val="000000"/>
              </w:rPr>
              <w:t>11,3</w:t>
            </w:r>
          </w:p>
        </w:tc>
        <w:tc>
          <w:tcPr>
            <w:tcW w:w="992" w:type="dxa"/>
            <w:tcBorders>
              <w:top w:val="nil"/>
              <w:left w:val="nil"/>
              <w:bottom w:val="single" w:sz="4" w:space="0" w:color="auto"/>
              <w:right w:val="single" w:sz="4" w:space="0" w:color="auto"/>
            </w:tcBorders>
            <w:shd w:val="clear" w:color="auto" w:fill="auto"/>
            <w:noWrap/>
            <w:vAlign w:val="center"/>
            <w:hideMark/>
          </w:tcPr>
          <w:p w14:paraId="7AB56356" w14:textId="77777777" w:rsidR="005824BF" w:rsidRDefault="005824BF">
            <w:pPr>
              <w:jc w:val="right"/>
              <w:rPr>
                <w:rFonts w:ascii="Calibri" w:hAnsi="Calibri" w:cs="Calibri"/>
                <w:color w:val="000000"/>
              </w:rPr>
            </w:pPr>
            <w:r>
              <w:rPr>
                <w:rFonts w:ascii="Calibri" w:hAnsi="Calibri" w:cs="Calibri"/>
                <w:color w:val="000000"/>
              </w:rPr>
              <w:t>12</w:t>
            </w:r>
          </w:p>
        </w:tc>
        <w:tc>
          <w:tcPr>
            <w:tcW w:w="992" w:type="dxa"/>
            <w:tcBorders>
              <w:top w:val="nil"/>
              <w:left w:val="nil"/>
              <w:bottom w:val="single" w:sz="4" w:space="0" w:color="auto"/>
              <w:right w:val="single" w:sz="4" w:space="0" w:color="auto"/>
            </w:tcBorders>
            <w:shd w:val="clear" w:color="auto" w:fill="auto"/>
            <w:noWrap/>
            <w:vAlign w:val="center"/>
            <w:hideMark/>
          </w:tcPr>
          <w:p w14:paraId="1BB0E34A" w14:textId="77777777" w:rsidR="005824BF" w:rsidRDefault="005824BF">
            <w:pPr>
              <w:jc w:val="right"/>
              <w:rPr>
                <w:rFonts w:ascii="Calibri" w:hAnsi="Calibri" w:cs="Calibri"/>
                <w:color w:val="000000"/>
              </w:rPr>
            </w:pPr>
            <w:r>
              <w:rPr>
                <w:rFonts w:ascii="Calibri" w:hAnsi="Calibri" w:cs="Calibri"/>
                <w:color w:val="000000"/>
              </w:rPr>
              <w:t>12,2</w:t>
            </w:r>
          </w:p>
        </w:tc>
      </w:tr>
      <w:tr w:rsidR="005824BF" w14:paraId="4229BBD7"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2E7BE95A" w14:textId="77777777" w:rsidR="005824BF" w:rsidRDefault="005824BF">
            <w:pPr>
              <w:rPr>
                <w:rFonts w:ascii="Calibri" w:hAnsi="Calibri" w:cs="Calibri"/>
                <w:color w:val="000000"/>
              </w:rPr>
            </w:pPr>
            <w:r>
              <w:rPr>
                <w:rFonts w:ascii="Calibri" w:hAnsi="Calibri" w:cs="Calibri"/>
                <w:color w:val="000000"/>
              </w:rPr>
              <w:t>Privatization receipts</w:t>
            </w:r>
          </w:p>
        </w:tc>
        <w:tc>
          <w:tcPr>
            <w:tcW w:w="1275" w:type="dxa"/>
            <w:tcBorders>
              <w:top w:val="nil"/>
              <w:left w:val="nil"/>
              <w:bottom w:val="single" w:sz="4" w:space="0" w:color="auto"/>
              <w:right w:val="single" w:sz="4" w:space="0" w:color="auto"/>
            </w:tcBorders>
            <w:shd w:val="clear" w:color="auto" w:fill="auto"/>
            <w:noWrap/>
            <w:vAlign w:val="center"/>
            <w:hideMark/>
          </w:tcPr>
          <w:p w14:paraId="62B3F1A4" w14:textId="77777777" w:rsidR="005824BF" w:rsidRDefault="005824BF">
            <w:pPr>
              <w:jc w:val="right"/>
              <w:rPr>
                <w:rFonts w:ascii="Calibri" w:hAnsi="Calibri" w:cs="Calibri"/>
                <w:color w:val="000000"/>
              </w:rPr>
            </w:pPr>
            <w:r>
              <w:rPr>
                <w:rFonts w:ascii="Calibri" w:hAnsi="Calibri" w:cs="Calibri"/>
                <w:color w:val="000000"/>
              </w:rPr>
              <w:t>0,7</w:t>
            </w:r>
          </w:p>
        </w:tc>
        <w:tc>
          <w:tcPr>
            <w:tcW w:w="851" w:type="dxa"/>
            <w:tcBorders>
              <w:top w:val="nil"/>
              <w:left w:val="nil"/>
              <w:bottom w:val="single" w:sz="4" w:space="0" w:color="auto"/>
              <w:right w:val="single" w:sz="4" w:space="0" w:color="auto"/>
            </w:tcBorders>
            <w:shd w:val="clear" w:color="auto" w:fill="auto"/>
            <w:noWrap/>
            <w:vAlign w:val="center"/>
            <w:hideMark/>
          </w:tcPr>
          <w:p w14:paraId="2C4A1984" w14:textId="77777777" w:rsidR="005824BF" w:rsidRDefault="005824BF">
            <w:pPr>
              <w:jc w:val="right"/>
              <w:rPr>
                <w:rFonts w:ascii="Calibri" w:hAnsi="Calibri" w:cs="Calibri"/>
                <w:color w:val="000000"/>
              </w:rPr>
            </w:pPr>
            <w:r>
              <w:rPr>
                <w:rFonts w:ascii="Calibri" w:hAnsi="Calibri" w:cs="Calibri"/>
                <w:color w:val="000000"/>
              </w:rPr>
              <w:t>2,2</w:t>
            </w:r>
          </w:p>
        </w:tc>
        <w:tc>
          <w:tcPr>
            <w:tcW w:w="992" w:type="dxa"/>
            <w:tcBorders>
              <w:top w:val="nil"/>
              <w:left w:val="nil"/>
              <w:bottom w:val="single" w:sz="4" w:space="0" w:color="auto"/>
              <w:right w:val="single" w:sz="4" w:space="0" w:color="auto"/>
            </w:tcBorders>
            <w:shd w:val="clear" w:color="auto" w:fill="auto"/>
            <w:noWrap/>
            <w:vAlign w:val="center"/>
            <w:hideMark/>
          </w:tcPr>
          <w:p w14:paraId="31C196E0" w14:textId="77777777" w:rsidR="005824BF" w:rsidRDefault="005824BF">
            <w:pPr>
              <w:jc w:val="right"/>
              <w:rPr>
                <w:rFonts w:ascii="Calibri" w:hAnsi="Calibri" w:cs="Calibri"/>
                <w:color w:val="000000"/>
              </w:rPr>
            </w:pPr>
            <w:r>
              <w:rPr>
                <w:rFonts w:ascii="Calibri" w:hAnsi="Calibri" w:cs="Calibri"/>
                <w:color w:val="000000"/>
              </w:rPr>
              <w:t>3,2</w:t>
            </w:r>
          </w:p>
        </w:tc>
        <w:tc>
          <w:tcPr>
            <w:tcW w:w="992" w:type="dxa"/>
            <w:tcBorders>
              <w:top w:val="nil"/>
              <w:left w:val="nil"/>
              <w:bottom w:val="single" w:sz="4" w:space="0" w:color="auto"/>
              <w:right w:val="single" w:sz="4" w:space="0" w:color="auto"/>
            </w:tcBorders>
            <w:shd w:val="clear" w:color="auto" w:fill="auto"/>
            <w:noWrap/>
            <w:vAlign w:val="center"/>
            <w:hideMark/>
          </w:tcPr>
          <w:p w14:paraId="6AC5D282" w14:textId="77777777" w:rsidR="005824BF" w:rsidRDefault="005824BF">
            <w:pPr>
              <w:jc w:val="right"/>
              <w:rPr>
                <w:rFonts w:ascii="Calibri" w:hAnsi="Calibri" w:cs="Calibri"/>
                <w:color w:val="000000"/>
              </w:rPr>
            </w:pPr>
            <w:r>
              <w:rPr>
                <w:rFonts w:ascii="Calibri" w:hAnsi="Calibri" w:cs="Calibri"/>
                <w:color w:val="000000"/>
              </w:rPr>
              <w:t>2,2</w:t>
            </w:r>
          </w:p>
        </w:tc>
      </w:tr>
      <w:tr w:rsidR="005824BF" w14:paraId="78C628E2"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5617EF43" w14:textId="70A97993" w:rsidR="005824BF" w:rsidRPr="00144AB5" w:rsidRDefault="005824BF">
            <w:pPr>
              <w:rPr>
                <w:rFonts w:ascii="Calibri" w:hAnsi="Calibri" w:cs="Calibri"/>
                <w:color w:val="000000"/>
              </w:rPr>
            </w:pPr>
            <w:r w:rsidRPr="00144AB5">
              <w:rPr>
                <w:rFonts w:ascii="Calibri" w:hAnsi="Calibri" w:cs="Calibri"/>
                <w:color w:val="000000"/>
              </w:rPr>
              <w:t xml:space="preserve">Total </w:t>
            </w:r>
            <w:r w:rsidR="00E433E7" w:rsidRPr="00144AB5">
              <w:rPr>
                <w:rFonts w:ascii="Calibri" w:hAnsi="Calibri" w:cs="Calibri"/>
                <w:color w:val="000000"/>
              </w:rPr>
              <w:t>expenditure</w:t>
            </w:r>
            <w:r w:rsidRPr="00144AB5">
              <w:rPr>
                <w:rFonts w:ascii="Calibri" w:hAnsi="Calibri" w:cs="Calibri"/>
                <w:color w:val="000000"/>
              </w:rPr>
              <w:t xml:space="preserve"> and net lending</w:t>
            </w:r>
          </w:p>
        </w:tc>
        <w:tc>
          <w:tcPr>
            <w:tcW w:w="1275" w:type="dxa"/>
            <w:tcBorders>
              <w:top w:val="nil"/>
              <w:left w:val="nil"/>
              <w:bottom w:val="single" w:sz="4" w:space="0" w:color="auto"/>
              <w:right w:val="single" w:sz="4" w:space="0" w:color="auto"/>
            </w:tcBorders>
            <w:shd w:val="clear" w:color="auto" w:fill="auto"/>
            <w:noWrap/>
            <w:vAlign w:val="center"/>
            <w:hideMark/>
          </w:tcPr>
          <w:p w14:paraId="6F42B41B" w14:textId="77777777" w:rsidR="005824BF" w:rsidRDefault="005824BF">
            <w:pPr>
              <w:jc w:val="right"/>
              <w:rPr>
                <w:rFonts w:ascii="Calibri" w:hAnsi="Calibri" w:cs="Calibri"/>
                <w:color w:val="000000"/>
              </w:rPr>
            </w:pPr>
            <w:r>
              <w:rPr>
                <w:rFonts w:ascii="Calibri" w:hAnsi="Calibri" w:cs="Calibri"/>
                <w:color w:val="000000"/>
              </w:rPr>
              <w:t>20,8</w:t>
            </w:r>
          </w:p>
        </w:tc>
        <w:tc>
          <w:tcPr>
            <w:tcW w:w="851" w:type="dxa"/>
            <w:tcBorders>
              <w:top w:val="nil"/>
              <w:left w:val="nil"/>
              <w:bottom w:val="single" w:sz="4" w:space="0" w:color="auto"/>
              <w:right w:val="single" w:sz="4" w:space="0" w:color="auto"/>
            </w:tcBorders>
            <w:shd w:val="clear" w:color="auto" w:fill="auto"/>
            <w:noWrap/>
            <w:vAlign w:val="center"/>
            <w:hideMark/>
          </w:tcPr>
          <w:p w14:paraId="6D0456AF" w14:textId="77777777" w:rsidR="005824BF" w:rsidRDefault="005824BF">
            <w:pPr>
              <w:jc w:val="right"/>
              <w:rPr>
                <w:rFonts w:ascii="Calibri" w:hAnsi="Calibri" w:cs="Calibri"/>
                <w:color w:val="000000"/>
              </w:rPr>
            </w:pPr>
            <w:r>
              <w:rPr>
                <w:rFonts w:ascii="Calibri" w:hAnsi="Calibri" w:cs="Calibri"/>
                <w:color w:val="000000"/>
              </w:rPr>
              <w:t>18,6</w:t>
            </w:r>
          </w:p>
        </w:tc>
        <w:tc>
          <w:tcPr>
            <w:tcW w:w="992" w:type="dxa"/>
            <w:tcBorders>
              <w:top w:val="nil"/>
              <w:left w:val="nil"/>
              <w:bottom w:val="single" w:sz="4" w:space="0" w:color="auto"/>
              <w:right w:val="single" w:sz="4" w:space="0" w:color="auto"/>
            </w:tcBorders>
            <w:shd w:val="clear" w:color="auto" w:fill="auto"/>
            <w:noWrap/>
            <w:vAlign w:val="center"/>
            <w:hideMark/>
          </w:tcPr>
          <w:p w14:paraId="5A7E608C" w14:textId="77777777" w:rsidR="005824BF" w:rsidRDefault="005824BF">
            <w:pPr>
              <w:jc w:val="right"/>
              <w:rPr>
                <w:rFonts w:ascii="Calibri" w:hAnsi="Calibri" w:cs="Calibri"/>
                <w:color w:val="000000"/>
              </w:rPr>
            </w:pPr>
            <w:r>
              <w:rPr>
                <w:rFonts w:ascii="Calibri" w:hAnsi="Calibri" w:cs="Calibri"/>
                <w:color w:val="000000"/>
              </w:rPr>
              <w:t>20,3</w:t>
            </w:r>
          </w:p>
        </w:tc>
        <w:tc>
          <w:tcPr>
            <w:tcW w:w="992" w:type="dxa"/>
            <w:tcBorders>
              <w:top w:val="nil"/>
              <w:left w:val="nil"/>
              <w:bottom w:val="single" w:sz="4" w:space="0" w:color="auto"/>
              <w:right w:val="single" w:sz="4" w:space="0" w:color="auto"/>
            </w:tcBorders>
            <w:shd w:val="clear" w:color="auto" w:fill="auto"/>
            <w:noWrap/>
            <w:vAlign w:val="center"/>
            <w:hideMark/>
          </w:tcPr>
          <w:p w14:paraId="3D4AC722" w14:textId="77777777" w:rsidR="005824BF" w:rsidRDefault="005824BF">
            <w:pPr>
              <w:jc w:val="right"/>
              <w:rPr>
                <w:rFonts w:ascii="Calibri" w:hAnsi="Calibri" w:cs="Calibri"/>
                <w:color w:val="000000"/>
              </w:rPr>
            </w:pPr>
            <w:r>
              <w:rPr>
                <w:rFonts w:ascii="Calibri" w:hAnsi="Calibri" w:cs="Calibri"/>
                <w:color w:val="000000"/>
              </w:rPr>
              <w:t>21,5</w:t>
            </w:r>
          </w:p>
        </w:tc>
      </w:tr>
      <w:tr w:rsidR="005824BF" w14:paraId="1B053F8B" w14:textId="77777777" w:rsidTr="00CE105F">
        <w:trPr>
          <w:trHeight w:val="680"/>
        </w:trPr>
        <w:tc>
          <w:tcPr>
            <w:tcW w:w="4390" w:type="dxa"/>
            <w:tcBorders>
              <w:top w:val="nil"/>
              <w:left w:val="single" w:sz="4" w:space="0" w:color="auto"/>
              <w:bottom w:val="single" w:sz="4" w:space="0" w:color="auto"/>
              <w:right w:val="single" w:sz="4" w:space="0" w:color="auto"/>
            </w:tcBorders>
            <w:shd w:val="clear" w:color="auto" w:fill="auto"/>
            <w:hideMark/>
          </w:tcPr>
          <w:p w14:paraId="651B5585" w14:textId="77777777" w:rsidR="005824BF" w:rsidRPr="00144AB5" w:rsidRDefault="005824BF">
            <w:pPr>
              <w:rPr>
                <w:rFonts w:ascii="Calibri" w:hAnsi="Calibri" w:cs="Calibri"/>
                <w:color w:val="000000"/>
              </w:rPr>
            </w:pPr>
            <w:r w:rsidRPr="00144AB5">
              <w:rPr>
                <w:rFonts w:ascii="Calibri" w:hAnsi="Calibri" w:cs="Calibri"/>
                <w:color w:val="000000"/>
              </w:rPr>
              <w:t>Extrabudgetary funds and net quasi-fiscal operations</w:t>
            </w:r>
          </w:p>
        </w:tc>
        <w:tc>
          <w:tcPr>
            <w:tcW w:w="1275" w:type="dxa"/>
            <w:tcBorders>
              <w:top w:val="nil"/>
              <w:left w:val="nil"/>
              <w:bottom w:val="single" w:sz="4" w:space="0" w:color="auto"/>
              <w:right w:val="single" w:sz="4" w:space="0" w:color="auto"/>
            </w:tcBorders>
            <w:shd w:val="clear" w:color="auto" w:fill="auto"/>
            <w:noWrap/>
            <w:vAlign w:val="center"/>
            <w:hideMark/>
          </w:tcPr>
          <w:p w14:paraId="64ACAD0D" w14:textId="77777777" w:rsidR="005824BF" w:rsidRDefault="005824BF">
            <w:pPr>
              <w:jc w:val="right"/>
              <w:rPr>
                <w:rFonts w:ascii="Calibri" w:hAnsi="Calibri" w:cs="Calibri"/>
                <w:color w:val="000000"/>
              </w:rPr>
            </w:pPr>
            <w:r>
              <w:rPr>
                <w:rFonts w:ascii="Calibri" w:hAnsi="Calibri" w:cs="Calibri"/>
                <w:color w:val="000000"/>
              </w:rPr>
              <w:t>0,6</w:t>
            </w:r>
          </w:p>
        </w:tc>
        <w:tc>
          <w:tcPr>
            <w:tcW w:w="851" w:type="dxa"/>
            <w:tcBorders>
              <w:top w:val="nil"/>
              <w:left w:val="nil"/>
              <w:bottom w:val="single" w:sz="4" w:space="0" w:color="auto"/>
              <w:right w:val="single" w:sz="4" w:space="0" w:color="auto"/>
            </w:tcBorders>
            <w:shd w:val="clear" w:color="auto" w:fill="auto"/>
            <w:noWrap/>
            <w:vAlign w:val="center"/>
            <w:hideMark/>
          </w:tcPr>
          <w:p w14:paraId="4F77AE7A" w14:textId="77777777" w:rsidR="005824BF" w:rsidRDefault="005824BF">
            <w:pPr>
              <w:jc w:val="right"/>
              <w:rPr>
                <w:rFonts w:ascii="Calibri" w:hAnsi="Calibri" w:cs="Calibri"/>
                <w:color w:val="000000"/>
              </w:rPr>
            </w:pPr>
            <w:r>
              <w:rPr>
                <w:rFonts w:ascii="Calibri" w:hAnsi="Calibri" w:cs="Calibri"/>
                <w:color w:val="000000"/>
              </w:rPr>
              <w:t>0</w:t>
            </w:r>
          </w:p>
        </w:tc>
        <w:tc>
          <w:tcPr>
            <w:tcW w:w="992" w:type="dxa"/>
            <w:tcBorders>
              <w:top w:val="nil"/>
              <w:left w:val="nil"/>
              <w:bottom w:val="single" w:sz="4" w:space="0" w:color="auto"/>
              <w:right w:val="single" w:sz="4" w:space="0" w:color="auto"/>
            </w:tcBorders>
            <w:shd w:val="clear" w:color="auto" w:fill="auto"/>
            <w:noWrap/>
            <w:vAlign w:val="center"/>
            <w:hideMark/>
          </w:tcPr>
          <w:p w14:paraId="3D6D6798" w14:textId="77777777" w:rsidR="005824BF" w:rsidRDefault="005824BF">
            <w:pPr>
              <w:jc w:val="right"/>
              <w:rPr>
                <w:rFonts w:ascii="Calibri" w:hAnsi="Calibri" w:cs="Calibri"/>
                <w:color w:val="000000"/>
              </w:rPr>
            </w:pPr>
            <w:r>
              <w:rPr>
                <w:rFonts w:ascii="Calibri" w:hAnsi="Calibri" w:cs="Calibri"/>
                <w:color w:val="000000"/>
              </w:rPr>
              <w:t>0</w:t>
            </w:r>
          </w:p>
        </w:tc>
        <w:tc>
          <w:tcPr>
            <w:tcW w:w="992" w:type="dxa"/>
            <w:tcBorders>
              <w:top w:val="nil"/>
              <w:left w:val="nil"/>
              <w:bottom w:val="single" w:sz="4" w:space="0" w:color="auto"/>
              <w:right w:val="single" w:sz="4" w:space="0" w:color="auto"/>
            </w:tcBorders>
            <w:shd w:val="clear" w:color="auto" w:fill="auto"/>
            <w:noWrap/>
            <w:vAlign w:val="center"/>
            <w:hideMark/>
          </w:tcPr>
          <w:p w14:paraId="292C13ED" w14:textId="77777777" w:rsidR="005824BF" w:rsidRDefault="005824BF">
            <w:pPr>
              <w:jc w:val="right"/>
              <w:rPr>
                <w:rFonts w:ascii="Calibri" w:hAnsi="Calibri" w:cs="Calibri"/>
                <w:color w:val="000000"/>
              </w:rPr>
            </w:pPr>
            <w:r>
              <w:rPr>
                <w:rFonts w:ascii="Calibri" w:hAnsi="Calibri" w:cs="Calibri"/>
                <w:color w:val="000000"/>
              </w:rPr>
              <w:t>0</w:t>
            </w:r>
          </w:p>
        </w:tc>
      </w:tr>
      <w:tr w:rsidR="005824BF" w14:paraId="0A33B891"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3363862C" w14:textId="77777777" w:rsidR="005824BF" w:rsidRDefault="005824BF">
            <w:pPr>
              <w:rPr>
                <w:rFonts w:ascii="Calibri" w:hAnsi="Calibri" w:cs="Calibri"/>
                <w:color w:val="000000"/>
              </w:rPr>
            </w:pPr>
            <w:r>
              <w:rPr>
                <w:rFonts w:ascii="Calibri" w:hAnsi="Calibri" w:cs="Calibri"/>
                <w:color w:val="000000"/>
              </w:rPr>
              <w:t>Overall budget deficit</w:t>
            </w:r>
          </w:p>
        </w:tc>
        <w:tc>
          <w:tcPr>
            <w:tcW w:w="1275" w:type="dxa"/>
            <w:tcBorders>
              <w:top w:val="nil"/>
              <w:left w:val="nil"/>
              <w:bottom w:val="single" w:sz="4" w:space="0" w:color="auto"/>
              <w:right w:val="single" w:sz="4" w:space="0" w:color="auto"/>
            </w:tcBorders>
            <w:shd w:val="clear" w:color="auto" w:fill="auto"/>
            <w:noWrap/>
            <w:vAlign w:val="center"/>
            <w:hideMark/>
          </w:tcPr>
          <w:p w14:paraId="0C1F1530" w14:textId="77777777" w:rsidR="005824BF" w:rsidRDefault="005824BF">
            <w:pPr>
              <w:jc w:val="right"/>
              <w:rPr>
                <w:rFonts w:ascii="Calibri" w:hAnsi="Calibri" w:cs="Calibri"/>
                <w:color w:val="000000"/>
              </w:rPr>
            </w:pPr>
            <w:r>
              <w:rPr>
                <w:rFonts w:ascii="Calibri" w:hAnsi="Calibri" w:cs="Calibri"/>
                <w:color w:val="000000"/>
              </w:rPr>
              <w:t>2,5</w:t>
            </w:r>
          </w:p>
        </w:tc>
        <w:tc>
          <w:tcPr>
            <w:tcW w:w="851" w:type="dxa"/>
            <w:tcBorders>
              <w:top w:val="nil"/>
              <w:left w:val="nil"/>
              <w:bottom w:val="single" w:sz="4" w:space="0" w:color="auto"/>
              <w:right w:val="single" w:sz="4" w:space="0" w:color="auto"/>
            </w:tcBorders>
            <w:shd w:val="clear" w:color="auto" w:fill="auto"/>
            <w:noWrap/>
            <w:vAlign w:val="center"/>
            <w:hideMark/>
          </w:tcPr>
          <w:p w14:paraId="1F7C85B1" w14:textId="77777777" w:rsidR="005824BF" w:rsidRDefault="005824BF">
            <w:pPr>
              <w:jc w:val="right"/>
              <w:rPr>
                <w:rFonts w:ascii="Calibri" w:hAnsi="Calibri" w:cs="Calibri"/>
                <w:color w:val="000000"/>
              </w:rPr>
            </w:pPr>
            <w:r>
              <w:rPr>
                <w:rFonts w:ascii="Calibri" w:hAnsi="Calibri" w:cs="Calibri"/>
                <w:color w:val="000000"/>
              </w:rPr>
              <w:t>3,1</w:t>
            </w:r>
          </w:p>
        </w:tc>
        <w:tc>
          <w:tcPr>
            <w:tcW w:w="992" w:type="dxa"/>
            <w:tcBorders>
              <w:top w:val="nil"/>
              <w:left w:val="nil"/>
              <w:bottom w:val="single" w:sz="4" w:space="0" w:color="auto"/>
              <w:right w:val="single" w:sz="4" w:space="0" w:color="auto"/>
            </w:tcBorders>
            <w:shd w:val="clear" w:color="auto" w:fill="auto"/>
            <w:noWrap/>
            <w:vAlign w:val="center"/>
            <w:hideMark/>
          </w:tcPr>
          <w:p w14:paraId="07219412" w14:textId="77777777" w:rsidR="005824BF" w:rsidRDefault="005824BF">
            <w:pPr>
              <w:jc w:val="right"/>
              <w:rPr>
                <w:rFonts w:ascii="Calibri" w:hAnsi="Calibri" w:cs="Calibri"/>
                <w:color w:val="000000"/>
              </w:rPr>
            </w:pPr>
            <w:r>
              <w:rPr>
                <w:rFonts w:ascii="Calibri" w:hAnsi="Calibri" w:cs="Calibri"/>
                <w:color w:val="000000"/>
              </w:rPr>
              <w:t>3,8</w:t>
            </w:r>
          </w:p>
        </w:tc>
        <w:tc>
          <w:tcPr>
            <w:tcW w:w="992" w:type="dxa"/>
            <w:tcBorders>
              <w:top w:val="nil"/>
              <w:left w:val="nil"/>
              <w:bottom w:val="single" w:sz="4" w:space="0" w:color="auto"/>
              <w:right w:val="single" w:sz="4" w:space="0" w:color="auto"/>
            </w:tcBorders>
            <w:shd w:val="clear" w:color="auto" w:fill="auto"/>
            <w:noWrap/>
            <w:vAlign w:val="center"/>
            <w:hideMark/>
          </w:tcPr>
          <w:p w14:paraId="2E3A35EE" w14:textId="77777777" w:rsidR="005824BF" w:rsidRDefault="005824BF">
            <w:pPr>
              <w:jc w:val="right"/>
              <w:rPr>
                <w:rFonts w:ascii="Calibri" w:hAnsi="Calibri" w:cs="Calibri"/>
                <w:color w:val="000000"/>
              </w:rPr>
            </w:pPr>
            <w:r>
              <w:rPr>
                <w:rFonts w:ascii="Calibri" w:hAnsi="Calibri" w:cs="Calibri"/>
                <w:color w:val="000000"/>
              </w:rPr>
              <w:t>5,5</w:t>
            </w:r>
          </w:p>
        </w:tc>
      </w:tr>
      <w:tr w:rsidR="005824BF" w14:paraId="5FB592B5"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7D3C42A0" w14:textId="77777777" w:rsidR="005824BF" w:rsidRDefault="005824BF">
            <w:pPr>
              <w:rPr>
                <w:rFonts w:ascii="Calibri" w:hAnsi="Calibri" w:cs="Calibri"/>
                <w:color w:val="000000"/>
              </w:rPr>
            </w:pPr>
            <w:r>
              <w:rPr>
                <w:rFonts w:ascii="Calibri" w:hAnsi="Calibri" w:cs="Calibri"/>
                <w:color w:val="000000"/>
              </w:rPr>
              <w:t>Financing</w:t>
            </w:r>
          </w:p>
        </w:tc>
        <w:tc>
          <w:tcPr>
            <w:tcW w:w="1275" w:type="dxa"/>
            <w:tcBorders>
              <w:top w:val="nil"/>
              <w:left w:val="nil"/>
              <w:bottom w:val="single" w:sz="4" w:space="0" w:color="auto"/>
              <w:right w:val="single" w:sz="4" w:space="0" w:color="auto"/>
            </w:tcBorders>
            <w:shd w:val="clear" w:color="auto" w:fill="auto"/>
            <w:noWrap/>
            <w:vAlign w:val="center"/>
            <w:hideMark/>
          </w:tcPr>
          <w:p w14:paraId="0BD4FDEC" w14:textId="77777777" w:rsidR="005824BF" w:rsidRDefault="005824BF">
            <w:pPr>
              <w:jc w:val="right"/>
              <w:rPr>
                <w:rFonts w:ascii="Calibri" w:hAnsi="Calibri" w:cs="Calibri"/>
                <w:color w:val="000000"/>
              </w:rPr>
            </w:pPr>
            <w:r>
              <w:rPr>
                <w:rFonts w:ascii="Calibri" w:hAnsi="Calibri" w:cs="Calibri"/>
                <w:color w:val="000000"/>
              </w:rPr>
              <w:t>2</w:t>
            </w:r>
          </w:p>
        </w:tc>
        <w:tc>
          <w:tcPr>
            <w:tcW w:w="851" w:type="dxa"/>
            <w:tcBorders>
              <w:top w:val="nil"/>
              <w:left w:val="nil"/>
              <w:bottom w:val="single" w:sz="4" w:space="0" w:color="auto"/>
              <w:right w:val="single" w:sz="4" w:space="0" w:color="auto"/>
            </w:tcBorders>
            <w:shd w:val="clear" w:color="auto" w:fill="auto"/>
            <w:noWrap/>
            <w:vAlign w:val="center"/>
            <w:hideMark/>
          </w:tcPr>
          <w:p w14:paraId="051DFBB6" w14:textId="77777777" w:rsidR="005824BF" w:rsidRDefault="005824BF">
            <w:pPr>
              <w:jc w:val="right"/>
              <w:rPr>
                <w:rFonts w:ascii="Calibri" w:hAnsi="Calibri" w:cs="Calibri"/>
                <w:color w:val="000000"/>
              </w:rPr>
            </w:pPr>
            <w:r>
              <w:rPr>
                <w:rFonts w:ascii="Calibri" w:hAnsi="Calibri" w:cs="Calibri"/>
                <w:color w:val="000000"/>
              </w:rPr>
              <w:t>2,5</w:t>
            </w:r>
          </w:p>
        </w:tc>
        <w:tc>
          <w:tcPr>
            <w:tcW w:w="992" w:type="dxa"/>
            <w:tcBorders>
              <w:top w:val="nil"/>
              <w:left w:val="nil"/>
              <w:bottom w:val="single" w:sz="4" w:space="0" w:color="auto"/>
              <w:right w:val="single" w:sz="4" w:space="0" w:color="auto"/>
            </w:tcBorders>
            <w:shd w:val="clear" w:color="auto" w:fill="auto"/>
            <w:noWrap/>
            <w:vAlign w:val="center"/>
            <w:hideMark/>
          </w:tcPr>
          <w:p w14:paraId="6A4E38B3" w14:textId="77777777" w:rsidR="005824BF" w:rsidRDefault="005824BF">
            <w:pPr>
              <w:jc w:val="right"/>
              <w:rPr>
                <w:rFonts w:ascii="Calibri" w:hAnsi="Calibri" w:cs="Calibri"/>
                <w:color w:val="000000"/>
              </w:rPr>
            </w:pPr>
            <w:r>
              <w:rPr>
                <w:rFonts w:ascii="Calibri" w:hAnsi="Calibri" w:cs="Calibri"/>
                <w:color w:val="000000"/>
              </w:rPr>
              <w:t>3,6</w:t>
            </w:r>
          </w:p>
        </w:tc>
        <w:tc>
          <w:tcPr>
            <w:tcW w:w="992" w:type="dxa"/>
            <w:tcBorders>
              <w:top w:val="nil"/>
              <w:left w:val="nil"/>
              <w:bottom w:val="single" w:sz="4" w:space="0" w:color="auto"/>
              <w:right w:val="single" w:sz="4" w:space="0" w:color="auto"/>
            </w:tcBorders>
            <w:shd w:val="clear" w:color="auto" w:fill="auto"/>
            <w:noWrap/>
            <w:vAlign w:val="center"/>
            <w:hideMark/>
          </w:tcPr>
          <w:p w14:paraId="55E22516" w14:textId="77777777" w:rsidR="005824BF" w:rsidRDefault="005824BF">
            <w:pPr>
              <w:jc w:val="right"/>
              <w:rPr>
                <w:rFonts w:ascii="Calibri" w:hAnsi="Calibri" w:cs="Calibri"/>
                <w:color w:val="000000"/>
              </w:rPr>
            </w:pPr>
            <w:r>
              <w:rPr>
                <w:rFonts w:ascii="Calibri" w:hAnsi="Calibri" w:cs="Calibri"/>
                <w:color w:val="000000"/>
              </w:rPr>
              <w:t>5,5</w:t>
            </w:r>
          </w:p>
        </w:tc>
      </w:tr>
      <w:tr w:rsidR="005824BF" w14:paraId="364F8A8D"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53CA222A" w14:textId="77777777" w:rsidR="005824BF" w:rsidRDefault="005824BF">
            <w:pPr>
              <w:rPr>
                <w:rFonts w:ascii="Calibri" w:hAnsi="Calibri" w:cs="Calibri"/>
                <w:color w:val="000000"/>
              </w:rPr>
            </w:pPr>
            <w:r>
              <w:rPr>
                <w:rFonts w:ascii="Calibri" w:hAnsi="Calibri" w:cs="Calibri"/>
                <w:color w:val="000000"/>
              </w:rPr>
              <w:t>Domestic banking system</w:t>
            </w:r>
          </w:p>
        </w:tc>
        <w:tc>
          <w:tcPr>
            <w:tcW w:w="1275" w:type="dxa"/>
            <w:tcBorders>
              <w:top w:val="nil"/>
              <w:left w:val="nil"/>
              <w:bottom w:val="single" w:sz="4" w:space="0" w:color="auto"/>
              <w:right w:val="single" w:sz="4" w:space="0" w:color="auto"/>
            </w:tcBorders>
            <w:shd w:val="clear" w:color="auto" w:fill="auto"/>
            <w:noWrap/>
            <w:vAlign w:val="center"/>
            <w:hideMark/>
          </w:tcPr>
          <w:p w14:paraId="0C8D7B21" w14:textId="77777777" w:rsidR="005824BF" w:rsidRDefault="005824BF">
            <w:pPr>
              <w:jc w:val="right"/>
              <w:rPr>
                <w:rFonts w:ascii="Calibri" w:hAnsi="Calibri" w:cs="Calibri"/>
                <w:color w:val="000000"/>
              </w:rPr>
            </w:pPr>
            <w:r>
              <w:rPr>
                <w:rFonts w:ascii="Calibri" w:hAnsi="Calibri" w:cs="Calibri"/>
                <w:color w:val="000000"/>
              </w:rPr>
              <w:t>1</w:t>
            </w:r>
          </w:p>
        </w:tc>
        <w:tc>
          <w:tcPr>
            <w:tcW w:w="851" w:type="dxa"/>
            <w:tcBorders>
              <w:top w:val="nil"/>
              <w:left w:val="nil"/>
              <w:bottom w:val="single" w:sz="4" w:space="0" w:color="auto"/>
              <w:right w:val="single" w:sz="4" w:space="0" w:color="auto"/>
            </w:tcBorders>
            <w:shd w:val="clear" w:color="auto" w:fill="auto"/>
            <w:noWrap/>
            <w:vAlign w:val="center"/>
            <w:hideMark/>
          </w:tcPr>
          <w:p w14:paraId="2AB95A9C" w14:textId="77777777" w:rsidR="005824BF" w:rsidRDefault="005824BF">
            <w:pPr>
              <w:jc w:val="right"/>
              <w:rPr>
                <w:rFonts w:ascii="Calibri" w:hAnsi="Calibri" w:cs="Calibri"/>
                <w:color w:val="000000"/>
              </w:rPr>
            </w:pPr>
            <w:r>
              <w:rPr>
                <w:rFonts w:ascii="Calibri" w:hAnsi="Calibri" w:cs="Calibri"/>
                <w:color w:val="000000"/>
              </w:rPr>
              <w:t>-0,1</w:t>
            </w:r>
          </w:p>
        </w:tc>
        <w:tc>
          <w:tcPr>
            <w:tcW w:w="992" w:type="dxa"/>
            <w:tcBorders>
              <w:top w:val="nil"/>
              <w:left w:val="nil"/>
              <w:bottom w:val="single" w:sz="4" w:space="0" w:color="auto"/>
              <w:right w:val="single" w:sz="4" w:space="0" w:color="auto"/>
            </w:tcBorders>
            <w:shd w:val="clear" w:color="auto" w:fill="auto"/>
            <w:noWrap/>
            <w:vAlign w:val="center"/>
            <w:hideMark/>
          </w:tcPr>
          <w:p w14:paraId="23D5E04D" w14:textId="77777777" w:rsidR="005824BF" w:rsidRDefault="005824BF">
            <w:pPr>
              <w:jc w:val="right"/>
              <w:rPr>
                <w:rFonts w:ascii="Calibri" w:hAnsi="Calibri" w:cs="Calibri"/>
                <w:color w:val="000000"/>
              </w:rPr>
            </w:pPr>
            <w:r>
              <w:rPr>
                <w:rFonts w:ascii="Calibri" w:hAnsi="Calibri" w:cs="Calibri"/>
                <w:color w:val="000000"/>
              </w:rPr>
              <w:t>0,9</w:t>
            </w:r>
          </w:p>
        </w:tc>
        <w:tc>
          <w:tcPr>
            <w:tcW w:w="992" w:type="dxa"/>
            <w:tcBorders>
              <w:top w:val="nil"/>
              <w:left w:val="nil"/>
              <w:bottom w:val="single" w:sz="4" w:space="0" w:color="auto"/>
              <w:right w:val="single" w:sz="4" w:space="0" w:color="auto"/>
            </w:tcBorders>
            <w:shd w:val="clear" w:color="auto" w:fill="auto"/>
            <w:noWrap/>
            <w:vAlign w:val="center"/>
            <w:hideMark/>
          </w:tcPr>
          <w:p w14:paraId="5F0AA457" w14:textId="77777777" w:rsidR="005824BF" w:rsidRDefault="005824BF">
            <w:pPr>
              <w:jc w:val="right"/>
              <w:rPr>
                <w:rFonts w:ascii="Calibri" w:hAnsi="Calibri" w:cs="Calibri"/>
                <w:color w:val="000000"/>
              </w:rPr>
            </w:pPr>
            <w:r>
              <w:rPr>
                <w:rFonts w:ascii="Calibri" w:hAnsi="Calibri" w:cs="Calibri"/>
                <w:color w:val="000000"/>
              </w:rPr>
              <w:t>0,9</w:t>
            </w:r>
          </w:p>
        </w:tc>
      </w:tr>
      <w:tr w:rsidR="005824BF" w14:paraId="0A87B9C5" w14:textId="77777777" w:rsidTr="00CE105F">
        <w:trPr>
          <w:trHeight w:val="320"/>
        </w:trPr>
        <w:tc>
          <w:tcPr>
            <w:tcW w:w="4390" w:type="dxa"/>
            <w:tcBorders>
              <w:top w:val="nil"/>
              <w:left w:val="single" w:sz="4" w:space="0" w:color="auto"/>
              <w:bottom w:val="single" w:sz="4" w:space="0" w:color="auto"/>
              <w:right w:val="single" w:sz="4" w:space="0" w:color="auto"/>
            </w:tcBorders>
            <w:shd w:val="clear" w:color="auto" w:fill="auto"/>
            <w:noWrap/>
            <w:hideMark/>
          </w:tcPr>
          <w:p w14:paraId="2483211C" w14:textId="77777777" w:rsidR="005824BF" w:rsidRDefault="005824BF">
            <w:pPr>
              <w:rPr>
                <w:rFonts w:ascii="Calibri" w:hAnsi="Calibri" w:cs="Calibri"/>
                <w:color w:val="000000"/>
              </w:rPr>
            </w:pPr>
            <w:r>
              <w:rPr>
                <w:rFonts w:ascii="Calibri" w:hAnsi="Calibri" w:cs="Calibri"/>
                <w:color w:val="000000"/>
              </w:rPr>
              <w:t>Foreign</w:t>
            </w:r>
          </w:p>
        </w:tc>
        <w:tc>
          <w:tcPr>
            <w:tcW w:w="1275" w:type="dxa"/>
            <w:tcBorders>
              <w:top w:val="nil"/>
              <w:left w:val="nil"/>
              <w:bottom w:val="single" w:sz="4" w:space="0" w:color="auto"/>
              <w:right w:val="single" w:sz="4" w:space="0" w:color="auto"/>
            </w:tcBorders>
            <w:shd w:val="clear" w:color="auto" w:fill="auto"/>
            <w:noWrap/>
            <w:vAlign w:val="center"/>
            <w:hideMark/>
          </w:tcPr>
          <w:p w14:paraId="5599F980" w14:textId="77777777" w:rsidR="005824BF" w:rsidRDefault="005824BF">
            <w:pPr>
              <w:jc w:val="right"/>
              <w:rPr>
                <w:rFonts w:ascii="Calibri" w:hAnsi="Calibri" w:cs="Calibri"/>
                <w:color w:val="000000"/>
              </w:rPr>
            </w:pPr>
            <w:r>
              <w:rPr>
                <w:rFonts w:ascii="Calibri" w:hAnsi="Calibri" w:cs="Calibri"/>
                <w:color w:val="000000"/>
              </w:rPr>
              <w:t>2</w:t>
            </w:r>
          </w:p>
        </w:tc>
        <w:tc>
          <w:tcPr>
            <w:tcW w:w="851" w:type="dxa"/>
            <w:tcBorders>
              <w:top w:val="nil"/>
              <w:left w:val="nil"/>
              <w:bottom w:val="single" w:sz="4" w:space="0" w:color="auto"/>
              <w:right w:val="single" w:sz="4" w:space="0" w:color="auto"/>
            </w:tcBorders>
            <w:shd w:val="clear" w:color="auto" w:fill="auto"/>
            <w:noWrap/>
            <w:vAlign w:val="center"/>
            <w:hideMark/>
          </w:tcPr>
          <w:p w14:paraId="0F058489" w14:textId="77777777" w:rsidR="005824BF" w:rsidRDefault="005824BF">
            <w:pPr>
              <w:jc w:val="right"/>
              <w:rPr>
                <w:rFonts w:ascii="Calibri" w:hAnsi="Calibri" w:cs="Calibri"/>
                <w:color w:val="000000"/>
              </w:rPr>
            </w:pPr>
            <w:r>
              <w:rPr>
                <w:rFonts w:ascii="Calibri" w:hAnsi="Calibri" w:cs="Calibri"/>
                <w:color w:val="000000"/>
              </w:rPr>
              <w:t>2,6</w:t>
            </w:r>
          </w:p>
        </w:tc>
        <w:tc>
          <w:tcPr>
            <w:tcW w:w="992" w:type="dxa"/>
            <w:tcBorders>
              <w:top w:val="nil"/>
              <w:left w:val="nil"/>
              <w:bottom w:val="single" w:sz="4" w:space="0" w:color="auto"/>
              <w:right w:val="single" w:sz="4" w:space="0" w:color="auto"/>
            </w:tcBorders>
            <w:shd w:val="clear" w:color="auto" w:fill="auto"/>
            <w:noWrap/>
            <w:vAlign w:val="center"/>
            <w:hideMark/>
          </w:tcPr>
          <w:p w14:paraId="61BA37DC" w14:textId="77777777" w:rsidR="005824BF" w:rsidRDefault="005824BF">
            <w:pPr>
              <w:jc w:val="right"/>
              <w:rPr>
                <w:rFonts w:ascii="Calibri" w:hAnsi="Calibri" w:cs="Calibri"/>
                <w:color w:val="000000"/>
              </w:rPr>
            </w:pPr>
            <w:r>
              <w:rPr>
                <w:rFonts w:ascii="Calibri" w:hAnsi="Calibri" w:cs="Calibri"/>
                <w:color w:val="000000"/>
              </w:rPr>
              <w:t>2,6</w:t>
            </w:r>
          </w:p>
        </w:tc>
        <w:tc>
          <w:tcPr>
            <w:tcW w:w="992" w:type="dxa"/>
            <w:tcBorders>
              <w:top w:val="nil"/>
              <w:left w:val="nil"/>
              <w:bottom w:val="single" w:sz="4" w:space="0" w:color="auto"/>
              <w:right w:val="single" w:sz="4" w:space="0" w:color="auto"/>
            </w:tcBorders>
            <w:shd w:val="clear" w:color="auto" w:fill="auto"/>
            <w:noWrap/>
            <w:vAlign w:val="center"/>
            <w:hideMark/>
          </w:tcPr>
          <w:p w14:paraId="3FFDE6B0" w14:textId="77777777" w:rsidR="005824BF" w:rsidRDefault="005824BF">
            <w:pPr>
              <w:jc w:val="right"/>
              <w:rPr>
                <w:rFonts w:ascii="Calibri" w:hAnsi="Calibri" w:cs="Calibri"/>
                <w:color w:val="000000"/>
              </w:rPr>
            </w:pPr>
            <w:r>
              <w:rPr>
                <w:rFonts w:ascii="Calibri" w:hAnsi="Calibri" w:cs="Calibri"/>
                <w:color w:val="000000"/>
              </w:rPr>
              <w:t>3,8</w:t>
            </w:r>
          </w:p>
        </w:tc>
      </w:tr>
    </w:tbl>
    <w:p w14:paraId="7E94CCD9" w14:textId="76BB6C0E" w:rsidR="00EC79BC" w:rsidRPr="00144AB5" w:rsidRDefault="004F5079" w:rsidP="005824BF">
      <w:pPr>
        <w:jc w:val="both"/>
        <w:rPr>
          <w:rFonts w:eastAsiaTheme="minorHAnsi"/>
          <w:sz w:val="22"/>
          <w:szCs w:val="22"/>
        </w:rPr>
      </w:pPr>
      <w:r w:rsidRPr="00144AB5">
        <w:rPr>
          <w:sz w:val="22"/>
          <w:szCs w:val="22"/>
        </w:rPr>
        <w:t xml:space="preserve">Source: </w:t>
      </w:r>
      <w:r w:rsidR="00330B11" w:rsidRPr="00144AB5">
        <w:rPr>
          <w:sz w:val="22"/>
          <w:szCs w:val="22"/>
        </w:rPr>
        <w:t>International Monetary Fund, Republic of Kazakhstan: Recent Economic Developments, IMF Staff Country Report No. 98/84</w:t>
      </w:r>
      <w:r w:rsidR="00184939" w:rsidRPr="00144AB5">
        <w:rPr>
          <w:sz w:val="22"/>
          <w:szCs w:val="22"/>
        </w:rPr>
        <w:t xml:space="preserve">, pp. </w:t>
      </w:r>
      <w:r w:rsidR="00A44264" w:rsidRPr="00144AB5">
        <w:rPr>
          <w:sz w:val="22"/>
          <w:szCs w:val="22"/>
        </w:rPr>
        <w:t>19-20</w:t>
      </w:r>
      <w:r w:rsidR="00A408E5" w:rsidRPr="00144AB5">
        <w:rPr>
          <w:sz w:val="22"/>
          <w:szCs w:val="22"/>
        </w:rPr>
        <w:t>.</w:t>
      </w:r>
    </w:p>
    <w:p w14:paraId="5B94DED4" w14:textId="77777777" w:rsidR="004F5079" w:rsidRPr="00144AB5" w:rsidRDefault="004F5079" w:rsidP="00E47560">
      <w:pPr>
        <w:spacing w:line="360" w:lineRule="auto"/>
        <w:jc w:val="both"/>
        <w:rPr>
          <w:rFonts w:eastAsiaTheme="minorHAnsi"/>
          <w:kern w:val="2"/>
          <w:sz w:val="22"/>
          <w:szCs w:val="22"/>
          <w:shd w:val="clear" w:color="auto" w:fill="FFFFFF"/>
          <w14:ligatures w14:val="standardContextual"/>
        </w:rPr>
      </w:pPr>
    </w:p>
    <w:p w14:paraId="4CC69A87" w14:textId="65C9481F" w:rsidR="00D6254E" w:rsidRPr="00144AB5" w:rsidRDefault="003F3000" w:rsidP="0081674D">
      <w:pPr>
        <w:spacing w:line="360" w:lineRule="auto"/>
        <w:ind w:firstLine="708"/>
        <w:jc w:val="both"/>
      </w:pPr>
      <w:r w:rsidRPr="00FF42BF">
        <w:t>As can be seen from the indicators, in the first years after the transition to a market economy, there was a decline in budget revenues from 17.6% of GDP in 1995 to 16% in 1998. This decline is explained by the fact that since 1991, there was a decline in industrial output of up to -62%, which reduced the tax base. This decline</w:t>
      </w:r>
      <w:r w:rsidR="006E2DF5" w:rsidRPr="00FF42BF">
        <w:t xml:space="preserve"> in </w:t>
      </w:r>
      <w:r w:rsidR="007202DB" w:rsidRPr="00FF42BF">
        <w:t>output</w:t>
      </w:r>
      <w:r w:rsidRPr="00FF42BF">
        <w:t xml:space="preserve"> </w:t>
      </w:r>
      <w:r w:rsidR="00E155E1" w:rsidRPr="00FF42BF">
        <w:t>is explained by the following factors</w:t>
      </w:r>
      <w:r w:rsidRPr="00FF42BF">
        <w:t>. First, the</w:t>
      </w:r>
      <w:r w:rsidRPr="00144AB5">
        <w:t xml:space="preserve"> decline in production was caused by the destruction of economic ties between former subjects of the unified national economic complex of the USSR. Second, during the transition, there was a problem with marketing </w:t>
      </w:r>
      <w:r w:rsidRPr="00144AB5">
        <w:lastRenderedPageBreak/>
        <w:t xml:space="preserve">products and a severe lack of funds for both the state and the population. As a result, state-owned enterprises reduced production, released products without paying salaries to workers, and took out additional loans, which exacerbated the payment crisis. Third, unforeseen expenses associated with the transfer of the army to the government of Kazakhstan and non-production facilities increased the expenditure portion of the budget. One of the primary reasons for the increase in budget expenditure was the issue of funding. The fact that, in the first years of independence among the Central Asian republics, there was no clear legislation on taxes, wages, pricing, and the mechanism of operation of the market economy led to an increase in the issuance of money. Furthermore, inflation and the exit from the ruble zone worsened the situation in the consumer market, which affected the living standard of the population. In addition, tax revenues gradually declined as the economy </w:t>
      </w:r>
      <w:r w:rsidR="00ED67E8" w:rsidRPr="00144AB5">
        <w:t>declined,</w:t>
      </w:r>
      <w:r w:rsidRPr="00144AB5">
        <w:t xml:space="preserve"> and the tax system was weak during the transition period. At the beginning of independence, the country faced a budget deficit. As was mentioned above, spending remained high, ranging from 18.6% to 21.5% of GDP, leading to a sustained budget deficit. It is </w:t>
      </w:r>
      <w:r w:rsidR="00165906" w:rsidRPr="00144AB5">
        <w:t>important to point out that</w:t>
      </w:r>
      <w:r w:rsidRPr="00144AB5">
        <w:t>, excluding privatization revenues, the budget deficit reached 7.8% of GDP in 1998, which confirms its structural nature and fiscal vulnerability to external financing over the transition period</w:t>
      </w:r>
      <w:r w:rsidRPr="004F62A5">
        <w:rPr>
          <w:rStyle w:val="ae"/>
          <w:shd w:val="clear" w:color="auto" w:fill="FFFFFF"/>
        </w:rPr>
        <w:footnoteReference w:id="24"/>
      </w:r>
      <w:r w:rsidRPr="00144AB5">
        <w:rPr>
          <w:shd w:val="clear" w:color="auto" w:fill="FFFFFF"/>
        </w:rPr>
        <w:t>.</w:t>
      </w:r>
      <w:r w:rsidRPr="00144AB5">
        <w:t xml:space="preserve"> The trend of privatization receipts deserves special attention. Money was received by the state from the sales of state-owned enterprises and assets. Based on IMF data, these funds were used by the state to cover the deficit budget, which allowed for a temporary reduction in borrowing needs. It is thus appropriate to consider privatization revenue as a one-time </w:t>
      </w:r>
      <w:r w:rsidR="00CA5A42" w:rsidRPr="00144AB5">
        <w:t>payment</w:t>
      </w:r>
      <w:r w:rsidRPr="00144AB5">
        <w:t xml:space="preserve"> and source of financing the budget deficit, rather than as ordinary income. As we can see, in 1995 the income from privatization amounted to 0.7% of GDP, increasing with each year, indicating a more active phase of privatization in the years of transition to a market economy. As far as financing is concerned, the country used both domestic and external funding systems. Foreign financing increased from 2% in 1995 to 3.8% in 1998, indicating a high dependence on international aid</w:t>
      </w:r>
      <w:r w:rsidRPr="004F62A5">
        <w:rPr>
          <w:rStyle w:val="ae"/>
          <w:shd w:val="clear" w:color="auto" w:fill="FFFFFF"/>
        </w:rPr>
        <w:footnoteReference w:id="25"/>
      </w:r>
      <w:r w:rsidRPr="00144AB5">
        <w:t xml:space="preserve">. </w:t>
      </w:r>
    </w:p>
    <w:p w14:paraId="6287AE92" w14:textId="0D7E9873" w:rsidR="00F732EA" w:rsidRPr="00144AB5" w:rsidRDefault="00F838D8" w:rsidP="00E47560">
      <w:pPr>
        <w:spacing w:line="360" w:lineRule="auto"/>
        <w:jc w:val="both"/>
      </w:pPr>
      <w:r w:rsidRPr="00144AB5">
        <w:tab/>
      </w:r>
      <w:r w:rsidR="006B795F" w:rsidRPr="00FF42BF">
        <w:t>Kazakhstan joined the IMF in July 1992. The International Monetary Fund played a major role in Kazakhstan’s</w:t>
      </w:r>
      <w:r w:rsidR="006B795F" w:rsidRPr="00144AB5">
        <w:t xml:space="preserve"> transition to a market economy between 1991 and 2000, providing both financial and technical assistance. For example, in 1993, when the country </w:t>
      </w:r>
      <w:r w:rsidR="006B795F" w:rsidRPr="00144AB5">
        <w:lastRenderedPageBreak/>
        <w:t>created its national currency, the tenge, its integration into the economy was accompanied by an IMF loan under a stand-by agreement of about $173 million to stabilize inflation and deepen economic reforms</w:t>
      </w:r>
      <w:r w:rsidR="006B795F" w:rsidRPr="00A6167C">
        <w:rPr>
          <w:rStyle w:val="ae"/>
          <w:shd w:val="clear" w:color="auto" w:fill="FFFFFF"/>
        </w:rPr>
        <w:footnoteReference w:id="26"/>
      </w:r>
      <w:r w:rsidR="006B795F" w:rsidRPr="00144AB5">
        <w:t xml:space="preserve">. By using these loans and following agreements, the country implemented forced reforms </w:t>
      </w:r>
      <w:r w:rsidR="00802A87" w:rsidRPr="00144AB5">
        <w:t>in</w:t>
      </w:r>
      <w:r w:rsidR="006B795F" w:rsidRPr="00144AB5">
        <w:t xml:space="preserve"> fiscal policy to improve the banking sector. Regarding technical assistance, since 1993, </w:t>
      </w:r>
      <w:r w:rsidR="00EA0C16" w:rsidRPr="00144AB5">
        <w:t>many</w:t>
      </w:r>
      <w:r w:rsidR="006B795F" w:rsidRPr="00144AB5">
        <w:t xml:space="preserve"> experts </w:t>
      </w:r>
      <w:r w:rsidR="009A6323" w:rsidRPr="00144AB5">
        <w:t>have been</w:t>
      </w:r>
      <w:r w:rsidR="006B795F" w:rsidRPr="00144AB5">
        <w:t xml:space="preserve"> </w:t>
      </w:r>
      <w:r w:rsidR="00802A87" w:rsidRPr="00144AB5">
        <w:t>sent</w:t>
      </w:r>
      <w:r w:rsidR="006B795F" w:rsidRPr="00144AB5">
        <w:t xml:space="preserve"> to the country for training and advice</w:t>
      </w:r>
      <w:r w:rsidR="00802A87" w:rsidRPr="00144AB5">
        <w:t xml:space="preserve"> for local </w:t>
      </w:r>
      <w:r w:rsidR="00F84E7A" w:rsidRPr="00144AB5">
        <w:t>students.</w:t>
      </w:r>
      <w:r w:rsidR="006B795F" w:rsidRPr="00144AB5">
        <w:t xml:space="preserve"> Thus, already by 1998, Kazakhstan began to show the first signs of progress from all the efforts aimed at transforming the economy. </w:t>
      </w:r>
      <w:r w:rsidR="006B795F" w:rsidRPr="00FF42BF">
        <w:t>Based on IMF reports, and as shown in the table below, inflation had declined to less than 10% by 1998-1999. The stabilization of the economy, the tax reform, and the implementation of fiscal and monetary policies enabled the country to pay off its debt to the IMF in 2000.</w:t>
      </w:r>
    </w:p>
    <w:p w14:paraId="7B2F087E" w14:textId="2C41F75F" w:rsidR="00251BC3" w:rsidRPr="00640074" w:rsidRDefault="00AB6424" w:rsidP="00E47560">
      <w:pPr>
        <w:spacing w:line="360" w:lineRule="auto"/>
        <w:jc w:val="both"/>
        <w:rPr>
          <w:b/>
        </w:rPr>
      </w:pPr>
      <w:r w:rsidRPr="00640074">
        <w:rPr>
          <w:b/>
        </w:rPr>
        <w:t>Figure 4.</w:t>
      </w:r>
      <w:r w:rsidR="001B10DE" w:rsidRPr="00640074">
        <w:rPr>
          <w:b/>
          <w:bCs/>
        </w:rPr>
        <w:t xml:space="preserve"> Kazakhstan’s economic indicators (1994-2010)</w:t>
      </w:r>
    </w:p>
    <w:p w14:paraId="16359A09" w14:textId="17343CA5" w:rsidR="00CC3D04" w:rsidRPr="006B795F" w:rsidRDefault="001762F8" w:rsidP="001762F8">
      <w:pPr>
        <w:spacing w:line="360" w:lineRule="auto"/>
        <w:jc w:val="center"/>
      </w:pPr>
      <w:r>
        <w:rPr>
          <w:noProof/>
          <w:lang w:val="ru-RU"/>
        </w:rPr>
        <w:drawing>
          <wp:inline distT="0" distB="0" distL="0" distR="0" wp14:anchorId="2C27CDF5" wp14:editId="0651477F">
            <wp:extent cx="5437505" cy="2888673"/>
            <wp:effectExtent l="0" t="0" r="0" b="6985"/>
            <wp:docPr id="912345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3353" cy="2897092"/>
                    </a:xfrm>
                    <a:prstGeom prst="rect">
                      <a:avLst/>
                    </a:prstGeom>
                    <a:noFill/>
                    <a:ln>
                      <a:noFill/>
                    </a:ln>
                  </pic:spPr>
                </pic:pic>
              </a:graphicData>
            </a:graphic>
          </wp:inline>
        </w:drawing>
      </w:r>
    </w:p>
    <w:p w14:paraId="150F560E" w14:textId="36FD16CF" w:rsidR="00CB12A4" w:rsidRPr="00144AB5" w:rsidRDefault="006B795F" w:rsidP="006444CC">
      <w:pPr>
        <w:jc w:val="both"/>
        <w:rPr>
          <w:rFonts w:eastAsiaTheme="majorEastAsia"/>
          <w:sz w:val="22"/>
          <w:szCs w:val="22"/>
        </w:rPr>
      </w:pPr>
      <w:r w:rsidRPr="00144AB5">
        <w:rPr>
          <w:sz w:val="22"/>
          <w:szCs w:val="22"/>
        </w:rPr>
        <w:t>Source:</w:t>
      </w:r>
      <w:r w:rsidR="00B10661" w:rsidRPr="00144AB5">
        <w:rPr>
          <w:sz w:val="22"/>
          <w:szCs w:val="22"/>
        </w:rPr>
        <w:t xml:space="preserve"> </w:t>
      </w:r>
      <w:r w:rsidR="001869F7" w:rsidRPr="00144AB5">
        <w:rPr>
          <w:rFonts w:eastAsiaTheme="majorEastAsia"/>
          <w:sz w:val="22"/>
          <w:szCs w:val="22"/>
        </w:rPr>
        <w:t>World Bank, World Development Indicators: Kazakhstan – Inflation, Consumer Prices (Annual %)</w:t>
      </w:r>
      <w:r w:rsidR="00576555" w:rsidRPr="00144AB5">
        <w:rPr>
          <w:rFonts w:eastAsiaTheme="majorEastAsia"/>
          <w:sz w:val="22"/>
          <w:szCs w:val="22"/>
        </w:rPr>
        <w:t>;</w:t>
      </w:r>
      <w:r w:rsidR="009D5AB0" w:rsidRPr="00144AB5">
        <w:rPr>
          <w:rFonts w:eastAsiaTheme="majorEastAsia"/>
          <w:sz w:val="22"/>
          <w:szCs w:val="22"/>
        </w:rPr>
        <w:t xml:space="preserve"> </w:t>
      </w:r>
      <w:r w:rsidR="00576555" w:rsidRPr="00144AB5">
        <w:rPr>
          <w:rFonts w:eastAsiaTheme="majorEastAsia"/>
          <w:sz w:val="22"/>
          <w:szCs w:val="22"/>
        </w:rPr>
        <w:t>Unemployment, total (% of total labor force); Foreign direct investment, net inflows (% of GDP)</w:t>
      </w:r>
      <w:r w:rsidR="008743E8" w:rsidRPr="00144AB5">
        <w:rPr>
          <w:rFonts w:eastAsiaTheme="majorEastAsia"/>
          <w:sz w:val="22"/>
          <w:szCs w:val="22"/>
        </w:rPr>
        <w:t>. The data elaborated by me.</w:t>
      </w:r>
    </w:p>
    <w:p w14:paraId="55D810FD" w14:textId="77777777" w:rsidR="00580251" w:rsidRPr="00144AB5" w:rsidRDefault="00580251" w:rsidP="00580251">
      <w:pPr>
        <w:spacing w:line="360" w:lineRule="auto"/>
        <w:jc w:val="both"/>
        <w:rPr>
          <w:rFonts w:ascii="Aptos Narrow" w:hAnsi="Aptos Narrow"/>
          <w:color w:val="000000"/>
          <w:sz w:val="22"/>
          <w:szCs w:val="22"/>
        </w:rPr>
      </w:pPr>
    </w:p>
    <w:p w14:paraId="41907F80" w14:textId="6DF3B6AE" w:rsidR="007E4AD5" w:rsidRPr="00144AB5" w:rsidRDefault="007E4AD5" w:rsidP="00580251">
      <w:pPr>
        <w:spacing w:line="360" w:lineRule="auto"/>
        <w:ind w:firstLine="360"/>
        <w:jc w:val="both"/>
      </w:pPr>
      <w:r w:rsidRPr="00144AB5">
        <w:t xml:space="preserve">As we see from the table, it includes three key indicators - unemployment, inflation, and foreign direct investment inflows. Inflation data represents one of the clearest outcomes of Kazakhstan’s stabilization efforts. Before 1995, inflation peaked at almost 1800%, due to the exit from the ruble zone and price liberalization. However, due to </w:t>
      </w:r>
      <w:r w:rsidRPr="00144AB5">
        <w:lastRenderedPageBreak/>
        <w:t>coordinated monetary reforms, the introduction of the national currency, and the cooperation with international organizations like the IMF, starting from 2000, the rate fell to 5-10%. This downward trend reflects the effectiveness of macroeconomic stabilization and monetary policy introduced during the first decade of independence. Similarly, the unemployment rate between 1994 and 1999 rose from 7.5% to over 13%, reflecting structural changes and layoffs because of privatization, but starting from the year 2000, the coefficient reached 5.7% by 2010. This was due to the fact that privatization and the entry of new enterprises, including international companies, created new jobs, thereby reducing unemployment. Turning to the</w:t>
      </w:r>
      <w:r w:rsidR="00580251" w:rsidRPr="00144AB5">
        <w:t xml:space="preserve"> </w:t>
      </w:r>
      <w:r w:rsidRPr="00144AB5">
        <w:t>Foreign Direct Investment indicator, it is worth noting that it reflects international confidence in Kazakhstan, as the higher the investment, the more investors' confidence in the country and the more attractive the terms. The fact that starting at 3.1% of GDP in 1995 and rising steadily to peaks of more than 12% in 2000, indicates the success of the open-door policy. This growth is due to major oil and gas investment projects, such as developing deposits in the Caspian Sea. The oil and gas sectors accounted for more than 42% of all investments</w:t>
      </w:r>
      <w:r w:rsidR="00DE2BFC" w:rsidRPr="007D2F61">
        <w:rPr>
          <w:rStyle w:val="ae"/>
          <w:shd w:val="clear" w:color="auto" w:fill="FFFFFF"/>
        </w:rPr>
        <w:footnoteReference w:id="27"/>
      </w:r>
      <w:r w:rsidR="00DE2BFC" w:rsidRPr="00144AB5">
        <w:t xml:space="preserve">. </w:t>
      </w:r>
      <w:r w:rsidRPr="00144AB5">
        <w:t xml:space="preserve">These investments enabled the country to strengthen itself in the world market as an important player in oil production </w:t>
      </w:r>
      <w:r w:rsidRPr="00FF42BF">
        <w:t>and export in early 2000. Based on the official source of the government of the Republic of Kazakhstan, FDI for 1999-2000 were used for the oil and gas sector and strategic agreements with foreign companies. Kazakhstan then received 4/5 of all FDI in Central Asia</w:t>
      </w:r>
      <w:r w:rsidRPr="00FF42BF">
        <w:rPr>
          <w:rStyle w:val="ae"/>
          <w:shd w:val="clear" w:color="auto" w:fill="FFFFFF"/>
        </w:rPr>
        <w:footnoteReference w:id="28"/>
      </w:r>
      <w:r w:rsidRPr="00FF42BF">
        <w:t>.</w:t>
      </w:r>
    </w:p>
    <w:p w14:paraId="2DED9399" w14:textId="54FB0BD9" w:rsidR="00875AA2" w:rsidRDefault="00CA4308" w:rsidP="005A5A94">
      <w:pPr>
        <w:spacing w:line="360" w:lineRule="auto"/>
        <w:ind w:firstLine="360"/>
        <w:jc w:val="both"/>
      </w:pPr>
      <w:r w:rsidRPr="005A5A94">
        <w:rPr>
          <w:highlight w:val="yellow"/>
        </w:rPr>
        <w:t>To sum up</w:t>
      </w:r>
      <w:r w:rsidRPr="00CA4308">
        <w:t xml:space="preserve">, Kazakhstan has undergone significant reforms. The country tried to enter the international market as soon as possible, but to do so, it had to meet global standards and norms. The government undertook many reforms to overcome the crisis, to create conditions for attracting investments, and to integrate into the world economy. Considering the fact that the country both inherited the Soviet legacy and that Western market economies took centuries to build, the government has done a great job of stabilizing and opening the economy and creating a favorable environment for entrepreneurship, as evidenced by the large inflow of foreign investment and a period of </w:t>
      </w:r>
      <w:r w:rsidRPr="00CA4308">
        <w:lastRenderedPageBreak/>
        <w:t>significant growth from 2000 to 2007. The future of Kazakhstan's economy will depend on the direction policymakers choose to take, whether they adopt liberal economic reforms or follow a more restrictive path. If the country's leadership focuses on market mechanisms as instruments of economic development and recognizes entrepreneurship as a key driving force, as well as creates the necessary institutions for its functioning, Kazakhstan has a potential not only to overcome the current economic decline, but also to ensure long-term growth, diversify the economy and become a regional leader - the “snow leopard” of Central Asia.</w:t>
      </w:r>
    </w:p>
    <w:p w14:paraId="53C6A340" w14:textId="77777777" w:rsidR="007706AE" w:rsidRDefault="007706AE" w:rsidP="00580251">
      <w:pPr>
        <w:spacing w:line="360" w:lineRule="auto"/>
        <w:jc w:val="both"/>
      </w:pPr>
    </w:p>
    <w:p w14:paraId="51A647E3" w14:textId="77777777" w:rsidR="007706AE" w:rsidRDefault="007706AE" w:rsidP="00580251">
      <w:pPr>
        <w:spacing w:line="360" w:lineRule="auto"/>
        <w:jc w:val="both"/>
      </w:pPr>
    </w:p>
    <w:p w14:paraId="16467002" w14:textId="77777777" w:rsidR="00B82DDE" w:rsidRPr="00C86A4C" w:rsidRDefault="00B82DDE" w:rsidP="00B82DDE">
      <w:pPr>
        <w:jc w:val="both"/>
        <w:rPr>
          <w:bCs/>
          <w:sz w:val="32"/>
          <w:szCs w:val="32"/>
        </w:rPr>
      </w:pPr>
      <w:r w:rsidRPr="00C86A4C">
        <w:rPr>
          <w:bCs/>
          <w:sz w:val="32"/>
          <w:szCs w:val="32"/>
        </w:rPr>
        <w:t>Chapter 2:  From Independence to Integration: The Development of Kazakhstan–EU Relations</w:t>
      </w:r>
    </w:p>
    <w:p w14:paraId="2743AD82" w14:textId="193AC835" w:rsidR="00B82DDE" w:rsidRPr="008B3629" w:rsidRDefault="00B82DDE" w:rsidP="00B82DDE">
      <w:pPr>
        <w:jc w:val="both"/>
        <w:rPr>
          <w:bCs/>
          <w:sz w:val="32"/>
          <w:szCs w:val="32"/>
        </w:rPr>
      </w:pPr>
      <w:r w:rsidRPr="00C86A4C">
        <w:rPr>
          <w:bCs/>
          <w:sz w:val="32"/>
          <w:szCs w:val="32"/>
        </w:rPr>
        <w:t>2.1 Kazakhstan’s multi vector</w:t>
      </w:r>
      <w:r w:rsidR="001846A4" w:rsidRPr="00AF2CE4">
        <w:rPr>
          <w:bCs/>
          <w:sz w:val="32"/>
          <w:szCs w:val="32"/>
        </w:rPr>
        <w:t xml:space="preserve"> </w:t>
      </w:r>
      <w:r w:rsidR="002C0B7C">
        <w:rPr>
          <w:bCs/>
          <w:sz w:val="32"/>
          <w:szCs w:val="32"/>
        </w:rPr>
        <w:t>foreign</w:t>
      </w:r>
      <w:r w:rsidRPr="00C86A4C">
        <w:rPr>
          <w:bCs/>
          <w:sz w:val="32"/>
          <w:szCs w:val="32"/>
        </w:rPr>
        <w:t xml:space="preserve"> policy</w:t>
      </w:r>
    </w:p>
    <w:p w14:paraId="4A36828A" w14:textId="77777777" w:rsidR="007706AE" w:rsidRPr="008C79D9" w:rsidRDefault="007706AE" w:rsidP="00580251">
      <w:pPr>
        <w:spacing w:line="360" w:lineRule="auto"/>
        <w:jc w:val="both"/>
      </w:pPr>
    </w:p>
    <w:p w14:paraId="30EC20CF" w14:textId="30FBC1DA" w:rsidR="002F2624" w:rsidRPr="00AF2CE4" w:rsidRDefault="008B3629" w:rsidP="008B3629">
      <w:pPr>
        <w:pStyle w:val="afa"/>
        <w:spacing w:line="360" w:lineRule="auto"/>
        <w:ind w:firstLine="708"/>
        <w:jc w:val="both"/>
        <w:rPr>
          <w:lang w:val="en-US"/>
        </w:rPr>
      </w:pPr>
      <w:r w:rsidRPr="008B3629">
        <w:rPr>
          <w:lang w:val="en-US"/>
        </w:rPr>
        <w:t xml:space="preserve">In 2006, in </w:t>
      </w:r>
      <w:r w:rsidR="00FC4C0C">
        <w:rPr>
          <w:lang w:val="en-US"/>
        </w:rPr>
        <w:t>the</w:t>
      </w:r>
      <w:r w:rsidRPr="008B3629">
        <w:rPr>
          <w:lang w:val="en-US"/>
        </w:rPr>
        <w:t xml:space="preserve"> message to the people of Kazakhstan, President Nursultan Nazarbayev emphasized that the country's foreign policy priorities remained unchanged. Kazakhstan will always remain a responsible and reliable international partner. (Message of the President of the Republic of Kazakhstan N. Nazarbayev, March 2006)</w:t>
      </w:r>
      <w:r w:rsidRPr="008B3629">
        <w:rPr>
          <w:rStyle w:val="ae"/>
          <w:shd w:val="clear" w:color="auto" w:fill="FFFFFF"/>
          <w:lang w:val="en-US"/>
        </w:rPr>
        <w:t xml:space="preserve"> </w:t>
      </w:r>
      <w:r w:rsidRPr="00FF42BF">
        <w:rPr>
          <w:rStyle w:val="ae"/>
          <w:shd w:val="clear" w:color="auto" w:fill="FFFFFF"/>
        </w:rPr>
        <w:footnoteReference w:id="29"/>
      </w:r>
      <w:r w:rsidRPr="008B3629">
        <w:rPr>
          <w:lang w:val="en-US"/>
        </w:rPr>
        <w:t>. Today, the Republic of Kazakhstan is a full member of the United Nations Organization and is a member of many international organizations. As the largest economy in Central Asia, Kazakhstan has positioned itself as an important mediator between East and West, using multi-</w:t>
      </w:r>
      <w:r w:rsidR="00FC4C0C" w:rsidRPr="008B3629">
        <w:rPr>
          <w:lang w:val="en-US"/>
        </w:rPr>
        <w:t>vector</w:t>
      </w:r>
      <w:r w:rsidR="00FC4C0C">
        <w:rPr>
          <w:lang w:val="en-US"/>
        </w:rPr>
        <w:t xml:space="preserve">al foreign policy </w:t>
      </w:r>
      <w:r w:rsidRPr="008B3629">
        <w:rPr>
          <w:lang w:val="en-US"/>
        </w:rPr>
        <w:t xml:space="preserve">to balance between Russia, China, Europe, and the United States. The evolving and growing importance of the European Union in Astana's foreign policy calculations underscores the republic's desire to diversify partnerships beyond its traditional dependence on Moscow and Beijing. On 2 </w:t>
      </w:r>
      <w:r w:rsidR="00D74677" w:rsidRPr="008B3629">
        <w:rPr>
          <w:lang w:val="en-US"/>
        </w:rPr>
        <w:t>March 1992</w:t>
      </w:r>
      <w:r w:rsidRPr="008B3629">
        <w:rPr>
          <w:lang w:val="en-US"/>
        </w:rPr>
        <w:t xml:space="preserve">, after the country became a member of the United Nations, the Republic established links with influential financial institutions such as the International Bank for Reconstruction and Development, the European Bank for Reconstruction and Development, the International Monetary Fund, and UNESCO. </w:t>
      </w:r>
    </w:p>
    <w:p w14:paraId="79727AE2" w14:textId="0BDA3C87" w:rsidR="002A0E68" w:rsidRPr="00AF2CE4" w:rsidRDefault="00434D8F" w:rsidP="00AF2CE4">
      <w:pPr>
        <w:spacing w:line="360" w:lineRule="auto"/>
        <w:ind w:firstLine="708"/>
        <w:jc w:val="both"/>
        <w:rPr>
          <w:lang w:val="ru-RU"/>
        </w:rPr>
      </w:pPr>
      <w:r>
        <w:rPr>
          <w:lang w:val="ru-RU"/>
        </w:rPr>
        <w:lastRenderedPageBreak/>
        <w:t>Хочется</w:t>
      </w:r>
      <w:r w:rsidRPr="006523F0">
        <w:rPr>
          <w:lang w:val="ru-RU"/>
        </w:rPr>
        <w:t xml:space="preserve"> </w:t>
      </w:r>
      <w:r>
        <w:rPr>
          <w:lang w:val="ru-RU"/>
        </w:rPr>
        <w:t>отметить</w:t>
      </w:r>
      <w:r w:rsidRPr="006523F0">
        <w:rPr>
          <w:lang w:val="ru-RU"/>
        </w:rPr>
        <w:t xml:space="preserve"> </w:t>
      </w:r>
      <w:r>
        <w:rPr>
          <w:lang w:val="ru-RU"/>
        </w:rPr>
        <w:t>тот</w:t>
      </w:r>
      <w:r w:rsidRPr="006523F0">
        <w:rPr>
          <w:lang w:val="ru-RU"/>
        </w:rPr>
        <w:t xml:space="preserve"> </w:t>
      </w:r>
      <w:r>
        <w:rPr>
          <w:lang w:val="ru-RU"/>
        </w:rPr>
        <w:t>факт</w:t>
      </w:r>
      <w:r w:rsidRPr="006523F0">
        <w:rPr>
          <w:lang w:val="ru-RU"/>
        </w:rPr>
        <w:t xml:space="preserve">, </w:t>
      </w:r>
      <w:r>
        <w:rPr>
          <w:lang w:val="ru-RU"/>
        </w:rPr>
        <w:t>что</w:t>
      </w:r>
      <w:r w:rsidRPr="006523F0">
        <w:rPr>
          <w:lang w:val="ru-RU"/>
        </w:rPr>
        <w:t xml:space="preserve"> </w:t>
      </w:r>
      <w:r>
        <w:t>Kazakhstan</w:t>
      </w:r>
      <w:r w:rsidRPr="006523F0">
        <w:rPr>
          <w:lang w:val="ru-RU"/>
        </w:rPr>
        <w:t>’</w:t>
      </w:r>
      <w:r>
        <w:t>s</w:t>
      </w:r>
      <w:r w:rsidRPr="006523F0">
        <w:rPr>
          <w:lang w:val="ru-RU"/>
        </w:rPr>
        <w:t xml:space="preserve"> </w:t>
      </w:r>
      <w:r>
        <w:t>Multi</w:t>
      </w:r>
      <w:r w:rsidRPr="006523F0">
        <w:rPr>
          <w:lang w:val="ru-RU"/>
        </w:rPr>
        <w:t>-</w:t>
      </w:r>
      <w:r>
        <w:t>Vector</w:t>
      </w:r>
      <w:r w:rsidRPr="006523F0">
        <w:rPr>
          <w:lang w:val="ru-RU"/>
        </w:rPr>
        <w:t xml:space="preserve"> </w:t>
      </w:r>
      <w:r>
        <w:t>Policy</w:t>
      </w:r>
      <w:r w:rsidRPr="006523F0">
        <w:rPr>
          <w:lang w:val="ru-RU"/>
        </w:rPr>
        <w:t xml:space="preserve"> </w:t>
      </w:r>
      <w:r w:rsidR="00234D90">
        <w:rPr>
          <w:lang w:val="ru-RU"/>
        </w:rPr>
        <w:t>была</w:t>
      </w:r>
      <w:r w:rsidR="00234D90" w:rsidRPr="006523F0">
        <w:rPr>
          <w:lang w:val="ru-RU"/>
        </w:rPr>
        <w:t xml:space="preserve"> </w:t>
      </w:r>
      <w:r w:rsidR="00234D90">
        <w:rPr>
          <w:lang w:val="ru-RU"/>
        </w:rPr>
        <w:t>впервые</w:t>
      </w:r>
      <w:r w:rsidR="00234D90" w:rsidRPr="006523F0">
        <w:rPr>
          <w:lang w:val="ru-RU"/>
        </w:rPr>
        <w:t xml:space="preserve"> </w:t>
      </w:r>
      <w:r w:rsidR="00A33CEF">
        <w:rPr>
          <w:lang w:val="ru-RU"/>
        </w:rPr>
        <w:t>упомянута</w:t>
      </w:r>
      <w:r w:rsidR="00A33CEF" w:rsidRPr="006523F0">
        <w:rPr>
          <w:lang w:val="ru-RU"/>
        </w:rPr>
        <w:t xml:space="preserve"> </w:t>
      </w:r>
      <w:r w:rsidR="00A33CEF">
        <w:rPr>
          <w:lang w:val="ru-RU"/>
        </w:rPr>
        <w:t>в</w:t>
      </w:r>
      <w:r w:rsidR="00A33CEF" w:rsidRPr="006523F0">
        <w:rPr>
          <w:lang w:val="ru-RU"/>
        </w:rPr>
        <w:t xml:space="preserve"> 1992 </w:t>
      </w:r>
      <w:r w:rsidR="00A33CEF">
        <w:rPr>
          <w:lang w:val="ru-RU"/>
        </w:rPr>
        <w:t>году</w:t>
      </w:r>
      <w:r w:rsidR="00A33CEF" w:rsidRPr="006523F0">
        <w:rPr>
          <w:lang w:val="ru-RU"/>
        </w:rPr>
        <w:t xml:space="preserve"> </w:t>
      </w:r>
      <w:r w:rsidR="00A33CEF">
        <w:rPr>
          <w:lang w:val="ru-RU"/>
        </w:rPr>
        <w:t>Нурсултаном</w:t>
      </w:r>
      <w:r w:rsidR="00A33CEF" w:rsidRPr="006523F0">
        <w:rPr>
          <w:lang w:val="ru-RU"/>
        </w:rPr>
        <w:t xml:space="preserve"> </w:t>
      </w:r>
      <w:r w:rsidR="00A33CEF">
        <w:rPr>
          <w:lang w:val="ru-RU"/>
        </w:rPr>
        <w:t>Назарбаевым</w:t>
      </w:r>
      <w:r w:rsidR="00BA7441" w:rsidRPr="006523F0">
        <w:rPr>
          <w:lang w:val="ru-RU"/>
        </w:rPr>
        <w:t xml:space="preserve"> </w:t>
      </w:r>
      <w:r w:rsidR="00BA7441">
        <w:rPr>
          <w:lang w:val="ru-RU"/>
        </w:rPr>
        <w:t>в</w:t>
      </w:r>
      <w:r w:rsidR="00BA7441" w:rsidRPr="006523F0">
        <w:rPr>
          <w:lang w:val="ru-RU"/>
        </w:rPr>
        <w:t xml:space="preserve"> </w:t>
      </w:r>
      <w:r w:rsidR="00BA7441">
        <w:rPr>
          <w:lang w:val="ru-RU"/>
        </w:rPr>
        <w:t>его</w:t>
      </w:r>
      <w:r w:rsidR="00BA7441" w:rsidRPr="006523F0">
        <w:rPr>
          <w:lang w:val="ru-RU"/>
        </w:rPr>
        <w:t xml:space="preserve"> </w:t>
      </w:r>
      <w:r w:rsidR="00BB5ABA" w:rsidRPr="00BB5ABA">
        <w:t>po</w:t>
      </w:r>
      <w:r w:rsidR="00BB5ABA">
        <w:t>licy</w:t>
      </w:r>
      <w:r w:rsidR="00BB5ABA" w:rsidRPr="006523F0">
        <w:rPr>
          <w:lang w:val="ru-RU"/>
        </w:rPr>
        <w:t xml:space="preserve"> </w:t>
      </w:r>
      <w:r w:rsidR="00BB5ABA">
        <w:t>article</w:t>
      </w:r>
      <w:r w:rsidR="00BA7441" w:rsidRPr="006523F0">
        <w:rPr>
          <w:lang w:val="ru-RU"/>
        </w:rPr>
        <w:t xml:space="preserve"> “</w:t>
      </w:r>
      <w:r w:rsidR="00BA7441">
        <w:t>Strategy</w:t>
      </w:r>
      <w:r w:rsidR="00BA7441" w:rsidRPr="006523F0">
        <w:rPr>
          <w:lang w:val="ru-RU"/>
        </w:rPr>
        <w:t xml:space="preserve"> </w:t>
      </w:r>
      <w:r w:rsidR="00BA7441">
        <w:t>for</w:t>
      </w:r>
      <w:r w:rsidR="00BA7441" w:rsidRPr="006523F0">
        <w:rPr>
          <w:lang w:val="ru-RU"/>
        </w:rPr>
        <w:t xml:space="preserve"> </w:t>
      </w:r>
      <w:r w:rsidR="00BA7441">
        <w:t>the</w:t>
      </w:r>
      <w:r w:rsidR="00BA7441" w:rsidRPr="006523F0">
        <w:rPr>
          <w:lang w:val="ru-RU"/>
        </w:rPr>
        <w:t xml:space="preserve"> </w:t>
      </w:r>
      <w:r w:rsidR="00BA7441">
        <w:t>Formation</w:t>
      </w:r>
      <w:r w:rsidR="00BA7441" w:rsidRPr="006523F0">
        <w:rPr>
          <w:lang w:val="ru-RU"/>
        </w:rPr>
        <w:t xml:space="preserve"> </w:t>
      </w:r>
      <w:r w:rsidR="00BA7441">
        <w:t>and</w:t>
      </w:r>
      <w:r w:rsidR="00BA7441" w:rsidRPr="006523F0">
        <w:rPr>
          <w:lang w:val="ru-RU"/>
        </w:rPr>
        <w:t xml:space="preserve"> </w:t>
      </w:r>
      <w:r w:rsidR="00BA7441">
        <w:t>Development</w:t>
      </w:r>
      <w:r w:rsidR="00BA7441" w:rsidRPr="006523F0">
        <w:rPr>
          <w:lang w:val="ru-RU"/>
        </w:rPr>
        <w:t xml:space="preserve"> </w:t>
      </w:r>
      <w:r w:rsidR="00BA7441">
        <w:t>of</w:t>
      </w:r>
      <w:r w:rsidR="00BA7441" w:rsidRPr="006523F0">
        <w:rPr>
          <w:lang w:val="ru-RU"/>
        </w:rPr>
        <w:t xml:space="preserve"> </w:t>
      </w:r>
      <w:r w:rsidR="00BA7441">
        <w:t>Kazakhstan</w:t>
      </w:r>
      <w:r w:rsidR="00BA7441" w:rsidRPr="006523F0">
        <w:rPr>
          <w:lang w:val="ru-RU"/>
        </w:rPr>
        <w:t xml:space="preserve"> </w:t>
      </w:r>
      <w:r w:rsidR="00BA7441">
        <w:t>as</w:t>
      </w:r>
      <w:r w:rsidR="00BA7441" w:rsidRPr="006523F0">
        <w:rPr>
          <w:lang w:val="ru-RU"/>
        </w:rPr>
        <w:t xml:space="preserve"> </w:t>
      </w:r>
      <w:r w:rsidR="00BA7441">
        <w:t>a</w:t>
      </w:r>
      <w:r w:rsidR="00BA7441" w:rsidRPr="006523F0">
        <w:rPr>
          <w:lang w:val="ru-RU"/>
        </w:rPr>
        <w:t xml:space="preserve"> </w:t>
      </w:r>
      <w:r w:rsidR="00BA7441">
        <w:t>Sovereign</w:t>
      </w:r>
      <w:r w:rsidR="00BA7441" w:rsidRPr="006523F0">
        <w:rPr>
          <w:lang w:val="ru-RU"/>
        </w:rPr>
        <w:t xml:space="preserve"> </w:t>
      </w:r>
      <w:r w:rsidR="006828E8">
        <w:t>State</w:t>
      </w:r>
      <w:r w:rsidR="006828E8" w:rsidRPr="006523F0">
        <w:rPr>
          <w:lang w:val="ru-RU"/>
        </w:rPr>
        <w:t>” для</w:t>
      </w:r>
      <w:r w:rsidR="00324257">
        <w:rPr>
          <w:lang w:val="ru-RU"/>
        </w:rPr>
        <w:t xml:space="preserve"> балансировки политических и торговых отношений с бывшими советскими республиками </w:t>
      </w:r>
      <w:r w:rsidR="0090034C">
        <w:rPr>
          <w:lang w:val="ru-RU"/>
        </w:rPr>
        <w:t>и в то же время избегать доминирования России в Центральной Ази</w:t>
      </w:r>
      <w:r w:rsidR="0090034C" w:rsidRPr="00086804">
        <w:rPr>
          <w:highlight w:val="yellow"/>
          <w:lang w:val="ru-RU"/>
        </w:rPr>
        <w:t>и</w:t>
      </w:r>
      <w:r w:rsidR="0029027C" w:rsidRPr="00FF42BF">
        <w:rPr>
          <w:rStyle w:val="ae"/>
          <w:shd w:val="clear" w:color="auto" w:fill="FFFFFF"/>
        </w:rPr>
        <w:footnoteReference w:id="30"/>
      </w:r>
      <w:r w:rsidR="0029027C" w:rsidRPr="0029027C">
        <w:rPr>
          <w:lang w:val="ru-RU"/>
        </w:rPr>
        <w:t>.</w:t>
      </w:r>
      <w:r w:rsidR="00D27A64" w:rsidRPr="00D27A64">
        <w:rPr>
          <w:lang w:val="ru-RU"/>
        </w:rPr>
        <w:t xml:space="preserve"> </w:t>
      </w:r>
      <w:r w:rsidR="00D27A64">
        <w:rPr>
          <w:lang w:val="ru-RU"/>
        </w:rPr>
        <w:t>Опираясь на данный документ</w:t>
      </w:r>
      <w:r w:rsidR="00D27A64" w:rsidRPr="00D27A64">
        <w:rPr>
          <w:lang w:val="ru-RU"/>
        </w:rPr>
        <w:t>,</w:t>
      </w:r>
      <w:r w:rsidR="00D27A64">
        <w:rPr>
          <w:lang w:val="ru-RU"/>
        </w:rPr>
        <w:t xml:space="preserve"> </w:t>
      </w:r>
      <w:r w:rsidR="001336CC">
        <w:rPr>
          <w:lang w:val="ru-RU"/>
        </w:rPr>
        <w:t>основной целью</w:t>
      </w:r>
      <w:r w:rsidR="00477C0B">
        <w:rPr>
          <w:lang w:val="ru-RU"/>
        </w:rPr>
        <w:t xml:space="preserve"> внешней политики Республики</w:t>
      </w:r>
      <w:r w:rsidR="001336CC">
        <w:rPr>
          <w:lang w:val="ru-RU"/>
        </w:rPr>
        <w:t xml:space="preserve"> является создание </w:t>
      </w:r>
      <w:r w:rsidR="00477C0B">
        <w:rPr>
          <w:lang w:val="ru-RU"/>
        </w:rPr>
        <w:t>благоприятных условий и обеспечение стабильного развития страны</w:t>
      </w:r>
      <w:r w:rsidR="009C3184">
        <w:rPr>
          <w:lang w:val="ru-RU"/>
        </w:rPr>
        <w:t xml:space="preserve"> путем взаимодействия и установления дружественных отношений с </w:t>
      </w:r>
      <w:r w:rsidR="00CA58A2">
        <w:rPr>
          <w:lang w:val="ru-RU"/>
        </w:rPr>
        <w:t xml:space="preserve">другими государствами. </w:t>
      </w:r>
      <w:r w:rsidR="003820AB">
        <w:rPr>
          <w:lang w:val="ru-RU"/>
        </w:rPr>
        <w:t>Под лидерством первого президента</w:t>
      </w:r>
      <w:r w:rsidR="00B93A40" w:rsidRPr="00B93A40">
        <w:rPr>
          <w:lang w:val="ru-RU"/>
        </w:rPr>
        <w:t xml:space="preserve"> с</w:t>
      </w:r>
      <w:r w:rsidR="00B93A40">
        <w:rPr>
          <w:lang w:val="ru-RU"/>
        </w:rPr>
        <w:t>трана первым делом</w:t>
      </w:r>
      <w:r w:rsidR="00A2158F" w:rsidRPr="00A2158F">
        <w:rPr>
          <w:lang w:val="ru-RU"/>
        </w:rPr>
        <w:t xml:space="preserve"> </w:t>
      </w:r>
      <w:r w:rsidR="00CC1688">
        <w:rPr>
          <w:lang w:val="ru-RU"/>
        </w:rPr>
        <w:t xml:space="preserve">интегрировалась в </w:t>
      </w:r>
      <w:r w:rsidR="00CC1688">
        <w:t>Commonwealth</w:t>
      </w:r>
      <w:r w:rsidR="00CC1688" w:rsidRPr="00CC1688">
        <w:rPr>
          <w:lang w:val="ru-RU"/>
        </w:rPr>
        <w:t xml:space="preserve"> </w:t>
      </w:r>
      <w:r w:rsidR="00CC1688">
        <w:t>of</w:t>
      </w:r>
      <w:r w:rsidR="00CC1688" w:rsidRPr="00CC1688">
        <w:rPr>
          <w:lang w:val="ru-RU"/>
        </w:rPr>
        <w:t xml:space="preserve"> </w:t>
      </w:r>
      <w:r w:rsidR="00CC1688">
        <w:t>Independent</w:t>
      </w:r>
      <w:r w:rsidR="00CC1688" w:rsidRPr="00CC1688">
        <w:rPr>
          <w:lang w:val="ru-RU"/>
        </w:rPr>
        <w:t xml:space="preserve"> </w:t>
      </w:r>
      <w:r w:rsidR="00CC1688">
        <w:t>States</w:t>
      </w:r>
      <w:r w:rsidR="00002E53" w:rsidRPr="00002E53">
        <w:rPr>
          <w:lang w:val="ru-RU"/>
        </w:rPr>
        <w:t xml:space="preserve"> </w:t>
      </w:r>
      <w:r w:rsidR="00002E53">
        <w:rPr>
          <w:lang w:val="ru-RU"/>
        </w:rPr>
        <w:t>и в то же время расши</w:t>
      </w:r>
      <w:r w:rsidR="00A2158F">
        <w:rPr>
          <w:lang w:val="ru-RU"/>
        </w:rPr>
        <w:t xml:space="preserve">рила </w:t>
      </w:r>
      <w:r w:rsidR="00002E53">
        <w:rPr>
          <w:lang w:val="ru-RU"/>
        </w:rPr>
        <w:t>свои связи с западом</w:t>
      </w:r>
      <w:r w:rsidR="00431C9D">
        <w:rPr>
          <w:lang w:val="ru-RU"/>
        </w:rPr>
        <w:t xml:space="preserve">. </w:t>
      </w:r>
      <w:r w:rsidR="00002E53">
        <w:rPr>
          <w:lang w:val="ru-RU"/>
        </w:rPr>
        <w:t xml:space="preserve">Все это было сделано для </w:t>
      </w:r>
      <w:r w:rsidR="00052DE7">
        <w:rPr>
          <w:lang w:val="ru-RU"/>
        </w:rPr>
        <w:t>того,</w:t>
      </w:r>
      <w:r w:rsidR="00002E53">
        <w:rPr>
          <w:lang w:val="ru-RU"/>
        </w:rPr>
        <w:t xml:space="preserve"> чтобы </w:t>
      </w:r>
      <w:r w:rsidR="00296B18">
        <w:rPr>
          <w:lang w:val="ru-RU"/>
        </w:rPr>
        <w:t>избежать потери д</w:t>
      </w:r>
      <w:r w:rsidR="00A2158F">
        <w:rPr>
          <w:lang w:val="ru-RU"/>
        </w:rPr>
        <w:t xml:space="preserve">оверия </w:t>
      </w:r>
      <w:r w:rsidR="00296B18">
        <w:rPr>
          <w:lang w:val="ru-RU"/>
        </w:rPr>
        <w:t xml:space="preserve">со стороны России и </w:t>
      </w:r>
      <w:r w:rsidR="00052DE7">
        <w:rPr>
          <w:lang w:val="ru-RU"/>
        </w:rPr>
        <w:t>сбалансировать,</w:t>
      </w:r>
      <w:r w:rsidR="00296B18">
        <w:rPr>
          <w:lang w:val="ru-RU"/>
        </w:rPr>
        <w:t xml:space="preserve"> и улучшить отношения с Западом. </w:t>
      </w:r>
      <w:r w:rsidR="00CF7522">
        <w:rPr>
          <w:lang w:val="ru-RU"/>
        </w:rPr>
        <w:t>Более</w:t>
      </w:r>
      <w:r w:rsidR="00CF7522" w:rsidRPr="00EF266F">
        <w:t xml:space="preserve"> </w:t>
      </w:r>
      <w:r w:rsidR="00CF7522">
        <w:rPr>
          <w:lang w:val="ru-RU"/>
        </w:rPr>
        <w:t>того</w:t>
      </w:r>
      <w:r w:rsidR="00CF7522" w:rsidRPr="00EF266F">
        <w:t xml:space="preserve"> </w:t>
      </w:r>
      <w:r w:rsidR="00CF7522">
        <w:rPr>
          <w:lang w:val="ru-RU"/>
        </w:rPr>
        <w:t>страна</w:t>
      </w:r>
      <w:r w:rsidR="00CF7522" w:rsidRPr="00EF266F">
        <w:t xml:space="preserve"> </w:t>
      </w:r>
      <w:r w:rsidR="00CF7522">
        <w:rPr>
          <w:lang w:val="ru-RU"/>
        </w:rPr>
        <w:t>интегрировалась</w:t>
      </w:r>
      <w:r w:rsidR="00CF7522" w:rsidRPr="00EF266F">
        <w:t xml:space="preserve"> </w:t>
      </w:r>
      <w:r w:rsidR="00CF7522">
        <w:rPr>
          <w:lang w:val="ru-RU"/>
        </w:rPr>
        <w:t>в</w:t>
      </w:r>
      <w:r w:rsidR="00CF7522" w:rsidRPr="00EF266F">
        <w:t xml:space="preserve"> </w:t>
      </w:r>
      <w:r w:rsidR="00CF7522">
        <w:t>Central</w:t>
      </w:r>
      <w:r w:rsidR="00CF7522" w:rsidRPr="00EF266F">
        <w:t xml:space="preserve"> </w:t>
      </w:r>
      <w:r w:rsidR="00CF7522">
        <w:t>Asian</w:t>
      </w:r>
      <w:r w:rsidR="00CF7522" w:rsidRPr="00EF266F">
        <w:t xml:space="preserve"> </w:t>
      </w:r>
      <w:r w:rsidR="00CF7522">
        <w:t>Economic</w:t>
      </w:r>
      <w:r w:rsidR="00CF7522" w:rsidRPr="00EF266F">
        <w:t xml:space="preserve"> </w:t>
      </w:r>
      <w:r w:rsidR="00CF7522">
        <w:t>Community</w:t>
      </w:r>
      <w:r w:rsidR="00CF7522" w:rsidRPr="00EF266F">
        <w:t xml:space="preserve"> </w:t>
      </w:r>
      <w:r w:rsidR="00CF7522">
        <w:t>and</w:t>
      </w:r>
      <w:r w:rsidR="00CF7522" w:rsidRPr="00EF266F">
        <w:t xml:space="preserve"> </w:t>
      </w:r>
      <w:r w:rsidR="00CF7522">
        <w:t>the</w:t>
      </w:r>
      <w:r w:rsidR="00CF7522" w:rsidRPr="00EF266F">
        <w:t xml:space="preserve"> </w:t>
      </w:r>
      <w:r w:rsidR="00CF7522">
        <w:t>Eurasian</w:t>
      </w:r>
      <w:r w:rsidR="00CF7522" w:rsidRPr="00EF266F">
        <w:t xml:space="preserve"> </w:t>
      </w:r>
      <w:r w:rsidR="00CF7522">
        <w:t>Economic</w:t>
      </w:r>
      <w:r w:rsidR="00CF7522" w:rsidRPr="00EF266F">
        <w:t xml:space="preserve"> </w:t>
      </w:r>
      <w:r w:rsidR="00CF7522">
        <w:t>Community</w:t>
      </w:r>
      <w:r w:rsidR="00CF7522" w:rsidRPr="00EF266F">
        <w:t xml:space="preserve"> </w:t>
      </w:r>
      <w:r w:rsidR="00CF7522">
        <w:t>while</w:t>
      </w:r>
      <w:r w:rsidR="00CF7522" w:rsidRPr="00EF266F">
        <w:t xml:space="preserve"> </w:t>
      </w:r>
      <w:r w:rsidR="00CF7522">
        <w:t>developing</w:t>
      </w:r>
      <w:r w:rsidR="00CF7522" w:rsidRPr="00EF266F">
        <w:t xml:space="preserve"> </w:t>
      </w:r>
      <w:r w:rsidR="00CF7522">
        <w:t>relationships</w:t>
      </w:r>
      <w:r w:rsidR="00CF7522" w:rsidRPr="00EF266F">
        <w:t xml:space="preserve"> </w:t>
      </w:r>
      <w:r w:rsidR="00CF7522">
        <w:t>with</w:t>
      </w:r>
      <w:r w:rsidR="00CF7522" w:rsidRPr="00EF266F">
        <w:t xml:space="preserve"> </w:t>
      </w:r>
      <w:r w:rsidR="00CF7522">
        <w:t>the</w:t>
      </w:r>
      <w:r w:rsidR="00CF7522" w:rsidRPr="00EF266F">
        <w:t xml:space="preserve"> </w:t>
      </w:r>
      <w:r w:rsidR="00CF7522">
        <w:t>West</w:t>
      </w:r>
      <w:r w:rsidR="00CF7522" w:rsidRPr="00EF266F">
        <w:t xml:space="preserve"> </w:t>
      </w:r>
      <w:r w:rsidR="00CF7522">
        <w:t>and</w:t>
      </w:r>
      <w:r w:rsidR="00CF7522" w:rsidRPr="00EF266F">
        <w:t xml:space="preserve"> </w:t>
      </w:r>
      <w:r w:rsidR="00CF7522">
        <w:t>Chin</w:t>
      </w:r>
      <w:r w:rsidR="00CF7522" w:rsidRPr="00BB42A2">
        <w:rPr>
          <w:highlight w:val="yellow"/>
        </w:rPr>
        <w:t>a</w:t>
      </w:r>
      <w:r w:rsidR="00EF266F">
        <w:rPr>
          <w:highlight w:val="yellow"/>
        </w:rPr>
        <w:t>.</w:t>
      </w:r>
      <w:r w:rsidR="00EF266F">
        <w:t xml:space="preserve"> </w:t>
      </w:r>
      <w:r w:rsidR="00AF2CE4" w:rsidRPr="00AF2CE4">
        <w:t xml:space="preserve"> </w:t>
      </w:r>
      <w:r w:rsidR="00334C5B">
        <w:rPr>
          <w:lang w:val="ru-RU"/>
        </w:rPr>
        <w:t>Даже после ухода с власти Н. Назарбаева в марте 2019 года</w:t>
      </w:r>
      <w:r w:rsidR="00334C5B" w:rsidRPr="00334C5B">
        <w:rPr>
          <w:lang w:val="ru-RU"/>
        </w:rPr>
        <w:t xml:space="preserve">, </w:t>
      </w:r>
      <w:r w:rsidR="00334C5B">
        <w:rPr>
          <w:lang w:val="ru-RU"/>
        </w:rPr>
        <w:t xml:space="preserve">новый президент </w:t>
      </w:r>
      <w:r w:rsidR="00B014BA" w:rsidRPr="00B014BA">
        <w:rPr>
          <w:lang w:val="ru-RU"/>
        </w:rPr>
        <w:t>Kassym</w:t>
      </w:r>
      <w:r w:rsidR="00B014BA">
        <w:rPr>
          <w:lang w:val="ru-RU"/>
        </w:rPr>
        <w:t xml:space="preserve"> </w:t>
      </w:r>
      <w:r w:rsidR="00B014BA" w:rsidRPr="00B014BA">
        <w:rPr>
          <w:lang w:val="ru-RU"/>
        </w:rPr>
        <w:t>Jomart Tokayev</w:t>
      </w:r>
      <w:r w:rsidR="00B014BA">
        <w:rPr>
          <w:lang w:val="ru-RU"/>
        </w:rPr>
        <w:t xml:space="preserve"> </w:t>
      </w:r>
      <w:r w:rsidR="003A79AC">
        <w:rPr>
          <w:lang w:val="ru-RU"/>
        </w:rPr>
        <w:t xml:space="preserve">поддерживает данную политику </w:t>
      </w:r>
      <w:r w:rsidR="006D45EC">
        <w:rPr>
          <w:lang w:val="ru-RU"/>
        </w:rPr>
        <w:t>ставя упор на развитие отношений с Европейским Союзом</w:t>
      </w:r>
      <w:r w:rsidR="00EF266F" w:rsidRPr="00FF42BF">
        <w:rPr>
          <w:rStyle w:val="ae"/>
          <w:shd w:val="clear" w:color="auto" w:fill="FFFFFF"/>
        </w:rPr>
        <w:footnoteReference w:id="31"/>
      </w:r>
      <w:r w:rsidR="00EF266F" w:rsidRPr="00EF266F">
        <w:rPr>
          <w:lang w:val="ru-RU"/>
        </w:rPr>
        <w:t>.</w:t>
      </w:r>
      <w:r w:rsidR="00D543A2">
        <w:rPr>
          <w:lang w:val="ru-RU"/>
        </w:rPr>
        <w:t xml:space="preserve"> Стоит упомянуть тот </w:t>
      </w:r>
      <w:r w:rsidR="003B5C7F">
        <w:rPr>
          <w:lang w:val="ru-RU"/>
        </w:rPr>
        <w:t>факт,</w:t>
      </w:r>
      <w:r w:rsidR="00D543A2">
        <w:rPr>
          <w:lang w:val="ru-RU"/>
        </w:rPr>
        <w:t xml:space="preserve"> что даже в 1991 году президент </w:t>
      </w:r>
      <w:r w:rsidR="008E6828">
        <w:rPr>
          <w:lang w:val="ru-RU"/>
        </w:rPr>
        <w:t>Франции Жак Ширак высказался о Казахстане</w:t>
      </w:r>
      <w:r w:rsidR="008E6828" w:rsidRPr="008E6828">
        <w:rPr>
          <w:lang w:val="ru-RU"/>
        </w:rPr>
        <w:t>: “</w:t>
      </w:r>
      <w:r w:rsidR="008E6828">
        <w:rPr>
          <w:lang w:val="ru-RU"/>
        </w:rPr>
        <w:t xml:space="preserve">Франция оценивает </w:t>
      </w:r>
      <w:r w:rsidR="005F02E7">
        <w:rPr>
          <w:lang w:val="ru-RU"/>
        </w:rPr>
        <w:t xml:space="preserve">Казахстан как </w:t>
      </w:r>
      <w:r w:rsidR="0096198A">
        <w:rPr>
          <w:lang w:val="ru-RU"/>
        </w:rPr>
        <w:t>страну,</w:t>
      </w:r>
      <w:r w:rsidR="005F02E7">
        <w:rPr>
          <w:lang w:val="ru-RU"/>
        </w:rPr>
        <w:t xml:space="preserve"> которая прошла с 1991 года </w:t>
      </w:r>
      <w:r w:rsidR="00F13B83">
        <w:rPr>
          <w:lang w:val="ru-RU"/>
        </w:rPr>
        <w:t xml:space="preserve">трудный путь. В неопределенных и сложных условиях </w:t>
      </w:r>
      <w:r w:rsidR="002F4B4C">
        <w:rPr>
          <w:lang w:val="ru-RU"/>
        </w:rPr>
        <w:t>Республика</w:t>
      </w:r>
      <w:r w:rsidR="00F13B83">
        <w:rPr>
          <w:lang w:val="ru-RU"/>
        </w:rPr>
        <w:t xml:space="preserve"> встала на необратимый путь строительства государства,</w:t>
      </w:r>
      <w:r w:rsidR="00F13B83" w:rsidRPr="00F13B83">
        <w:rPr>
          <w:lang w:val="ru-RU"/>
        </w:rPr>
        <w:t xml:space="preserve"> </w:t>
      </w:r>
      <w:r w:rsidR="00DF2F73">
        <w:rPr>
          <w:lang w:val="ru-RU"/>
        </w:rPr>
        <w:t xml:space="preserve">которое </w:t>
      </w:r>
      <w:r w:rsidR="002F4B4C">
        <w:rPr>
          <w:lang w:val="ru-RU"/>
        </w:rPr>
        <w:t>заявляет</w:t>
      </w:r>
      <w:r w:rsidR="00DF2F73">
        <w:rPr>
          <w:lang w:val="ru-RU"/>
        </w:rPr>
        <w:t xml:space="preserve"> о своей приверженности общечеловеческим принципам демократии и правового государства. </w:t>
      </w:r>
      <w:r w:rsidR="002F4B4C">
        <w:rPr>
          <w:lang w:val="ru-RU"/>
        </w:rPr>
        <w:t>В течение первых 15 лет государство стало страной</w:t>
      </w:r>
      <w:r w:rsidR="002F4B4C" w:rsidRPr="002F4B4C">
        <w:rPr>
          <w:lang w:val="ru-RU"/>
        </w:rPr>
        <w:t xml:space="preserve">, </w:t>
      </w:r>
      <w:r w:rsidR="002F4B4C">
        <w:rPr>
          <w:lang w:val="ru-RU"/>
        </w:rPr>
        <w:t>имеющей стабильные институты и динамичную экономику</w:t>
      </w:r>
      <w:r w:rsidR="002F4B4C" w:rsidRPr="002F4B4C">
        <w:rPr>
          <w:lang w:val="ru-RU"/>
        </w:rPr>
        <w:t>”</w:t>
      </w:r>
      <w:r w:rsidR="009A46A7" w:rsidRPr="00FF42BF">
        <w:rPr>
          <w:rStyle w:val="ae"/>
          <w:shd w:val="clear" w:color="auto" w:fill="FFFFFF"/>
        </w:rPr>
        <w:footnoteReference w:id="32"/>
      </w:r>
      <w:r w:rsidR="009A46A7" w:rsidRPr="00EF266F">
        <w:rPr>
          <w:lang w:val="ru-RU"/>
        </w:rPr>
        <w:t>.</w:t>
      </w:r>
      <w:r w:rsidR="006828E8" w:rsidRPr="006828E8">
        <w:rPr>
          <w:lang w:val="ru-RU"/>
        </w:rPr>
        <w:t xml:space="preserve"> </w:t>
      </w:r>
    </w:p>
    <w:p w14:paraId="5BF50AF0" w14:textId="5C5B8EA2" w:rsidR="007E0164" w:rsidRPr="00904239" w:rsidRDefault="003B3CB0" w:rsidP="007E0164">
      <w:pPr>
        <w:spacing w:line="360" w:lineRule="auto"/>
        <w:ind w:firstLine="708"/>
        <w:jc w:val="both"/>
        <w:rPr>
          <w:lang w:val="ru-RU"/>
        </w:rPr>
      </w:pPr>
      <w:r>
        <w:rPr>
          <w:lang w:val="ru-RU"/>
        </w:rPr>
        <w:t xml:space="preserve">Многовекторная </w:t>
      </w:r>
      <w:r w:rsidR="009D00DE">
        <w:rPr>
          <w:lang w:val="ru-RU"/>
        </w:rPr>
        <w:t xml:space="preserve">внешняя политика </w:t>
      </w:r>
      <w:r>
        <w:rPr>
          <w:lang w:val="ru-RU"/>
        </w:rPr>
        <w:t>страны был</w:t>
      </w:r>
      <w:r w:rsidR="00C14CB8">
        <w:rPr>
          <w:lang w:val="ru-RU"/>
        </w:rPr>
        <w:t>а</w:t>
      </w:r>
      <w:r>
        <w:rPr>
          <w:lang w:val="ru-RU"/>
        </w:rPr>
        <w:t xml:space="preserve"> обоснова</w:t>
      </w:r>
      <w:r w:rsidR="003F642E">
        <w:rPr>
          <w:lang w:val="ru-RU"/>
        </w:rPr>
        <w:t>на</w:t>
      </w:r>
      <w:r>
        <w:rPr>
          <w:lang w:val="ru-RU"/>
        </w:rPr>
        <w:t xml:space="preserve"> ее географическим положением</w:t>
      </w:r>
      <w:r w:rsidR="003F642E">
        <w:rPr>
          <w:lang w:val="ru-RU"/>
        </w:rPr>
        <w:t>.</w:t>
      </w:r>
      <w:r w:rsidR="00B213F9" w:rsidRPr="00B213F9">
        <w:rPr>
          <w:lang w:val="ru-RU"/>
        </w:rPr>
        <w:t xml:space="preserve"> </w:t>
      </w:r>
      <w:r w:rsidR="003F642E">
        <w:rPr>
          <w:lang w:val="ru-RU"/>
        </w:rPr>
        <w:t xml:space="preserve"> Из стран центральной Азии </w:t>
      </w:r>
      <w:r w:rsidR="00EC00C7">
        <w:rPr>
          <w:lang w:val="ru-RU"/>
        </w:rPr>
        <w:t xml:space="preserve">это </w:t>
      </w:r>
      <w:r w:rsidR="005E3F75">
        <w:rPr>
          <w:lang w:val="ru-RU"/>
        </w:rPr>
        <w:t>единственная страна,</w:t>
      </w:r>
      <w:r w:rsidR="00EC00C7">
        <w:rPr>
          <w:lang w:val="ru-RU"/>
        </w:rPr>
        <w:t xml:space="preserve"> имеющая границу с Россией и экономика которой была направлена </w:t>
      </w:r>
      <w:r w:rsidR="005D09D9">
        <w:rPr>
          <w:lang w:val="ru-RU"/>
        </w:rPr>
        <w:t xml:space="preserve">на </w:t>
      </w:r>
      <w:r w:rsidR="005D09D9">
        <w:rPr>
          <w:lang w:val="ru-RU"/>
        </w:rPr>
        <w:lastRenderedPageBreak/>
        <w:t>развитие отношений с Западом</w:t>
      </w:r>
      <w:r w:rsidR="005D09D9" w:rsidRPr="005D09D9">
        <w:rPr>
          <w:lang w:val="ru-RU"/>
        </w:rPr>
        <w:t xml:space="preserve">, </w:t>
      </w:r>
      <w:r w:rsidR="005D09D9">
        <w:rPr>
          <w:lang w:val="ru-RU"/>
        </w:rPr>
        <w:t>нежели с российским направлением</w:t>
      </w:r>
      <w:r w:rsidR="005B3394">
        <w:rPr>
          <w:lang w:val="ru-RU"/>
        </w:rPr>
        <w:t>.</w:t>
      </w:r>
      <w:r w:rsidR="00333F59">
        <w:rPr>
          <w:lang w:val="ru-RU"/>
        </w:rPr>
        <w:t xml:space="preserve"> </w:t>
      </w:r>
      <w:r w:rsidR="003B5C7F">
        <w:rPr>
          <w:lang w:val="ru-RU"/>
        </w:rPr>
        <w:t>С обретением независимости сложность заключалась в том</w:t>
      </w:r>
      <w:r w:rsidR="003B5C7F" w:rsidRPr="003B5C7F">
        <w:rPr>
          <w:lang w:val="ru-RU"/>
        </w:rPr>
        <w:t xml:space="preserve">, </w:t>
      </w:r>
      <w:r w:rsidR="003B5C7F">
        <w:rPr>
          <w:lang w:val="ru-RU"/>
        </w:rPr>
        <w:t xml:space="preserve">что страна окружена </w:t>
      </w:r>
      <w:r w:rsidR="0060003F">
        <w:rPr>
          <w:lang w:val="ru-RU"/>
        </w:rPr>
        <w:t>доминантными соседями такими как Россия</w:t>
      </w:r>
      <w:r w:rsidR="0060003F" w:rsidRPr="0060003F">
        <w:rPr>
          <w:lang w:val="ru-RU"/>
        </w:rPr>
        <w:t>,</w:t>
      </w:r>
      <w:r w:rsidR="0060003F">
        <w:rPr>
          <w:lang w:val="ru-RU"/>
        </w:rPr>
        <w:t xml:space="preserve"> Китай. Цель заключалась в формировании </w:t>
      </w:r>
      <w:r w:rsidR="001573B0">
        <w:rPr>
          <w:lang w:val="ru-RU"/>
        </w:rPr>
        <w:t>балансной</w:t>
      </w:r>
      <w:r w:rsidR="0060003F">
        <w:rPr>
          <w:lang w:val="ru-RU"/>
        </w:rPr>
        <w:t xml:space="preserve"> внешней политики</w:t>
      </w:r>
      <w:r w:rsidR="001573B0">
        <w:rPr>
          <w:lang w:val="ru-RU"/>
        </w:rPr>
        <w:t xml:space="preserve">. </w:t>
      </w:r>
      <w:r w:rsidR="00FF60F3">
        <w:rPr>
          <w:lang w:val="ru-RU"/>
        </w:rPr>
        <w:t xml:space="preserve">Однако правительству удалось реализовать цель. Цель была достигнута </w:t>
      </w:r>
      <w:r w:rsidR="009A21C8">
        <w:rPr>
          <w:lang w:val="ru-RU"/>
        </w:rPr>
        <w:t xml:space="preserve">и была основана на позитивном </w:t>
      </w:r>
      <w:r w:rsidR="00D57CBA">
        <w:rPr>
          <w:lang w:val="ru-RU"/>
        </w:rPr>
        <w:t>балансе,</w:t>
      </w:r>
      <w:r w:rsidR="009A21C8">
        <w:rPr>
          <w:lang w:val="ru-RU"/>
        </w:rPr>
        <w:t xml:space="preserve"> то есть балансировать отношения с Россией </w:t>
      </w:r>
      <w:r w:rsidR="00D4730A">
        <w:t>by</w:t>
      </w:r>
      <w:r w:rsidR="00D4730A" w:rsidRPr="00D4730A">
        <w:rPr>
          <w:lang w:val="ru-RU"/>
        </w:rPr>
        <w:t xml:space="preserve"> </w:t>
      </w:r>
      <w:r w:rsidR="00D4730A">
        <w:t>building</w:t>
      </w:r>
      <w:r w:rsidR="00D4730A" w:rsidRPr="00D4730A">
        <w:rPr>
          <w:lang w:val="ru-RU"/>
        </w:rPr>
        <w:t xml:space="preserve"> </w:t>
      </w:r>
      <w:r w:rsidR="00D4730A">
        <w:t>close</w:t>
      </w:r>
      <w:r w:rsidR="00D4730A" w:rsidRPr="00D4730A">
        <w:rPr>
          <w:lang w:val="ru-RU"/>
        </w:rPr>
        <w:t xml:space="preserve"> </w:t>
      </w:r>
      <w:r w:rsidR="00D4730A">
        <w:t>relations</w:t>
      </w:r>
      <w:r w:rsidR="00D4730A" w:rsidRPr="00D4730A">
        <w:rPr>
          <w:lang w:val="ru-RU"/>
        </w:rPr>
        <w:t>,</w:t>
      </w:r>
      <w:r w:rsidR="00D4730A">
        <w:rPr>
          <w:lang w:val="ru-RU"/>
        </w:rPr>
        <w:t xml:space="preserve"> </w:t>
      </w:r>
      <w:r w:rsidR="001F521E">
        <w:rPr>
          <w:lang w:val="ru-RU"/>
        </w:rPr>
        <w:t>заключать соглашени</w:t>
      </w:r>
      <w:r w:rsidR="00D57CBA">
        <w:rPr>
          <w:lang w:val="ru-RU"/>
        </w:rPr>
        <w:t>я</w:t>
      </w:r>
      <w:r w:rsidR="001F521E">
        <w:rPr>
          <w:lang w:val="ru-RU"/>
        </w:rPr>
        <w:t xml:space="preserve"> с </w:t>
      </w:r>
      <w:r w:rsidR="00BF2A3F">
        <w:rPr>
          <w:lang w:val="ru-RU"/>
        </w:rPr>
        <w:t>Китаем,</w:t>
      </w:r>
      <w:r w:rsidR="001F521E">
        <w:rPr>
          <w:lang w:val="ru-RU"/>
        </w:rPr>
        <w:t xml:space="preserve"> а </w:t>
      </w:r>
      <w:r w:rsidR="00837DE9">
        <w:rPr>
          <w:lang w:val="ru-RU"/>
        </w:rPr>
        <w:t>также</w:t>
      </w:r>
      <w:r w:rsidR="001F521E">
        <w:rPr>
          <w:lang w:val="ru-RU"/>
        </w:rPr>
        <w:t xml:space="preserve"> с большим уклоном и интересом с Европейским Союзом и </w:t>
      </w:r>
      <w:r w:rsidR="002E7FDF">
        <w:rPr>
          <w:lang w:val="ru-RU"/>
        </w:rPr>
        <w:t>Соединенными Штатами Америки.</w:t>
      </w:r>
      <w:r w:rsidR="00837DE9">
        <w:rPr>
          <w:lang w:val="ru-RU"/>
        </w:rPr>
        <w:t xml:space="preserve"> </w:t>
      </w:r>
      <w:r w:rsidR="002E7FDF">
        <w:rPr>
          <w:lang w:val="ru-RU"/>
        </w:rPr>
        <w:t xml:space="preserve"> </w:t>
      </w:r>
      <w:r w:rsidR="007C22E3">
        <w:rPr>
          <w:lang w:val="ru-RU"/>
        </w:rPr>
        <w:t xml:space="preserve">В </w:t>
      </w:r>
      <w:r w:rsidR="00FC445E">
        <w:rPr>
          <w:lang w:val="ru-RU"/>
        </w:rPr>
        <w:t xml:space="preserve">своем документу </w:t>
      </w:r>
      <w:r w:rsidR="00FC445E" w:rsidRPr="00EF13F6">
        <w:rPr>
          <w:lang w:val="ru-RU"/>
        </w:rPr>
        <w:t>“</w:t>
      </w:r>
      <w:r w:rsidR="00595786">
        <w:rPr>
          <w:lang w:val="ru-RU"/>
        </w:rPr>
        <w:t>концепция</w:t>
      </w:r>
      <w:r w:rsidR="00FC445E">
        <w:rPr>
          <w:lang w:val="ru-RU"/>
        </w:rPr>
        <w:t xml:space="preserve"> внешней политики Казахстана на </w:t>
      </w:r>
      <w:r w:rsidR="00BF2A3F">
        <w:rPr>
          <w:lang w:val="ru-RU"/>
        </w:rPr>
        <w:t>2020–</w:t>
      </w:r>
      <w:r w:rsidR="000E6CFD">
        <w:rPr>
          <w:lang w:val="ru-RU"/>
        </w:rPr>
        <w:t>2030 годы</w:t>
      </w:r>
      <w:r w:rsidR="00EF13F6" w:rsidRPr="00EF13F6">
        <w:rPr>
          <w:lang w:val="ru-RU"/>
        </w:rPr>
        <w:t xml:space="preserve">” </w:t>
      </w:r>
      <w:r w:rsidR="00EF13F6">
        <w:rPr>
          <w:lang w:val="ru-RU"/>
        </w:rPr>
        <w:t xml:space="preserve">президент </w:t>
      </w:r>
      <w:r w:rsidR="00EF13F6" w:rsidRPr="00EF13F6">
        <w:rPr>
          <w:lang w:val="ru-RU"/>
        </w:rPr>
        <w:t>Kassym Jomart Tokayev</w:t>
      </w:r>
      <w:r w:rsidR="00EF13F6">
        <w:rPr>
          <w:lang w:val="ru-RU"/>
        </w:rPr>
        <w:t xml:space="preserve"> пояснил </w:t>
      </w:r>
      <w:r w:rsidR="00595786">
        <w:rPr>
          <w:lang w:val="ru-RU"/>
        </w:rPr>
        <w:t xml:space="preserve">и перечислил основные </w:t>
      </w:r>
      <w:r w:rsidR="008D2534">
        <w:rPr>
          <w:lang w:val="ru-RU"/>
        </w:rPr>
        <w:t xml:space="preserve">цели </w:t>
      </w:r>
      <w:r w:rsidR="000371DC">
        <w:rPr>
          <w:lang w:val="ru-RU"/>
        </w:rPr>
        <w:t xml:space="preserve">внешней политики. Они включают в себя следующие основные </w:t>
      </w:r>
      <w:r w:rsidR="00904239">
        <w:rPr>
          <w:lang w:val="ru-RU"/>
        </w:rPr>
        <w:t>пункты</w:t>
      </w:r>
    </w:p>
    <w:p w14:paraId="71977B11" w14:textId="65C8CFEE" w:rsidR="007E0164" w:rsidRDefault="0008245F" w:rsidP="000371DC">
      <w:pPr>
        <w:pStyle w:val="a7"/>
        <w:numPr>
          <w:ilvl w:val="0"/>
          <w:numId w:val="18"/>
        </w:numPr>
        <w:spacing w:line="360" w:lineRule="auto"/>
        <w:jc w:val="both"/>
        <w:rPr>
          <w:lang w:val="ru-RU"/>
        </w:rPr>
      </w:pPr>
      <w:r>
        <w:rPr>
          <w:lang w:val="ru-RU"/>
        </w:rPr>
        <w:t>Укрепление независимости и продвижение долгосрочных интересов Казахстана в регионе Центральной Азии</w:t>
      </w:r>
      <w:r w:rsidRPr="0008245F">
        <w:rPr>
          <w:lang w:val="ru-RU"/>
        </w:rPr>
        <w:t>;</w:t>
      </w:r>
    </w:p>
    <w:p w14:paraId="72B38BDA" w14:textId="740AD145" w:rsidR="0008245F" w:rsidRPr="0008245F" w:rsidRDefault="0008245F" w:rsidP="000371DC">
      <w:pPr>
        <w:pStyle w:val="a7"/>
        <w:numPr>
          <w:ilvl w:val="0"/>
          <w:numId w:val="18"/>
        </w:numPr>
        <w:spacing w:line="360" w:lineRule="auto"/>
        <w:jc w:val="both"/>
        <w:rPr>
          <w:lang w:val="ru-RU"/>
        </w:rPr>
      </w:pPr>
      <w:r>
        <w:rPr>
          <w:lang w:val="ru-RU"/>
        </w:rPr>
        <w:t>Поддержание дружественных</w:t>
      </w:r>
      <w:r w:rsidRPr="0008245F">
        <w:rPr>
          <w:lang w:val="ru-RU"/>
        </w:rPr>
        <w:t xml:space="preserve">, </w:t>
      </w:r>
      <w:r>
        <w:rPr>
          <w:lang w:val="ru-RU"/>
        </w:rPr>
        <w:t xml:space="preserve">предсказуемых и взаимовыгодных отношений с иностранными государствами как в двухстороннем </w:t>
      </w:r>
      <w:r w:rsidR="00C62656">
        <w:rPr>
          <w:lang w:val="ru-RU"/>
        </w:rPr>
        <w:t>формате,</w:t>
      </w:r>
      <w:r>
        <w:rPr>
          <w:lang w:val="ru-RU"/>
        </w:rPr>
        <w:t xml:space="preserve"> так и многостороннем форматах</w:t>
      </w:r>
      <w:r w:rsidRPr="0008245F">
        <w:rPr>
          <w:lang w:val="ru-RU"/>
        </w:rPr>
        <w:t>;</w:t>
      </w:r>
    </w:p>
    <w:p w14:paraId="68F1E58D" w14:textId="73957FAE" w:rsidR="00622C53" w:rsidRPr="00B31BB3" w:rsidRDefault="00B31BB3" w:rsidP="00622C53">
      <w:pPr>
        <w:pStyle w:val="a7"/>
        <w:numPr>
          <w:ilvl w:val="0"/>
          <w:numId w:val="18"/>
        </w:numPr>
        <w:spacing w:line="360" w:lineRule="auto"/>
        <w:jc w:val="both"/>
      </w:pPr>
      <w:r w:rsidRPr="00B31BB3">
        <w:t>Full use of the foreign policy capability to enhance the national economic competitiveness, living conditions and standard of living of Kazakhstani people.</w:t>
      </w:r>
      <w:r w:rsidR="008D2534" w:rsidRPr="00FF42BF">
        <w:rPr>
          <w:rStyle w:val="ae"/>
          <w:shd w:val="clear" w:color="auto" w:fill="FFFFFF"/>
        </w:rPr>
        <w:footnoteReference w:id="33"/>
      </w:r>
      <w:r w:rsidR="008D2534" w:rsidRPr="00B31BB3">
        <w:t>.</w:t>
      </w:r>
    </w:p>
    <w:p w14:paraId="75C3541C" w14:textId="65CDF8A2" w:rsidR="000E6CFD" w:rsidRPr="00622C53" w:rsidRDefault="0004558C" w:rsidP="00622C53">
      <w:pPr>
        <w:spacing w:line="360" w:lineRule="auto"/>
        <w:ind w:firstLine="360"/>
        <w:jc w:val="both"/>
        <w:rPr>
          <w:lang w:val="ru-RU"/>
        </w:rPr>
      </w:pPr>
      <w:r w:rsidRPr="00622C53">
        <w:rPr>
          <w:lang w:val="ru-RU"/>
        </w:rPr>
        <w:t xml:space="preserve">В продолжении исследования необходимо </w:t>
      </w:r>
      <w:r w:rsidR="00584565" w:rsidRPr="00622C53">
        <w:rPr>
          <w:lang w:val="ru-RU"/>
        </w:rPr>
        <w:t>отметить,</w:t>
      </w:r>
      <w:r w:rsidRPr="00622C53">
        <w:rPr>
          <w:lang w:val="ru-RU"/>
        </w:rPr>
        <w:t xml:space="preserve"> </w:t>
      </w:r>
      <w:r w:rsidR="00311D2B" w:rsidRPr="00622C53">
        <w:rPr>
          <w:lang w:val="ru-RU"/>
        </w:rPr>
        <w:t xml:space="preserve">что данная политика укрепляет суверенитет государства двумя способами. </w:t>
      </w:r>
      <w:r w:rsidR="00D75B7D" w:rsidRPr="00622C53">
        <w:rPr>
          <w:lang w:val="ru-RU"/>
        </w:rPr>
        <w:t>Во-первых,</w:t>
      </w:r>
      <w:r w:rsidR="00311D2B" w:rsidRPr="00622C53">
        <w:rPr>
          <w:lang w:val="ru-RU"/>
        </w:rPr>
        <w:t xml:space="preserve"> </w:t>
      </w:r>
      <w:r w:rsidR="00E01A6F" w:rsidRPr="00622C53">
        <w:rPr>
          <w:lang w:val="ru-RU"/>
        </w:rPr>
        <w:t xml:space="preserve">политика добавляет еще один слой к международному признанию Казахстана. </w:t>
      </w:r>
      <w:r w:rsidR="00D75B7D" w:rsidRPr="00622C53">
        <w:rPr>
          <w:lang w:val="ru-RU"/>
        </w:rPr>
        <w:t>Во-вторых,</w:t>
      </w:r>
      <w:r w:rsidR="00E01A6F" w:rsidRPr="00622C53">
        <w:rPr>
          <w:lang w:val="ru-RU"/>
        </w:rPr>
        <w:t xml:space="preserve"> дает </w:t>
      </w:r>
      <w:r w:rsidR="00B62BBB" w:rsidRPr="00622C53">
        <w:rPr>
          <w:lang w:val="ru-RU"/>
        </w:rPr>
        <w:t>странам державам веские основания для принятия нейтралитета Республики</w:t>
      </w:r>
      <w:r w:rsidR="00F64CB0" w:rsidRPr="00622C53">
        <w:rPr>
          <w:lang w:val="ru-RU"/>
        </w:rPr>
        <w:t xml:space="preserve">. Страна за свои годы независимости продемонстрировала себя как </w:t>
      </w:r>
      <w:r w:rsidR="00584565" w:rsidRPr="00622C53">
        <w:rPr>
          <w:lang w:val="ru-RU"/>
        </w:rPr>
        <w:t>нейтральная держава,</w:t>
      </w:r>
      <w:r w:rsidR="00F64CB0" w:rsidRPr="00622C53">
        <w:rPr>
          <w:lang w:val="ru-RU"/>
        </w:rPr>
        <w:t xml:space="preserve"> которая </w:t>
      </w:r>
      <w:r w:rsidR="00584565" w:rsidRPr="00622C53">
        <w:rPr>
          <w:lang w:val="ru-RU"/>
        </w:rPr>
        <w:t>напринимает</w:t>
      </w:r>
      <w:r w:rsidR="00F64CB0" w:rsidRPr="00622C53">
        <w:rPr>
          <w:lang w:val="ru-RU"/>
        </w:rPr>
        <w:t xml:space="preserve"> н</w:t>
      </w:r>
      <w:r w:rsidR="00584565" w:rsidRPr="00622C53">
        <w:rPr>
          <w:lang w:val="ru-RU"/>
        </w:rPr>
        <w:t xml:space="preserve">ичью сторону. Она выступает в роли посредника. </w:t>
      </w:r>
      <w:r w:rsidR="00531296" w:rsidRPr="00622C53">
        <w:rPr>
          <w:lang w:val="ru-RU"/>
        </w:rPr>
        <w:t xml:space="preserve">Этот подход находит свое отражение в Российско-Украинском конфликте. </w:t>
      </w:r>
      <w:r w:rsidR="00CA3748" w:rsidRPr="00622C53">
        <w:rPr>
          <w:lang w:val="ru-RU"/>
        </w:rPr>
        <w:t xml:space="preserve">Россия </w:t>
      </w:r>
      <w:r w:rsidR="00C62656" w:rsidRPr="00622C53">
        <w:rPr>
          <w:lang w:val="ru-RU"/>
        </w:rPr>
        <w:t>хочет,</w:t>
      </w:r>
      <w:r w:rsidR="00CA3748" w:rsidRPr="00622C53">
        <w:rPr>
          <w:lang w:val="ru-RU"/>
        </w:rPr>
        <w:t xml:space="preserve"> чтобы Казахстан поддержал ее действия в </w:t>
      </w:r>
      <w:r w:rsidR="00C62656" w:rsidRPr="00622C53">
        <w:rPr>
          <w:lang w:val="ru-RU"/>
        </w:rPr>
        <w:t>Украине,</w:t>
      </w:r>
      <w:r w:rsidR="00CA3748" w:rsidRPr="00622C53">
        <w:rPr>
          <w:lang w:val="ru-RU"/>
        </w:rPr>
        <w:t xml:space="preserve"> однако Республика продемонстрировала что она является промежуточным звеном</w:t>
      </w:r>
      <w:r w:rsidR="00C76145" w:rsidRPr="00622C53">
        <w:rPr>
          <w:lang w:val="ru-RU"/>
        </w:rPr>
        <w:t xml:space="preserve">. </w:t>
      </w:r>
      <w:r w:rsidR="00ED269E" w:rsidRPr="00622C53">
        <w:rPr>
          <w:lang w:val="ru-RU"/>
        </w:rPr>
        <w:t>Несмотря на давление со стороны России</w:t>
      </w:r>
      <w:r w:rsidR="002D0BBE" w:rsidRPr="00622C53">
        <w:rPr>
          <w:lang w:val="ru-RU"/>
        </w:rPr>
        <w:t xml:space="preserve">, Республика не выразила явной поддержи ее политики </w:t>
      </w:r>
      <w:r w:rsidR="002D0BBE" w:rsidRPr="00622C53">
        <w:rPr>
          <w:lang w:val="ru-RU"/>
        </w:rPr>
        <w:lastRenderedPageBreak/>
        <w:t xml:space="preserve">в отношении Украины. Вместо этого </w:t>
      </w:r>
      <w:r w:rsidR="00105B00" w:rsidRPr="00622C53">
        <w:rPr>
          <w:lang w:val="ru-RU"/>
        </w:rPr>
        <w:t xml:space="preserve">государство </w:t>
      </w:r>
      <w:r w:rsidR="00395D53" w:rsidRPr="00622C53">
        <w:rPr>
          <w:lang w:val="ru-RU"/>
        </w:rPr>
        <w:t>показало,</w:t>
      </w:r>
      <w:r w:rsidR="00105B00" w:rsidRPr="00622C53">
        <w:rPr>
          <w:lang w:val="ru-RU"/>
        </w:rPr>
        <w:t xml:space="preserve"> что способно выполнять уникальную роль посредника и придерживания нейтралитета на мировой арене. Такая позиция стала возможна благодаря </w:t>
      </w:r>
      <w:r w:rsidR="00A727AB" w:rsidRPr="00622C53">
        <w:rPr>
          <w:lang w:val="ru-RU"/>
        </w:rPr>
        <w:t xml:space="preserve">независимости </w:t>
      </w:r>
      <w:r w:rsidR="00A1344F" w:rsidRPr="00622C53">
        <w:rPr>
          <w:lang w:val="ru-RU"/>
        </w:rPr>
        <w:t>внешнеполитической политики,</w:t>
      </w:r>
      <w:r w:rsidR="00A727AB" w:rsidRPr="00622C53">
        <w:rPr>
          <w:lang w:val="ru-RU"/>
        </w:rPr>
        <w:t xml:space="preserve"> которая была разработана Парламентом и </w:t>
      </w:r>
      <w:r w:rsidR="00622C53" w:rsidRPr="00622C53">
        <w:rPr>
          <w:lang w:val="ru-RU"/>
        </w:rPr>
        <w:t>президентом</w:t>
      </w:r>
      <w:r w:rsidR="00A727AB" w:rsidRPr="00622C53">
        <w:rPr>
          <w:lang w:val="ru-RU"/>
        </w:rPr>
        <w:t xml:space="preserve"> страны</w:t>
      </w:r>
      <w:r w:rsidR="00395D53" w:rsidRPr="00FF42BF">
        <w:rPr>
          <w:rStyle w:val="ae"/>
          <w:shd w:val="clear" w:color="auto" w:fill="FFFFFF"/>
        </w:rPr>
        <w:footnoteReference w:id="34"/>
      </w:r>
      <w:r w:rsidR="00395D53" w:rsidRPr="00622C53">
        <w:rPr>
          <w:lang w:val="ru-RU"/>
        </w:rPr>
        <w:t>.</w:t>
      </w:r>
    </w:p>
    <w:p w14:paraId="6A4CEBC5" w14:textId="36EBC1A5" w:rsidR="0093125A" w:rsidRPr="000653A1" w:rsidRDefault="000B64B8" w:rsidP="00D71C63">
      <w:pPr>
        <w:spacing w:line="360" w:lineRule="auto"/>
        <w:ind w:firstLine="708"/>
        <w:jc w:val="both"/>
        <w:rPr>
          <w:lang w:val="ru-RU"/>
        </w:rPr>
      </w:pPr>
      <w:r>
        <w:rPr>
          <w:lang w:val="ru-RU"/>
        </w:rPr>
        <w:t>Как отметил президент Нурсултан Назарбаев</w:t>
      </w:r>
      <w:r w:rsidRPr="000B64B8">
        <w:rPr>
          <w:lang w:val="ru-RU"/>
        </w:rPr>
        <w:t>,</w:t>
      </w:r>
      <w:r>
        <w:rPr>
          <w:lang w:val="ru-RU"/>
        </w:rPr>
        <w:t xml:space="preserve"> многовекторная стратегия направлена </w:t>
      </w:r>
      <w:r w:rsidR="006A57CC">
        <w:rPr>
          <w:lang w:val="ru-RU"/>
        </w:rPr>
        <w:t>на обеспечение установления Казахстаном прагматичных и выгодны</w:t>
      </w:r>
      <w:r w:rsidR="00F72F55">
        <w:rPr>
          <w:lang w:val="ru-RU"/>
        </w:rPr>
        <w:t>х</w:t>
      </w:r>
      <w:r w:rsidR="006A57CC">
        <w:rPr>
          <w:lang w:val="ru-RU"/>
        </w:rPr>
        <w:t xml:space="preserve"> связей со всеми странами</w:t>
      </w:r>
      <w:r w:rsidR="006A57CC" w:rsidRPr="006A57CC">
        <w:rPr>
          <w:lang w:val="ru-RU"/>
        </w:rPr>
        <w:t xml:space="preserve">, </w:t>
      </w:r>
      <w:r w:rsidR="006A57CC">
        <w:rPr>
          <w:lang w:val="ru-RU"/>
        </w:rPr>
        <w:t>имеющими влияние на мировой арене</w:t>
      </w:r>
      <w:r w:rsidR="008631CD" w:rsidRPr="00FF42BF">
        <w:rPr>
          <w:rStyle w:val="ae"/>
          <w:shd w:val="clear" w:color="auto" w:fill="FFFFFF"/>
        </w:rPr>
        <w:footnoteReference w:id="35"/>
      </w:r>
      <w:r w:rsidR="008631CD" w:rsidRPr="00622C53">
        <w:rPr>
          <w:lang w:val="ru-RU"/>
        </w:rPr>
        <w:t>.</w:t>
      </w:r>
      <w:r w:rsidR="00AA2C76">
        <w:rPr>
          <w:lang w:val="ru-RU"/>
        </w:rPr>
        <w:t xml:space="preserve"> </w:t>
      </w:r>
      <w:r w:rsidR="00F1462E">
        <w:rPr>
          <w:lang w:val="ru-RU"/>
        </w:rPr>
        <w:t xml:space="preserve">Первым делом страна избавилась от ядерного оружия </w:t>
      </w:r>
      <w:r w:rsidR="00704412">
        <w:rPr>
          <w:lang w:val="ru-RU"/>
        </w:rPr>
        <w:t xml:space="preserve">и начала свою интеграцию в международные организации.  </w:t>
      </w:r>
      <w:r w:rsidR="00C55BC0">
        <w:rPr>
          <w:lang w:val="ru-RU"/>
        </w:rPr>
        <w:t xml:space="preserve">В этом контексте Европейский Союз занимает особое место как </w:t>
      </w:r>
      <w:r w:rsidR="006B1DF9">
        <w:rPr>
          <w:lang w:val="ru-RU"/>
        </w:rPr>
        <w:t>стратегический партнер,</w:t>
      </w:r>
      <w:r w:rsidR="008D6835">
        <w:rPr>
          <w:lang w:val="ru-RU"/>
        </w:rPr>
        <w:t xml:space="preserve"> способствующий снижению зависимости от России. </w:t>
      </w:r>
      <w:r w:rsidR="00147EBF">
        <w:rPr>
          <w:lang w:val="ru-RU"/>
        </w:rPr>
        <w:t xml:space="preserve">На пример основываясь </w:t>
      </w:r>
      <w:r w:rsidR="0053716C">
        <w:rPr>
          <w:lang w:val="ru-RU"/>
        </w:rPr>
        <w:t>на последних данных,</w:t>
      </w:r>
      <w:r w:rsidR="00B6141F">
        <w:rPr>
          <w:lang w:val="ru-RU"/>
        </w:rPr>
        <w:t xml:space="preserve"> опубликованн</w:t>
      </w:r>
      <w:r w:rsidR="004A52E3">
        <w:rPr>
          <w:lang w:val="ru-RU"/>
        </w:rPr>
        <w:t xml:space="preserve">ых </w:t>
      </w:r>
      <w:r w:rsidR="004A52E3">
        <w:t>European</w:t>
      </w:r>
      <w:r w:rsidR="004A52E3" w:rsidRPr="0053716C">
        <w:rPr>
          <w:lang w:val="ru-RU"/>
        </w:rPr>
        <w:t xml:space="preserve"> </w:t>
      </w:r>
      <w:r w:rsidR="004A52E3">
        <w:t>Commission</w:t>
      </w:r>
      <w:r w:rsidR="004A52E3" w:rsidRPr="0053716C">
        <w:rPr>
          <w:lang w:val="ru-RU"/>
        </w:rPr>
        <w:t>,</w:t>
      </w:r>
      <w:r w:rsidR="0053716C" w:rsidRPr="0053716C">
        <w:rPr>
          <w:lang w:val="ru-RU"/>
        </w:rPr>
        <w:t xml:space="preserve"> </w:t>
      </w:r>
      <w:r w:rsidR="0053716C">
        <w:rPr>
          <w:lang w:val="ru-RU"/>
        </w:rPr>
        <w:t>общий товарооборот между Казахстаном и ЕС достиг 44</w:t>
      </w:r>
      <w:r w:rsidR="0053716C" w:rsidRPr="0053716C">
        <w:rPr>
          <w:lang w:val="ru-RU"/>
        </w:rPr>
        <w:t xml:space="preserve">,9 </w:t>
      </w:r>
      <w:r w:rsidR="0053716C">
        <w:rPr>
          <w:lang w:val="ru-RU"/>
        </w:rPr>
        <w:t>млрд евро</w:t>
      </w:r>
      <w:r w:rsidR="0053716C" w:rsidRPr="0053716C">
        <w:rPr>
          <w:lang w:val="ru-RU"/>
        </w:rPr>
        <w:t>,</w:t>
      </w:r>
      <w:r w:rsidR="0053716C">
        <w:rPr>
          <w:lang w:val="ru-RU"/>
        </w:rPr>
        <w:t xml:space="preserve"> что на 6</w:t>
      </w:r>
      <w:r w:rsidR="0053716C" w:rsidRPr="0053716C">
        <w:rPr>
          <w:lang w:val="ru-RU"/>
        </w:rPr>
        <w:t xml:space="preserve">,1 % </w:t>
      </w:r>
      <w:r w:rsidR="0053716C">
        <w:rPr>
          <w:lang w:val="ru-RU"/>
        </w:rPr>
        <w:t xml:space="preserve">больше по сравнению с 2023 годом. </w:t>
      </w:r>
      <w:r w:rsidR="00CE14DA">
        <w:rPr>
          <w:lang w:val="ru-RU"/>
        </w:rPr>
        <w:t>Экспорт Республики в ЕС составил 33</w:t>
      </w:r>
      <w:r w:rsidR="00CE14DA" w:rsidRPr="00CE14DA">
        <w:rPr>
          <w:lang w:val="ru-RU"/>
        </w:rPr>
        <w:t xml:space="preserve">,5 </w:t>
      </w:r>
      <w:r w:rsidR="00CE14DA">
        <w:rPr>
          <w:lang w:val="ru-RU"/>
        </w:rPr>
        <w:t>млрд евро</w:t>
      </w:r>
      <w:r w:rsidR="00CE14DA" w:rsidRPr="00CE14DA">
        <w:rPr>
          <w:lang w:val="ru-RU"/>
        </w:rPr>
        <w:t xml:space="preserve">, </w:t>
      </w:r>
      <w:r w:rsidR="00CE14DA">
        <w:rPr>
          <w:lang w:val="ru-RU"/>
        </w:rPr>
        <w:t>а импорт из ЕС – 11</w:t>
      </w:r>
      <w:r w:rsidR="00CE14DA" w:rsidRPr="00CE14DA">
        <w:rPr>
          <w:lang w:val="ru-RU"/>
        </w:rPr>
        <w:t xml:space="preserve">,5 </w:t>
      </w:r>
      <w:r w:rsidR="00CE14DA">
        <w:rPr>
          <w:lang w:val="ru-RU"/>
        </w:rPr>
        <w:t>млрд евр</w:t>
      </w:r>
      <w:r w:rsidR="004A4894">
        <w:rPr>
          <w:lang w:val="ru-RU"/>
        </w:rPr>
        <w:t xml:space="preserve">о. </w:t>
      </w:r>
      <w:r w:rsidR="004A4894" w:rsidRPr="004A4894">
        <w:rPr>
          <w:lang w:val="ru-RU"/>
        </w:rPr>
        <w:t>Сальдо торгового баланса составило €22 млрд в пользу Казахстана, увеличившись с €18,2 млрд в 2023 году</w:t>
      </w:r>
      <w:r w:rsidR="004A4894" w:rsidRPr="00FF42BF">
        <w:rPr>
          <w:rStyle w:val="ae"/>
          <w:shd w:val="clear" w:color="auto" w:fill="FFFFFF"/>
        </w:rPr>
        <w:footnoteReference w:id="36"/>
      </w:r>
      <w:r w:rsidR="004A4894" w:rsidRPr="004A4894">
        <w:rPr>
          <w:lang w:val="ru-RU"/>
        </w:rPr>
        <w:t>.</w:t>
      </w:r>
    </w:p>
    <w:p w14:paraId="743ED053" w14:textId="767C5A24" w:rsidR="006D141C" w:rsidRPr="004247E0" w:rsidRDefault="006D141C" w:rsidP="006D141C">
      <w:pPr>
        <w:spacing w:line="360" w:lineRule="auto"/>
        <w:jc w:val="both"/>
        <w:rPr>
          <w:lang w:val="ru-RU"/>
        </w:rPr>
      </w:pPr>
      <w:r>
        <w:rPr>
          <w:lang w:val="ru-RU"/>
        </w:rPr>
        <w:tab/>
      </w:r>
      <w:r w:rsidR="0001642B" w:rsidRPr="0001642B">
        <w:rPr>
          <w:highlight w:val="red"/>
        </w:rPr>
        <w:t>To</w:t>
      </w:r>
      <w:r w:rsidR="0001642B" w:rsidRPr="0001642B">
        <w:rPr>
          <w:lang w:val="ru-RU"/>
        </w:rPr>
        <w:t xml:space="preserve"> </w:t>
      </w:r>
      <w:r w:rsidR="0001642B">
        <w:t>sum</w:t>
      </w:r>
      <w:r w:rsidR="0001642B" w:rsidRPr="0001642B">
        <w:rPr>
          <w:lang w:val="ru-RU"/>
        </w:rPr>
        <w:t xml:space="preserve"> </w:t>
      </w:r>
      <w:r w:rsidR="0001642B">
        <w:t>up</w:t>
      </w:r>
      <w:r w:rsidR="0001642B" w:rsidRPr="0001642B">
        <w:rPr>
          <w:lang w:val="ru-RU"/>
        </w:rPr>
        <w:t>, Под руководством президента Касым-Жомарта Токаева многовекторная внешняя политика сохраняет свою актуальность и адаптируется к новым реалиям. В условиях обострения глобальных противоречий Казахстан продолжает стремиться к укреплению связей с Европейским союзом, Китаем и другими ключевыми партнерами, одновременно поддерживая стратегические отношения с Россией. Такой сбалансированный подход позволяет стране эффективно реагировать на внешние вызовы и способствует дальнейшему укреплению ее суверенитета и международного авторитета.</w:t>
      </w:r>
      <w:r w:rsidR="004247E0">
        <w:rPr>
          <w:lang w:val="ru-RU"/>
        </w:rPr>
        <w:t xml:space="preserve"> </w:t>
      </w:r>
    </w:p>
    <w:p w14:paraId="158285BF" w14:textId="18556C73" w:rsidR="00C27ED9" w:rsidRPr="0093125A" w:rsidRDefault="00C27ED9" w:rsidP="00D71C63">
      <w:pPr>
        <w:spacing w:line="360" w:lineRule="auto"/>
        <w:ind w:firstLine="708"/>
        <w:jc w:val="both"/>
        <w:rPr>
          <w:lang w:val="ru-RU"/>
        </w:rPr>
      </w:pPr>
    </w:p>
    <w:p w14:paraId="3C496A6F" w14:textId="77777777" w:rsidR="00503AA7" w:rsidRPr="0093125A" w:rsidRDefault="00503AA7" w:rsidP="00D54989">
      <w:pPr>
        <w:spacing w:line="360" w:lineRule="auto"/>
        <w:jc w:val="both"/>
        <w:rPr>
          <w:lang w:val="ru-RU"/>
        </w:rPr>
      </w:pPr>
    </w:p>
    <w:p w14:paraId="67AD9167" w14:textId="66DC7637" w:rsidR="00396B72" w:rsidRPr="001E248B" w:rsidRDefault="00396B72" w:rsidP="009C6187">
      <w:pPr>
        <w:spacing w:line="360" w:lineRule="auto"/>
        <w:ind w:firstLine="360"/>
        <w:jc w:val="both"/>
        <w:rPr>
          <w:b/>
          <w:sz w:val="28"/>
          <w:szCs w:val="28"/>
        </w:rPr>
      </w:pPr>
      <w:r w:rsidRPr="009C6187">
        <w:rPr>
          <w:b/>
          <w:sz w:val="28"/>
          <w:szCs w:val="28"/>
        </w:rPr>
        <w:lastRenderedPageBreak/>
        <w:t xml:space="preserve">2.2 The establishment of relationships between Kazakhstan and European Union </w:t>
      </w:r>
    </w:p>
    <w:p w14:paraId="1867CE91" w14:textId="7592CE66" w:rsidR="00647FD7" w:rsidRDefault="00331705" w:rsidP="00647FD7">
      <w:pPr>
        <w:spacing w:line="360" w:lineRule="auto"/>
        <w:ind w:firstLine="708"/>
        <w:jc w:val="both"/>
      </w:pPr>
      <w:r w:rsidRPr="003672D9">
        <w:rPr>
          <w:highlight w:val="cyan"/>
        </w:rPr>
        <w:t>As al</w:t>
      </w:r>
      <w:r w:rsidRPr="00331705">
        <w:rPr>
          <w:bCs/>
        </w:rPr>
        <w:t>ready mentioned above, after the breakup of the USSR in December 1991, Kazakhstan became an independent state. After the formation of its foreign policy, the European Union took a special direction. Since the first years of independence, the government of the republic has realized the importance of a strategic partnership with the EU. As Kazakh Deputy Foreign Minister Roman Vassilenko emphasized, "Cooperation with the EU is one of the key priorities in Kazakhstan’s balanced and pragmatic multi-vector foreign policy</w:t>
      </w:r>
      <w:r w:rsidR="00DA6F55" w:rsidRPr="00FF42BF">
        <w:rPr>
          <w:rStyle w:val="ae"/>
          <w:shd w:val="clear" w:color="auto" w:fill="FFFFFF"/>
        </w:rPr>
        <w:footnoteReference w:id="37"/>
      </w:r>
      <w:r w:rsidRPr="00331705">
        <w:rPr>
          <w:bCs/>
        </w:rPr>
        <w:t>."</w:t>
      </w:r>
      <w:r w:rsidR="00DA6F55" w:rsidRPr="00DA6F55">
        <w:rPr>
          <w:rStyle w:val="ae"/>
          <w:shd w:val="clear" w:color="auto" w:fill="FFFFFF"/>
        </w:rPr>
        <w:t xml:space="preserve"> </w:t>
      </w:r>
    </w:p>
    <w:p w14:paraId="7623CE71" w14:textId="48D1380B" w:rsidR="00D162AE" w:rsidRDefault="009117D8" w:rsidP="004E3DDF">
      <w:pPr>
        <w:spacing w:line="360" w:lineRule="auto"/>
        <w:ind w:firstLine="708"/>
        <w:jc w:val="both"/>
        <w:rPr>
          <w:lang w:val="ru-RU"/>
        </w:rPr>
      </w:pPr>
      <w:r>
        <w:rPr>
          <w:lang w:val="ru-RU"/>
        </w:rPr>
        <w:t>На</w:t>
      </w:r>
      <w:r w:rsidRPr="00647FD7">
        <w:rPr>
          <w:lang w:val="ru-RU"/>
        </w:rPr>
        <w:t xml:space="preserve"> </w:t>
      </w:r>
      <w:r>
        <w:rPr>
          <w:lang w:val="ru-RU"/>
        </w:rPr>
        <w:t>начальном</w:t>
      </w:r>
      <w:r w:rsidRPr="00647FD7">
        <w:rPr>
          <w:lang w:val="ru-RU"/>
        </w:rPr>
        <w:t xml:space="preserve"> </w:t>
      </w:r>
      <w:r>
        <w:rPr>
          <w:lang w:val="ru-RU"/>
        </w:rPr>
        <w:t>этапе</w:t>
      </w:r>
      <w:r w:rsidRPr="00647FD7">
        <w:rPr>
          <w:lang w:val="ru-RU"/>
        </w:rPr>
        <w:t xml:space="preserve"> </w:t>
      </w:r>
      <w:r>
        <w:rPr>
          <w:lang w:val="ru-RU"/>
        </w:rPr>
        <w:t>обе</w:t>
      </w:r>
      <w:r w:rsidRPr="00647FD7">
        <w:rPr>
          <w:lang w:val="ru-RU"/>
        </w:rPr>
        <w:t xml:space="preserve"> </w:t>
      </w:r>
      <w:r>
        <w:rPr>
          <w:lang w:val="ru-RU"/>
        </w:rPr>
        <w:t>стороны</w:t>
      </w:r>
      <w:r w:rsidRPr="00647FD7">
        <w:rPr>
          <w:lang w:val="ru-RU"/>
        </w:rPr>
        <w:t xml:space="preserve"> </w:t>
      </w:r>
      <w:r>
        <w:rPr>
          <w:lang w:val="ru-RU"/>
        </w:rPr>
        <w:t>были</w:t>
      </w:r>
      <w:r w:rsidRPr="00647FD7">
        <w:rPr>
          <w:lang w:val="ru-RU"/>
        </w:rPr>
        <w:t xml:space="preserve"> </w:t>
      </w:r>
      <w:r>
        <w:rPr>
          <w:lang w:val="ru-RU"/>
        </w:rPr>
        <w:t>заинтересованы</w:t>
      </w:r>
      <w:r w:rsidRPr="00647FD7">
        <w:rPr>
          <w:lang w:val="ru-RU"/>
        </w:rPr>
        <w:t xml:space="preserve"> </w:t>
      </w:r>
      <w:r>
        <w:rPr>
          <w:lang w:val="ru-RU"/>
        </w:rPr>
        <w:t>в</w:t>
      </w:r>
      <w:r w:rsidRPr="00647FD7">
        <w:rPr>
          <w:lang w:val="ru-RU"/>
        </w:rPr>
        <w:t xml:space="preserve"> </w:t>
      </w:r>
      <w:r>
        <w:rPr>
          <w:lang w:val="ru-RU"/>
        </w:rPr>
        <w:t>установлении</w:t>
      </w:r>
      <w:r w:rsidRPr="00647FD7">
        <w:rPr>
          <w:lang w:val="ru-RU"/>
        </w:rPr>
        <w:t xml:space="preserve"> </w:t>
      </w:r>
      <w:r>
        <w:rPr>
          <w:lang w:val="ru-RU"/>
        </w:rPr>
        <w:t>отношений</w:t>
      </w:r>
      <w:r w:rsidRPr="00647FD7">
        <w:rPr>
          <w:lang w:val="ru-RU"/>
        </w:rPr>
        <w:t>.</w:t>
      </w:r>
      <w:r w:rsidR="00251464" w:rsidRPr="00251464">
        <w:rPr>
          <w:lang w:val="ru-RU"/>
        </w:rPr>
        <w:t xml:space="preserve"> </w:t>
      </w:r>
      <w:r w:rsidR="00D143FB">
        <w:rPr>
          <w:lang w:val="ru-RU"/>
        </w:rPr>
        <w:t>Официальное устан</w:t>
      </w:r>
      <w:r w:rsidR="005F22A1">
        <w:rPr>
          <w:lang w:val="ru-RU"/>
        </w:rPr>
        <w:t xml:space="preserve">ановление отношений состоялось </w:t>
      </w:r>
      <w:r w:rsidR="00AF784F">
        <w:rPr>
          <w:lang w:val="ru-RU"/>
        </w:rPr>
        <w:t>1992 года с подписанием Протокола об установлении дипломатических отношений между Республикой и Европейским Союзом.</w:t>
      </w:r>
      <w:r w:rsidR="006065A8">
        <w:rPr>
          <w:lang w:val="ru-RU"/>
        </w:rPr>
        <w:t xml:space="preserve"> </w:t>
      </w:r>
      <w:r w:rsidR="000C44C6">
        <w:rPr>
          <w:lang w:val="ru-RU"/>
        </w:rPr>
        <w:t>На сегодняшний день Европейский Союз является одним из трех основных и наиболее развитых центров современного мира</w:t>
      </w:r>
      <w:r w:rsidR="000C44C6" w:rsidRPr="003321DE">
        <w:rPr>
          <w:lang w:val="ru-RU"/>
        </w:rPr>
        <w:t>,</w:t>
      </w:r>
      <w:r w:rsidR="000C44C6">
        <w:rPr>
          <w:lang w:val="ru-RU"/>
        </w:rPr>
        <w:t xml:space="preserve"> наряду с Соединенными Штатами Америки и Японией. ЕС – крупнейшая мировая торговая держава на который приходится четверть мировой торговли. Касаемо торговли, в 2023 году совокупный экспорт товаров составил 2,</w:t>
      </w:r>
      <w:r w:rsidR="000C44C6" w:rsidRPr="00D820F8">
        <w:rPr>
          <w:lang w:val="ru-RU"/>
        </w:rPr>
        <w:t xml:space="preserve">76 </w:t>
      </w:r>
      <w:r w:rsidR="000C44C6">
        <w:rPr>
          <w:lang w:val="ru-RU"/>
        </w:rPr>
        <w:t>триллионов долларов США</w:t>
      </w:r>
      <w:r w:rsidR="000C44C6" w:rsidRPr="00D820F8">
        <w:rPr>
          <w:lang w:val="ru-RU"/>
        </w:rPr>
        <w:t>,</w:t>
      </w:r>
      <w:r w:rsidR="000C44C6">
        <w:rPr>
          <w:lang w:val="ru-RU"/>
        </w:rPr>
        <w:t xml:space="preserve"> что на 10</w:t>
      </w:r>
      <w:r w:rsidR="000C44C6" w:rsidRPr="00D820F8">
        <w:rPr>
          <w:lang w:val="ru-RU"/>
        </w:rPr>
        <w:t xml:space="preserve">,2 </w:t>
      </w:r>
      <w:r w:rsidR="000C44C6">
        <w:rPr>
          <w:lang w:val="ru-RU"/>
        </w:rPr>
        <w:t xml:space="preserve">% больше с предыдущим годом. Согласно данным </w:t>
      </w:r>
      <w:r w:rsidR="000C44C6">
        <w:t>Eurostat</w:t>
      </w:r>
      <w:r w:rsidR="000C44C6" w:rsidRPr="000B6827">
        <w:rPr>
          <w:lang w:val="ru-RU"/>
        </w:rPr>
        <w:t xml:space="preserve">, </w:t>
      </w:r>
      <w:r w:rsidR="000C44C6">
        <w:rPr>
          <w:lang w:val="ru-RU"/>
        </w:rPr>
        <w:t>доля Европейского Союза в мировой торговле составляет около 14</w:t>
      </w:r>
      <w:r w:rsidR="000C44C6" w:rsidRPr="000B6827">
        <w:rPr>
          <w:lang w:val="ru-RU"/>
        </w:rPr>
        <w:t>%</w:t>
      </w:r>
      <w:r w:rsidR="000C44C6" w:rsidRPr="00FF42BF">
        <w:rPr>
          <w:rStyle w:val="ae"/>
          <w:shd w:val="clear" w:color="auto" w:fill="FFFFFF"/>
        </w:rPr>
        <w:footnoteReference w:id="38"/>
      </w:r>
      <w:r w:rsidR="000C44C6" w:rsidRPr="007E753E">
        <w:rPr>
          <w:bCs/>
          <w:lang w:val="ru-RU"/>
        </w:rPr>
        <w:t>.</w:t>
      </w:r>
      <w:r w:rsidR="004E3DDF" w:rsidRPr="004E3DDF">
        <w:rPr>
          <w:bCs/>
          <w:lang w:val="ru-RU"/>
        </w:rPr>
        <w:t xml:space="preserve"> </w:t>
      </w:r>
      <w:r w:rsidR="008A6722">
        <w:rPr>
          <w:bCs/>
          <w:lang w:val="ru-RU"/>
        </w:rPr>
        <w:t xml:space="preserve">Важно отметить тот факт, что ЕС значительно </w:t>
      </w:r>
      <w:r w:rsidR="00745FA3">
        <w:rPr>
          <w:bCs/>
          <w:lang w:val="ru-RU"/>
        </w:rPr>
        <w:t>расширяется</w:t>
      </w:r>
      <w:r w:rsidR="008A6722">
        <w:rPr>
          <w:bCs/>
          <w:lang w:val="ru-RU"/>
        </w:rPr>
        <w:t xml:space="preserve"> на восток</w:t>
      </w:r>
      <w:r w:rsidR="005A28B7">
        <w:rPr>
          <w:bCs/>
          <w:lang w:val="ru-RU"/>
        </w:rPr>
        <w:t>. Для Казахстана приближение Европейского Союза к границам стран СНГ</w:t>
      </w:r>
      <w:r w:rsidR="00745FA3">
        <w:rPr>
          <w:bCs/>
          <w:lang w:val="ru-RU"/>
        </w:rPr>
        <w:t xml:space="preserve"> – явление позитивное. </w:t>
      </w:r>
      <w:r w:rsidR="00CF02AE">
        <w:rPr>
          <w:lang w:val="ru-RU"/>
        </w:rPr>
        <w:t>Европа – это высокий уровень жизни</w:t>
      </w:r>
      <w:r w:rsidR="00CF02AE" w:rsidRPr="00CF02AE">
        <w:rPr>
          <w:lang w:val="ru-RU"/>
        </w:rPr>
        <w:t xml:space="preserve">, </w:t>
      </w:r>
      <w:r w:rsidR="00CF02AE">
        <w:rPr>
          <w:lang w:val="ru-RU"/>
        </w:rPr>
        <w:t xml:space="preserve">образования и зравоохранения. Казахстан в свою же очередь </w:t>
      </w:r>
      <w:r w:rsidR="00B83926">
        <w:rPr>
          <w:lang w:val="ru-RU"/>
        </w:rPr>
        <w:t>привлекательный</w:t>
      </w:r>
      <w:r w:rsidR="00CF02AE">
        <w:rPr>
          <w:lang w:val="ru-RU"/>
        </w:rPr>
        <w:t xml:space="preserve"> для Европ</w:t>
      </w:r>
      <w:r w:rsidR="00FA76E1">
        <w:rPr>
          <w:lang w:val="ru-RU"/>
        </w:rPr>
        <w:t xml:space="preserve">ы и Европейского Союза своим геополитическим </w:t>
      </w:r>
      <w:r w:rsidR="00CA4AAA">
        <w:rPr>
          <w:lang w:val="ru-RU"/>
        </w:rPr>
        <w:t>положением как транспортный коридор</w:t>
      </w:r>
      <w:r w:rsidR="00CA4AAA" w:rsidRPr="00CA4AAA">
        <w:rPr>
          <w:lang w:val="ru-RU"/>
        </w:rPr>
        <w:t xml:space="preserve">, </w:t>
      </w:r>
      <w:r w:rsidR="00CA4AAA">
        <w:rPr>
          <w:lang w:val="ru-RU"/>
        </w:rPr>
        <w:t>соединяющий Европу с Азией</w:t>
      </w:r>
      <w:r w:rsidR="00CA4AAA" w:rsidRPr="00CA4AAA">
        <w:rPr>
          <w:lang w:val="ru-RU"/>
        </w:rPr>
        <w:t xml:space="preserve">, </w:t>
      </w:r>
      <w:r w:rsidR="00CA4AAA">
        <w:rPr>
          <w:lang w:val="ru-RU"/>
        </w:rPr>
        <w:t>полезными ископаемыми</w:t>
      </w:r>
      <w:r w:rsidR="00DF23B7" w:rsidRPr="00DF23B7">
        <w:rPr>
          <w:lang w:val="ru-RU"/>
        </w:rPr>
        <w:t xml:space="preserve">, </w:t>
      </w:r>
      <w:r w:rsidR="00DF23B7">
        <w:rPr>
          <w:lang w:val="ru-RU"/>
        </w:rPr>
        <w:t>углеводородным сырьем</w:t>
      </w:r>
      <w:r w:rsidR="00067D03">
        <w:rPr>
          <w:lang w:val="ru-RU"/>
        </w:rPr>
        <w:t xml:space="preserve"> а так же горнодобывающей отраслью. Все это свидетельствует о том</w:t>
      </w:r>
      <w:r w:rsidR="00067D03" w:rsidRPr="00067D03">
        <w:rPr>
          <w:lang w:val="ru-RU"/>
        </w:rPr>
        <w:t xml:space="preserve">, </w:t>
      </w:r>
      <w:r w:rsidR="00067D03">
        <w:rPr>
          <w:lang w:val="ru-RU"/>
        </w:rPr>
        <w:t>что Республика заинтересована иметь широкие с</w:t>
      </w:r>
      <w:r w:rsidR="0030424E">
        <w:rPr>
          <w:lang w:val="ru-RU"/>
        </w:rPr>
        <w:t>вязи с Европой</w:t>
      </w:r>
      <w:r w:rsidR="0030424E" w:rsidRPr="0030424E">
        <w:rPr>
          <w:lang w:val="ru-RU"/>
        </w:rPr>
        <w:t xml:space="preserve">, </w:t>
      </w:r>
      <w:r w:rsidR="0030424E">
        <w:rPr>
          <w:lang w:val="ru-RU"/>
        </w:rPr>
        <w:t>в частности</w:t>
      </w:r>
      <w:r w:rsidR="0030424E" w:rsidRPr="0030424E">
        <w:rPr>
          <w:lang w:val="ru-RU"/>
        </w:rPr>
        <w:t xml:space="preserve">, </w:t>
      </w:r>
      <w:r w:rsidR="0030424E">
        <w:rPr>
          <w:lang w:val="ru-RU"/>
        </w:rPr>
        <w:t>с Европейским Союзом.</w:t>
      </w:r>
      <w:r w:rsidR="009C1524">
        <w:rPr>
          <w:lang w:val="ru-RU"/>
        </w:rPr>
        <w:t xml:space="preserve"> Важным итогом стало подписание 2</w:t>
      </w:r>
      <w:r w:rsidR="00E82895">
        <w:rPr>
          <w:lang w:val="ru-RU"/>
        </w:rPr>
        <w:t>3</w:t>
      </w:r>
      <w:r w:rsidR="009C1524">
        <w:rPr>
          <w:lang w:val="ru-RU"/>
        </w:rPr>
        <w:t xml:space="preserve"> января 1995 года в Брюсселе </w:t>
      </w:r>
      <w:r w:rsidR="009C1524">
        <w:rPr>
          <w:lang w:val="ru-RU"/>
        </w:rPr>
        <w:lastRenderedPageBreak/>
        <w:t>Президентом Н. Назарбаевым и председателем совета ЕС Л.Жюппе Соглашение о партнерстве</w:t>
      </w:r>
      <w:r w:rsidR="00D162AE" w:rsidRPr="00D162AE">
        <w:rPr>
          <w:lang w:val="ru-RU"/>
        </w:rPr>
        <w:t xml:space="preserve"> (</w:t>
      </w:r>
      <w:r w:rsidR="00D162AE">
        <w:t>PCA</w:t>
      </w:r>
      <w:r w:rsidR="00D162AE" w:rsidRPr="00D162AE">
        <w:rPr>
          <w:lang w:val="ru-RU"/>
        </w:rPr>
        <w:t>)</w:t>
      </w:r>
      <w:r w:rsidR="009C1524">
        <w:rPr>
          <w:lang w:val="ru-RU"/>
        </w:rPr>
        <w:t xml:space="preserve"> между Республикой Казахстан</w:t>
      </w:r>
      <w:r w:rsidR="009C1524" w:rsidRPr="009C1524">
        <w:rPr>
          <w:lang w:val="ru-RU"/>
        </w:rPr>
        <w:t xml:space="preserve">, </w:t>
      </w:r>
      <w:r w:rsidR="009C1524">
        <w:rPr>
          <w:lang w:val="ru-RU"/>
        </w:rPr>
        <w:t>с одной стороны</w:t>
      </w:r>
      <w:r w:rsidR="009C1524" w:rsidRPr="009C1524">
        <w:rPr>
          <w:lang w:val="ru-RU"/>
        </w:rPr>
        <w:t xml:space="preserve">, </w:t>
      </w:r>
      <w:r w:rsidR="009C1524">
        <w:rPr>
          <w:lang w:val="ru-RU"/>
        </w:rPr>
        <w:t>и европейскими сообществами и их государствами</w:t>
      </w:r>
      <w:r w:rsidR="009C1524" w:rsidRPr="009C1524">
        <w:rPr>
          <w:lang w:val="ru-RU"/>
        </w:rPr>
        <w:t>-</w:t>
      </w:r>
      <w:r w:rsidR="009C1524">
        <w:rPr>
          <w:lang w:val="ru-RU"/>
        </w:rPr>
        <w:t>членами</w:t>
      </w:r>
      <w:r w:rsidR="00FD1FBA">
        <w:rPr>
          <w:lang w:val="ru-RU"/>
        </w:rPr>
        <w:t xml:space="preserve">. </w:t>
      </w:r>
      <w:r w:rsidR="006A1D50">
        <w:rPr>
          <w:lang w:val="ru-RU"/>
        </w:rPr>
        <w:t>Этот важнейший документ за</w:t>
      </w:r>
      <w:r w:rsidR="000D6450">
        <w:rPr>
          <w:lang w:val="ru-RU"/>
        </w:rPr>
        <w:t xml:space="preserve">крепляет правовые основы многостороннего </w:t>
      </w:r>
      <w:r w:rsidR="0078402A">
        <w:rPr>
          <w:lang w:val="ru-RU"/>
        </w:rPr>
        <w:t>политического сотрудничества с крупнейши</w:t>
      </w:r>
      <w:r w:rsidR="0047679E">
        <w:rPr>
          <w:lang w:val="ru-RU"/>
        </w:rPr>
        <w:t>м в мире экономическим обьединением.</w:t>
      </w:r>
      <w:r w:rsidR="00E95A1B">
        <w:rPr>
          <w:lang w:val="ru-RU"/>
        </w:rPr>
        <w:t xml:space="preserve"> </w:t>
      </w:r>
      <w:r w:rsidR="00CF711F">
        <w:rPr>
          <w:lang w:val="ru-RU"/>
        </w:rPr>
        <w:t>Для Казахстана его подписание являлось одним из крупных достижений проводимой политики поиска надежных партнеров.</w:t>
      </w:r>
      <w:r w:rsidR="00CE3EF4" w:rsidRPr="00CE3EF4">
        <w:rPr>
          <w:lang w:val="ru-RU"/>
        </w:rPr>
        <w:t xml:space="preserve"> </w:t>
      </w:r>
      <w:r w:rsidR="00E13CD2">
        <w:rPr>
          <w:lang w:val="ru-RU"/>
        </w:rPr>
        <w:t>Казахстан нашел поддержку со стороны ЕС в таких областях как здравохранение,</w:t>
      </w:r>
      <w:r w:rsidR="00E13CD2" w:rsidRPr="00E13CD2">
        <w:rPr>
          <w:lang w:val="ru-RU"/>
        </w:rPr>
        <w:t xml:space="preserve"> </w:t>
      </w:r>
      <w:r w:rsidR="00E13CD2">
        <w:rPr>
          <w:lang w:val="ru-RU"/>
        </w:rPr>
        <w:t>научные исследования,</w:t>
      </w:r>
      <w:r w:rsidR="00E13CD2" w:rsidRPr="00E13CD2">
        <w:rPr>
          <w:lang w:val="ru-RU"/>
        </w:rPr>
        <w:t xml:space="preserve"> </w:t>
      </w:r>
      <w:r w:rsidR="00E13CD2">
        <w:rPr>
          <w:lang w:val="ru-RU"/>
        </w:rPr>
        <w:t>проведение реформ</w:t>
      </w:r>
      <w:r w:rsidR="00E13CD2" w:rsidRPr="00E13CD2">
        <w:rPr>
          <w:lang w:val="ru-RU"/>
        </w:rPr>
        <w:t xml:space="preserve">, </w:t>
      </w:r>
      <w:r w:rsidR="00E13CD2">
        <w:rPr>
          <w:lang w:val="ru-RU"/>
        </w:rPr>
        <w:t xml:space="preserve">становление рыночных структур и либерализация экономики. </w:t>
      </w:r>
    </w:p>
    <w:p w14:paraId="31A577FE" w14:textId="5FE9470D" w:rsidR="0047679E" w:rsidRPr="00A27EFE" w:rsidRDefault="00153AEB" w:rsidP="00D162AE">
      <w:pPr>
        <w:spacing w:line="360" w:lineRule="auto"/>
        <w:ind w:firstLine="708"/>
        <w:jc w:val="both"/>
        <w:rPr>
          <w:lang w:val="ru-RU"/>
        </w:rPr>
      </w:pPr>
      <w:r>
        <w:rPr>
          <w:lang w:val="ru-RU"/>
        </w:rPr>
        <w:t>Стоит отметить тот факт,</w:t>
      </w:r>
      <w:r w:rsidRPr="00153AEB">
        <w:rPr>
          <w:lang w:val="ru-RU"/>
        </w:rPr>
        <w:t xml:space="preserve"> </w:t>
      </w:r>
      <w:r>
        <w:rPr>
          <w:lang w:val="ru-RU"/>
        </w:rPr>
        <w:t>что</w:t>
      </w:r>
      <w:r w:rsidR="005A53D6">
        <w:rPr>
          <w:lang w:val="ru-RU"/>
        </w:rPr>
        <w:t xml:space="preserve"> в 1995 году в </w:t>
      </w:r>
      <w:r w:rsidR="007472BE">
        <w:rPr>
          <w:lang w:val="ru-RU"/>
        </w:rPr>
        <w:t>Республике</w:t>
      </w:r>
      <w:r w:rsidR="005A53D6">
        <w:rPr>
          <w:lang w:val="ru-RU"/>
        </w:rPr>
        <w:t xml:space="preserve"> </w:t>
      </w:r>
      <w:r w:rsidR="007472BE">
        <w:rPr>
          <w:lang w:val="ru-RU"/>
        </w:rPr>
        <w:t>парламент был распушен и планировалось перенести выборы</w:t>
      </w:r>
      <w:r w:rsidR="007472BE" w:rsidRPr="007472BE">
        <w:rPr>
          <w:lang w:val="ru-RU"/>
        </w:rPr>
        <w:t>,</w:t>
      </w:r>
      <w:r w:rsidR="007472BE">
        <w:rPr>
          <w:lang w:val="ru-RU"/>
        </w:rPr>
        <w:t xml:space="preserve"> однако</w:t>
      </w:r>
      <w:r>
        <w:rPr>
          <w:lang w:val="ru-RU"/>
        </w:rPr>
        <w:t xml:space="preserve"> Европарламент перед финальным подписанием соглашени</w:t>
      </w:r>
      <w:r w:rsidR="003431E0">
        <w:rPr>
          <w:lang w:val="ru-RU"/>
        </w:rPr>
        <w:t>я</w:t>
      </w:r>
      <w:r>
        <w:rPr>
          <w:lang w:val="ru-RU"/>
        </w:rPr>
        <w:t xml:space="preserve">, резко </w:t>
      </w:r>
      <w:r w:rsidR="005A53D6">
        <w:rPr>
          <w:lang w:val="ru-RU"/>
        </w:rPr>
        <w:t xml:space="preserve">выразился о </w:t>
      </w:r>
      <w:r w:rsidR="00514A19">
        <w:rPr>
          <w:lang w:val="ru-RU"/>
        </w:rPr>
        <w:t>том,</w:t>
      </w:r>
      <w:r w:rsidR="005A53D6">
        <w:rPr>
          <w:lang w:val="ru-RU"/>
        </w:rPr>
        <w:t xml:space="preserve"> что отказывается рассматривать вопрос о подписании соглашения до </w:t>
      </w:r>
      <w:r w:rsidR="007472BE">
        <w:rPr>
          <w:lang w:val="ru-RU"/>
        </w:rPr>
        <w:t xml:space="preserve">восстановления парламентской демократии в Казахстане. </w:t>
      </w:r>
      <w:r w:rsidR="007D6D73">
        <w:rPr>
          <w:lang w:val="ru-RU"/>
        </w:rPr>
        <w:t>Таким образом</w:t>
      </w:r>
      <w:r w:rsidR="007D6D73" w:rsidRPr="007D6D73">
        <w:rPr>
          <w:lang w:val="ru-RU"/>
        </w:rPr>
        <w:t>,</w:t>
      </w:r>
      <w:r w:rsidR="007D6D73">
        <w:rPr>
          <w:lang w:val="ru-RU"/>
        </w:rPr>
        <w:t xml:space="preserve"> только после выборов в парламенте,</w:t>
      </w:r>
      <w:r w:rsidR="007D6D73" w:rsidRPr="007D6D73">
        <w:rPr>
          <w:lang w:val="ru-RU"/>
        </w:rPr>
        <w:t xml:space="preserve"> </w:t>
      </w:r>
      <w:r w:rsidR="007D6D73">
        <w:rPr>
          <w:lang w:val="ru-RU"/>
        </w:rPr>
        <w:t xml:space="preserve">в декабря 1995 года </w:t>
      </w:r>
      <w:r w:rsidR="00843266">
        <w:rPr>
          <w:lang w:val="ru-RU"/>
        </w:rPr>
        <w:t xml:space="preserve">соглашение было </w:t>
      </w:r>
      <w:r w:rsidR="00514A19">
        <w:rPr>
          <w:lang w:val="ru-RU"/>
        </w:rPr>
        <w:t>возобновлено</w:t>
      </w:r>
      <w:r w:rsidR="00291629">
        <w:rPr>
          <w:lang w:val="ru-RU"/>
        </w:rPr>
        <w:t xml:space="preserve"> к рассмотрению</w:t>
      </w:r>
      <w:r w:rsidR="00514A19">
        <w:rPr>
          <w:lang w:val="ru-RU"/>
        </w:rPr>
        <w:t>,</w:t>
      </w:r>
      <w:r w:rsidR="00C76C72">
        <w:rPr>
          <w:lang w:val="ru-RU"/>
        </w:rPr>
        <w:t xml:space="preserve"> но вступление в действие было задержано. </w:t>
      </w:r>
      <w:r w:rsidR="00306396">
        <w:rPr>
          <w:lang w:val="ru-RU"/>
        </w:rPr>
        <w:t>В связи необходимост</w:t>
      </w:r>
      <w:r w:rsidR="00D95A45">
        <w:rPr>
          <w:lang w:val="ru-RU"/>
        </w:rPr>
        <w:t xml:space="preserve">ью скорейшего формирования правовой базы для сотрудничества двухсторонних отношений между Казахстаном и ЕС 5 декабря </w:t>
      </w:r>
      <w:r w:rsidR="006A2AD9">
        <w:rPr>
          <w:lang w:val="ru-RU"/>
        </w:rPr>
        <w:t>1995 года в Брюсселе</w:t>
      </w:r>
      <w:r w:rsidR="005F1625">
        <w:rPr>
          <w:lang w:val="ru-RU"/>
        </w:rPr>
        <w:t xml:space="preserve"> было подписано временное соглашение о торговле. Основная цель соглашения </w:t>
      </w:r>
      <w:r w:rsidR="00554A88">
        <w:rPr>
          <w:lang w:val="ru-RU"/>
        </w:rPr>
        <w:t>–</w:t>
      </w:r>
      <w:r w:rsidR="005F1625">
        <w:rPr>
          <w:lang w:val="ru-RU"/>
        </w:rPr>
        <w:t xml:space="preserve"> </w:t>
      </w:r>
      <w:r w:rsidR="00554A88">
        <w:rPr>
          <w:lang w:val="ru-RU"/>
        </w:rPr>
        <w:t xml:space="preserve">введение в действие положений </w:t>
      </w:r>
      <w:r w:rsidR="00554A88">
        <w:t>PCA</w:t>
      </w:r>
      <w:r w:rsidR="00342957" w:rsidRPr="00342957">
        <w:rPr>
          <w:lang w:val="ru-RU"/>
        </w:rPr>
        <w:t>,</w:t>
      </w:r>
      <w:r w:rsidR="00342957">
        <w:rPr>
          <w:lang w:val="ru-RU"/>
        </w:rPr>
        <w:t xml:space="preserve"> касающихся торговли</w:t>
      </w:r>
      <w:r w:rsidR="00FB1798">
        <w:rPr>
          <w:lang w:val="ru-RU"/>
        </w:rPr>
        <w:t xml:space="preserve"> до официального вступления </w:t>
      </w:r>
      <w:r w:rsidR="00FB1798">
        <w:t>PCA</w:t>
      </w:r>
      <w:r w:rsidR="00FB1798" w:rsidRPr="00FB1798">
        <w:rPr>
          <w:lang w:val="ru-RU"/>
        </w:rPr>
        <w:t xml:space="preserve"> </w:t>
      </w:r>
      <w:r w:rsidR="00FB1798">
        <w:rPr>
          <w:lang w:val="ru-RU"/>
        </w:rPr>
        <w:t xml:space="preserve">в силу. </w:t>
      </w:r>
      <w:r w:rsidR="008B571E">
        <w:rPr>
          <w:lang w:val="ru-RU"/>
        </w:rPr>
        <w:t xml:space="preserve">В конечном итоге </w:t>
      </w:r>
      <w:r w:rsidR="008B571E">
        <w:t>PCA</w:t>
      </w:r>
      <w:r w:rsidR="008B571E" w:rsidRPr="008B571E">
        <w:rPr>
          <w:lang w:val="ru-RU"/>
        </w:rPr>
        <w:t xml:space="preserve"> </w:t>
      </w:r>
      <w:r w:rsidR="008B571E">
        <w:rPr>
          <w:lang w:val="ru-RU"/>
        </w:rPr>
        <w:t>только было завершено в 1999 году и введено в силу с 1 июля 1999 года. Сразу после вступления в силу данного соглашения</w:t>
      </w:r>
      <w:r w:rsidR="008B571E" w:rsidRPr="008B571E">
        <w:rPr>
          <w:lang w:val="ru-RU"/>
        </w:rPr>
        <w:t xml:space="preserve">, </w:t>
      </w:r>
      <w:r w:rsidR="008B571E">
        <w:rPr>
          <w:lang w:val="ru-RU"/>
        </w:rPr>
        <w:t xml:space="preserve">все предыдущие контракты были отменены. </w:t>
      </w:r>
      <w:r w:rsidR="00307ADC">
        <w:t>The</w:t>
      </w:r>
      <w:r w:rsidR="00307ADC" w:rsidRPr="00C25B25">
        <w:t xml:space="preserve"> </w:t>
      </w:r>
      <w:r w:rsidR="00307ADC">
        <w:t>Partnership</w:t>
      </w:r>
      <w:r w:rsidR="00307ADC" w:rsidRPr="00C25B25">
        <w:t xml:space="preserve"> </w:t>
      </w:r>
      <w:r w:rsidR="00307ADC">
        <w:t>and</w:t>
      </w:r>
      <w:r w:rsidR="00307ADC" w:rsidRPr="00C25B25">
        <w:t xml:space="preserve"> </w:t>
      </w:r>
      <w:r w:rsidR="00307ADC">
        <w:t>Cooperation</w:t>
      </w:r>
      <w:r w:rsidR="00593F92" w:rsidRPr="00C25B25">
        <w:t xml:space="preserve"> </w:t>
      </w:r>
      <w:r w:rsidR="00593F92">
        <w:t>Agreement</w:t>
      </w:r>
      <w:r w:rsidR="00593F92" w:rsidRPr="00C25B25">
        <w:t xml:space="preserve"> </w:t>
      </w:r>
      <w:r w:rsidR="002238B7">
        <w:rPr>
          <w:lang w:val="ru-RU"/>
        </w:rPr>
        <w:t>заменило</w:t>
      </w:r>
      <w:r w:rsidR="002238B7" w:rsidRPr="00C25B25">
        <w:t xml:space="preserve"> </w:t>
      </w:r>
      <w:r w:rsidR="002238B7">
        <w:rPr>
          <w:lang w:val="ru-RU"/>
        </w:rPr>
        <w:t>устаревшее</w:t>
      </w:r>
      <w:r w:rsidR="002238B7" w:rsidRPr="00C25B25">
        <w:t xml:space="preserve"> </w:t>
      </w:r>
      <w:r w:rsidR="002238B7">
        <w:rPr>
          <w:lang w:val="ru-RU"/>
        </w:rPr>
        <w:t>соглашение</w:t>
      </w:r>
      <w:r w:rsidR="002238B7" w:rsidRPr="00C25B25">
        <w:t xml:space="preserve"> </w:t>
      </w:r>
      <w:r w:rsidR="002238B7">
        <w:rPr>
          <w:lang w:val="ru-RU"/>
        </w:rPr>
        <w:t>которое</w:t>
      </w:r>
      <w:r w:rsidR="002238B7" w:rsidRPr="00C25B25">
        <w:t xml:space="preserve"> </w:t>
      </w:r>
      <w:r w:rsidR="002238B7">
        <w:rPr>
          <w:lang w:val="ru-RU"/>
        </w:rPr>
        <w:t>было</w:t>
      </w:r>
      <w:r w:rsidR="002238B7" w:rsidRPr="00C25B25">
        <w:t xml:space="preserve"> </w:t>
      </w:r>
      <w:r w:rsidR="002238B7">
        <w:rPr>
          <w:lang w:val="ru-RU"/>
        </w:rPr>
        <w:t>подписано</w:t>
      </w:r>
      <w:r w:rsidR="002238B7" w:rsidRPr="00C25B25">
        <w:t xml:space="preserve"> </w:t>
      </w:r>
      <w:r w:rsidR="002238B7">
        <w:rPr>
          <w:lang w:val="ru-RU"/>
        </w:rPr>
        <w:t>между</w:t>
      </w:r>
      <w:r w:rsidR="002238B7" w:rsidRPr="00C25B25">
        <w:t xml:space="preserve"> </w:t>
      </w:r>
      <w:r w:rsidR="002238B7">
        <w:rPr>
          <w:lang w:val="ru-RU"/>
        </w:rPr>
        <w:t>СССР</w:t>
      </w:r>
      <w:r w:rsidR="002238B7" w:rsidRPr="00C25B25">
        <w:t xml:space="preserve"> </w:t>
      </w:r>
      <w:r w:rsidR="002238B7">
        <w:rPr>
          <w:lang w:val="ru-RU"/>
        </w:rPr>
        <w:t>и</w:t>
      </w:r>
      <w:r w:rsidR="002238B7" w:rsidRPr="00C25B25">
        <w:t xml:space="preserve"> </w:t>
      </w:r>
      <w:r w:rsidR="002238B7">
        <w:rPr>
          <w:lang w:val="ru-RU"/>
        </w:rPr>
        <w:t>ЕС</w:t>
      </w:r>
      <w:r w:rsidR="002238B7" w:rsidRPr="00C25B25">
        <w:t xml:space="preserve"> </w:t>
      </w:r>
      <w:r w:rsidR="002238B7">
        <w:rPr>
          <w:lang w:val="ru-RU"/>
        </w:rPr>
        <w:t>в</w:t>
      </w:r>
      <w:r w:rsidR="002238B7" w:rsidRPr="00C25B25">
        <w:t xml:space="preserve"> 1989</w:t>
      </w:r>
      <w:r w:rsidR="00C25B25" w:rsidRPr="00C25B25">
        <w:t xml:space="preserve"> </w:t>
      </w:r>
      <w:r w:rsidR="00C25B25">
        <w:t>the</w:t>
      </w:r>
      <w:r w:rsidR="00C25B25" w:rsidRPr="00C25B25">
        <w:t xml:space="preserve"> </w:t>
      </w:r>
      <w:r w:rsidR="00C25B25">
        <w:t>Trade</w:t>
      </w:r>
      <w:r w:rsidR="00C25B25" w:rsidRPr="00C25B25">
        <w:t xml:space="preserve"> </w:t>
      </w:r>
      <w:r w:rsidR="00C25B25">
        <w:t>and</w:t>
      </w:r>
      <w:r w:rsidR="00C25B25" w:rsidRPr="00C25B25">
        <w:t xml:space="preserve"> </w:t>
      </w:r>
      <w:r w:rsidR="00C25B25">
        <w:t>Cooperation</w:t>
      </w:r>
      <w:r w:rsidR="00C25B25" w:rsidRPr="00C25B25">
        <w:t xml:space="preserve"> </w:t>
      </w:r>
      <w:r w:rsidR="00C25B25">
        <w:t>Agreement</w:t>
      </w:r>
      <w:r w:rsidR="0043520C">
        <w:t xml:space="preserve">. </w:t>
      </w:r>
      <w:r w:rsidR="0043520C">
        <w:rPr>
          <w:lang w:val="ru-RU"/>
        </w:rPr>
        <w:t xml:space="preserve">Основными принципами </w:t>
      </w:r>
      <w:r w:rsidR="0043520C">
        <w:t>PCA</w:t>
      </w:r>
      <w:r w:rsidR="0043520C" w:rsidRPr="000F1722">
        <w:rPr>
          <w:lang w:val="ru-RU"/>
        </w:rPr>
        <w:t xml:space="preserve"> </w:t>
      </w:r>
      <w:r w:rsidR="0043520C">
        <w:rPr>
          <w:lang w:val="ru-RU"/>
        </w:rPr>
        <w:t xml:space="preserve">являлись </w:t>
      </w:r>
      <w:r w:rsidR="000F1722">
        <w:rPr>
          <w:lang w:val="ru-RU"/>
        </w:rPr>
        <w:t>установление демократической ценности</w:t>
      </w:r>
      <w:r w:rsidR="000F1722" w:rsidRPr="000F1722">
        <w:rPr>
          <w:lang w:val="ru-RU"/>
        </w:rPr>
        <w:t>,</w:t>
      </w:r>
      <w:r w:rsidR="000F1722">
        <w:rPr>
          <w:lang w:val="ru-RU"/>
        </w:rPr>
        <w:t xml:space="preserve"> уважение прав человека и </w:t>
      </w:r>
      <w:r w:rsidR="00616149">
        <w:rPr>
          <w:lang w:val="ru-RU"/>
        </w:rPr>
        <w:t xml:space="preserve">принципы </w:t>
      </w:r>
      <w:r w:rsidR="000F1722">
        <w:rPr>
          <w:lang w:val="ru-RU"/>
        </w:rPr>
        <w:t>рыночной экономики</w:t>
      </w:r>
      <w:r w:rsidR="00C25B25" w:rsidRPr="000F1722">
        <w:rPr>
          <w:lang w:val="ru-RU"/>
        </w:rPr>
        <w:t xml:space="preserve"> </w:t>
      </w:r>
      <w:r w:rsidR="00616149">
        <w:rPr>
          <w:lang w:val="ru-RU"/>
        </w:rPr>
        <w:t>как существенные элементы партнерства</w:t>
      </w:r>
      <w:r w:rsidR="00050B71" w:rsidRPr="00FF42BF">
        <w:rPr>
          <w:rStyle w:val="ae"/>
          <w:shd w:val="clear" w:color="auto" w:fill="FFFFFF"/>
        </w:rPr>
        <w:footnoteReference w:id="39"/>
      </w:r>
      <w:r w:rsidR="00050B71" w:rsidRPr="007E753E">
        <w:rPr>
          <w:bCs/>
          <w:lang w:val="ru-RU"/>
        </w:rPr>
        <w:t>.</w:t>
      </w:r>
    </w:p>
    <w:p w14:paraId="5D3E0BC3" w14:textId="6C736A2F" w:rsidR="000A618F" w:rsidRPr="00CE3EF4" w:rsidRDefault="000D4887" w:rsidP="00D71C63">
      <w:pPr>
        <w:spacing w:line="360" w:lineRule="auto"/>
        <w:ind w:firstLine="708"/>
        <w:jc w:val="both"/>
        <w:rPr>
          <w:lang w:val="ru-RU"/>
        </w:rPr>
      </w:pPr>
      <w:r>
        <w:rPr>
          <w:lang w:val="ru-RU"/>
        </w:rPr>
        <w:t>Что касается Соглашения о партнерстве и сотрудничестве (</w:t>
      </w:r>
      <w:r>
        <w:t>PCA</w:t>
      </w:r>
      <w:r>
        <w:rPr>
          <w:lang w:val="ru-RU"/>
        </w:rPr>
        <w:t>)</w:t>
      </w:r>
      <w:r w:rsidR="00B314F1" w:rsidRPr="00B314F1">
        <w:rPr>
          <w:lang w:val="ru-RU"/>
        </w:rPr>
        <w:t xml:space="preserve">, </w:t>
      </w:r>
      <w:r w:rsidR="00B314F1">
        <w:rPr>
          <w:lang w:val="ru-RU"/>
        </w:rPr>
        <w:t xml:space="preserve">документ охватывал 100 статьей и </w:t>
      </w:r>
      <w:r w:rsidR="00CC031D">
        <w:rPr>
          <w:lang w:val="ru-RU"/>
        </w:rPr>
        <w:t>9 разделов,</w:t>
      </w:r>
      <w:r w:rsidR="00B314F1">
        <w:rPr>
          <w:lang w:val="ru-RU"/>
        </w:rPr>
        <w:t xml:space="preserve"> выключающих в себя торговлю товарами и услугами,</w:t>
      </w:r>
      <w:r w:rsidR="00B314F1" w:rsidRPr="00B314F1">
        <w:rPr>
          <w:lang w:val="ru-RU"/>
        </w:rPr>
        <w:t xml:space="preserve"> </w:t>
      </w:r>
      <w:r w:rsidR="00B314F1">
        <w:rPr>
          <w:lang w:val="ru-RU"/>
        </w:rPr>
        <w:t>инвестиции</w:t>
      </w:r>
      <w:r w:rsidR="00B314F1" w:rsidRPr="00B314F1">
        <w:rPr>
          <w:lang w:val="ru-RU"/>
        </w:rPr>
        <w:t>,</w:t>
      </w:r>
      <w:r w:rsidR="00B314F1">
        <w:rPr>
          <w:lang w:val="ru-RU"/>
        </w:rPr>
        <w:t xml:space="preserve"> правовые реформы</w:t>
      </w:r>
      <w:r w:rsidR="009D7A03" w:rsidRPr="009D7A03">
        <w:rPr>
          <w:lang w:val="ru-RU"/>
        </w:rPr>
        <w:t xml:space="preserve">, </w:t>
      </w:r>
      <w:r w:rsidR="009D7A03">
        <w:rPr>
          <w:lang w:val="ru-RU"/>
        </w:rPr>
        <w:t>создание институтов</w:t>
      </w:r>
    </w:p>
    <w:p w14:paraId="1DFE295B" w14:textId="77777777" w:rsidR="00503AA7" w:rsidRPr="00344ACF" w:rsidRDefault="00503AA7" w:rsidP="00D71C63">
      <w:pPr>
        <w:spacing w:line="360" w:lineRule="auto"/>
        <w:ind w:firstLine="708"/>
        <w:jc w:val="both"/>
        <w:rPr>
          <w:lang w:val="ru-RU"/>
        </w:rPr>
      </w:pPr>
    </w:p>
    <w:p w14:paraId="256C1B62" w14:textId="77777777" w:rsidR="00503AA7" w:rsidRPr="00344ACF" w:rsidRDefault="00503AA7" w:rsidP="00D71C63">
      <w:pPr>
        <w:spacing w:line="360" w:lineRule="auto"/>
        <w:ind w:firstLine="708"/>
        <w:jc w:val="both"/>
        <w:rPr>
          <w:lang w:val="ru-RU"/>
        </w:rPr>
      </w:pPr>
    </w:p>
    <w:p w14:paraId="5C5111C1" w14:textId="77777777" w:rsidR="00503AA7" w:rsidRPr="00344ACF" w:rsidRDefault="00503AA7" w:rsidP="00D71C63">
      <w:pPr>
        <w:spacing w:line="360" w:lineRule="auto"/>
        <w:ind w:firstLine="708"/>
        <w:jc w:val="both"/>
        <w:rPr>
          <w:lang w:val="ru-RU"/>
        </w:rPr>
      </w:pPr>
    </w:p>
    <w:p w14:paraId="32E31463" w14:textId="77777777" w:rsidR="00503AA7" w:rsidRPr="00344ACF" w:rsidRDefault="00503AA7" w:rsidP="00D71C63">
      <w:pPr>
        <w:spacing w:line="360" w:lineRule="auto"/>
        <w:ind w:firstLine="708"/>
        <w:jc w:val="both"/>
        <w:rPr>
          <w:lang w:val="ru-RU"/>
        </w:rPr>
      </w:pPr>
    </w:p>
    <w:p w14:paraId="16EC8FE1" w14:textId="77777777" w:rsidR="00503AA7" w:rsidRPr="00344ACF" w:rsidRDefault="00503AA7" w:rsidP="00D71C63">
      <w:pPr>
        <w:spacing w:line="360" w:lineRule="auto"/>
        <w:ind w:firstLine="708"/>
        <w:jc w:val="both"/>
        <w:rPr>
          <w:lang w:val="ru-RU"/>
        </w:rPr>
      </w:pPr>
    </w:p>
    <w:p w14:paraId="38E06A96" w14:textId="77777777" w:rsidR="00503AA7" w:rsidRPr="00344ACF" w:rsidRDefault="00503AA7" w:rsidP="00D71C63">
      <w:pPr>
        <w:spacing w:line="360" w:lineRule="auto"/>
        <w:ind w:firstLine="708"/>
        <w:jc w:val="both"/>
        <w:rPr>
          <w:lang w:val="ru-RU"/>
        </w:rPr>
      </w:pPr>
    </w:p>
    <w:p w14:paraId="231B5E33" w14:textId="77777777" w:rsidR="00503AA7" w:rsidRPr="00344ACF" w:rsidRDefault="00503AA7" w:rsidP="00D71C63">
      <w:pPr>
        <w:spacing w:line="360" w:lineRule="auto"/>
        <w:ind w:firstLine="708"/>
        <w:jc w:val="both"/>
        <w:rPr>
          <w:lang w:val="ru-RU"/>
        </w:rPr>
      </w:pPr>
    </w:p>
    <w:p w14:paraId="5DC299C4" w14:textId="77777777" w:rsidR="00503AA7" w:rsidRPr="00344ACF" w:rsidRDefault="00503AA7" w:rsidP="00D71C63">
      <w:pPr>
        <w:spacing w:line="360" w:lineRule="auto"/>
        <w:ind w:firstLine="708"/>
        <w:jc w:val="both"/>
        <w:rPr>
          <w:lang w:val="ru-RU"/>
        </w:rPr>
      </w:pPr>
    </w:p>
    <w:p w14:paraId="76DF0DB3" w14:textId="164908CE" w:rsidR="007E16DE" w:rsidRPr="00344ACF" w:rsidRDefault="007E16DE" w:rsidP="00D71C63">
      <w:pPr>
        <w:spacing w:line="360" w:lineRule="auto"/>
        <w:ind w:firstLine="708"/>
        <w:jc w:val="both"/>
        <w:rPr>
          <w:lang w:val="ru-RU"/>
        </w:rPr>
      </w:pPr>
    </w:p>
    <w:p w14:paraId="6F6FD34D" w14:textId="399CE559" w:rsidR="007706AE" w:rsidRPr="00344ACF" w:rsidRDefault="00350E38" w:rsidP="00580251">
      <w:pPr>
        <w:spacing w:line="360" w:lineRule="auto"/>
        <w:jc w:val="both"/>
        <w:rPr>
          <w:lang w:val="ru-RU"/>
        </w:rPr>
      </w:pPr>
      <w:r w:rsidRPr="00344ACF">
        <w:rPr>
          <w:lang w:val="ru-RU"/>
        </w:rPr>
        <w:tab/>
      </w:r>
    </w:p>
    <w:p w14:paraId="1097ADE9" w14:textId="77777777" w:rsidR="007706AE" w:rsidRPr="00344ACF" w:rsidRDefault="007706AE" w:rsidP="00580251">
      <w:pPr>
        <w:spacing w:line="360" w:lineRule="auto"/>
        <w:jc w:val="both"/>
        <w:rPr>
          <w:lang w:val="ru-RU"/>
        </w:rPr>
      </w:pPr>
    </w:p>
    <w:p w14:paraId="22680903" w14:textId="77777777" w:rsidR="007706AE" w:rsidRPr="00344ACF" w:rsidRDefault="007706AE" w:rsidP="00580251">
      <w:pPr>
        <w:spacing w:line="360" w:lineRule="auto"/>
        <w:jc w:val="both"/>
        <w:rPr>
          <w:lang w:val="ru-RU"/>
        </w:rPr>
      </w:pPr>
    </w:p>
    <w:p w14:paraId="6F316532" w14:textId="77777777" w:rsidR="007706AE" w:rsidRPr="00344ACF" w:rsidRDefault="007706AE" w:rsidP="00580251">
      <w:pPr>
        <w:spacing w:line="360" w:lineRule="auto"/>
        <w:jc w:val="both"/>
        <w:rPr>
          <w:lang w:val="ru-RU"/>
        </w:rPr>
      </w:pPr>
    </w:p>
    <w:p w14:paraId="18920940" w14:textId="77777777" w:rsidR="007706AE" w:rsidRPr="00344ACF" w:rsidRDefault="007706AE" w:rsidP="00580251">
      <w:pPr>
        <w:spacing w:line="360" w:lineRule="auto"/>
        <w:jc w:val="both"/>
        <w:rPr>
          <w:lang w:val="ru-RU"/>
        </w:rPr>
      </w:pPr>
    </w:p>
    <w:p w14:paraId="16B91FA5" w14:textId="77777777" w:rsidR="007706AE" w:rsidRPr="00344ACF" w:rsidRDefault="007706AE" w:rsidP="00580251">
      <w:pPr>
        <w:spacing w:line="360" w:lineRule="auto"/>
        <w:jc w:val="both"/>
        <w:rPr>
          <w:lang w:val="ru-RU"/>
        </w:rPr>
      </w:pPr>
    </w:p>
    <w:p w14:paraId="2D81039E" w14:textId="77777777" w:rsidR="007706AE" w:rsidRPr="00344ACF" w:rsidRDefault="007706AE" w:rsidP="00580251">
      <w:pPr>
        <w:spacing w:line="360" w:lineRule="auto"/>
        <w:jc w:val="both"/>
        <w:rPr>
          <w:lang w:val="ru-RU"/>
        </w:rPr>
      </w:pPr>
    </w:p>
    <w:p w14:paraId="17EA92BA" w14:textId="77777777" w:rsidR="007706AE" w:rsidRPr="00344ACF" w:rsidRDefault="007706AE" w:rsidP="00580251">
      <w:pPr>
        <w:spacing w:line="360" w:lineRule="auto"/>
        <w:jc w:val="both"/>
        <w:rPr>
          <w:lang w:val="ru-RU"/>
        </w:rPr>
      </w:pPr>
    </w:p>
    <w:p w14:paraId="619786E6" w14:textId="77777777" w:rsidR="007706AE" w:rsidRPr="00344ACF" w:rsidRDefault="007706AE" w:rsidP="00580251">
      <w:pPr>
        <w:spacing w:line="360" w:lineRule="auto"/>
        <w:jc w:val="both"/>
        <w:rPr>
          <w:lang w:val="ru-RU"/>
        </w:rPr>
      </w:pPr>
    </w:p>
    <w:p w14:paraId="7E48FD09" w14:textId="77777777" w:rsidR="007706AE" w:rsidRPr="00344ACF" w:rsidRDefault="007706AE" w:rsidP="00580251">
      <w:pPr>
        <w:spacing w:line="360" w:lineRule="auto"/>
        <w:jc w:val="both"/>
        <w:rPr>
          <w:lang w:val="ru-RU"/>
        </w:rPr>
      </w:pPr>
    </w:p>
    <w:p w14:paraId="5AFF6C05" w14:textId="77777777" w:rsidR="007706AE" w:rsidRPr="00344ACF" w:rsidRDefault="007706AE" w:rsidP="00580251">
      <w:pPr>
        <w:spacing w:line="360" w:lineRule="auto"/>
        <w:jc w:val="both"/>
        <w:rPr>
          <w:lang w:val="ru-RU"/>
        </w:rPr>
      </w:pPr>
    </w:p>
    <w:p w14:paraId="0E6A7051" w14:textId="77777777" w:rsidR="007706AE" w:rsidRPr="00344ACF" w:rsidRDefault="007706AE" w:rsidP="00580251">
      <w:pPr>
        <w:spacing w:line="360" w:lineRule="auto"/>
        <w:jc w:val="both"/>
        <w:rPr>
          <w:lang w:val="ru-RU"/>
        </w:rPr>
      </w:pPr>
    </w:p>
    <w:p w14:paraId="1A68F003" w14:textId="77777777" w:rsidR="007706AE" w:rsidRPr="00344ACF" w:rsidRDefault="007706AE" w:rsidP="00580251">
      <w:pPr>
        <w:spacing w:line="360" w:lineRule="auto"/>
        <w:jc w:val="both"/>
        <w:rPr>
          <w:lang w:val="ru-RU"/>
        </w:rPr>
      </w:pPr>
    </w:p>
    <w:p w14:paraId="2C353B67" w14:textId="77777777" w:rsidR="007706AE" w:rsidRPr="00344ACF" w:rsidRDefault="007706AE" w:rsidP="00580251">
      <w:pPr>
        <w:spacing w:line="360" w:lineRule="auto"/>
        <w:jc w:val="both"/>
        <w:rPr>
          <w:lang w:val="ru-RU"/>
        </w:rPr>
      </w:pPr>
    </w:p>
    <w:p w14:paraId="2E84EE0A" w14:textId="77777777" w:rsidR="007706AE" w:rsidRPr="00344ACF" w:rsidRDefault="007706AE" w:rsidP="00580251">
      <w:pPr>
        <w:spacing w:line="360" w:lineRule="auto"/>
        <w:jc w:val="both"/>
        <w:rPr>
          <w:lang w:val="ru-RU"/>
        </w:rPr>
      </w:pPr>
    </w:p>
    <w:p w14:paraId="48A97448" w14:textId="77777777" w:rsidR="007706AE" w:rsidRPr="00344ACF" w:rsidRDefault="007706AE" w:rsidP="00580251">
      <w:pPr>
        <w:spacing w:line="360" w:lineRule="auto"/>
        <w:jc w:val="both"/>
        <w:rPr>
          <w:lang w:val="ru-RU"/>
        </w:rPr>
      </w:pPr>
    </w:p>
    <w:p w14:paraId="28243963" w14:textId="77777777" w:rsidR="007706AE" w:rsidRPr="00344ACF" w:rsidRDefault="007706AE" w:rsidP="00580251">
      <w:pPr>
        <w:spacing w:line="360" w:lineRule="auto"/>
        <w:jc w:val="both"/>
        <w:rPr>
          <w:lang w:val="ru-RU"/>
        </w:rPr>
      </w:pPr>
    </w:p>
    <w:p w14:paraId="59F0A20D" w14:textId="77777777" w:rsidR="007706AE" w:rsidRPr="00344ACF" w:rsidRDefault="007706AE" w:rsidP="00580251">
      <w:pPr>
        <w:spacing w:line="360" w:lineRule="auto"/>
        <w:jc w:val="both"/>
        <w:rPr>
          <w:lang w:val="ru-RU"/>
        </w:rPr>
      </w:pPr>
    </w:p>
    <w:p w14:paraId="4506177A" w14:textId="77777777" w:rsidR="007706AE" w:rsidRPr="00344ACF" w:rsidRDefault="007706AE" w:rsidP="00580251">
      <w:pPr>
        <w:spacing w:line="360" w:lineRule="auto"/>
        <w:jc w:val="both"/>
        <w:rPr>
          <w:lang w:val="ru-RU"/>
        </w:rPr>
      </w:pPr>
    </w:p>
    <w:p w14:paraId="38CC2A1F" w14:textId="77777777" w:rsidR="007706AE" w:rsidRPr="00344ACF" w:rsidRDefault="007706AE" w:rsidP="00580251">
      <w:pPr>
        <w:spacing w:line="360" w:lineRule="auto"/>
        <w:jc w:val="both"/>
        <w:rPr>
          <w:lang w:val="ru-RU"/>
        </w:rPr>
      </w:pPr>
    </w:p>
    <w:p w14:paraId="7AF81C71" w14:textId="77777777" w:rsidR="00875AA2" w:rsidRPr="00344ACF" w:rsidRDefault="00875AA2" w:rsidP="00580251">
      <w:pPr>
        <w:spacing w:line="360" w:lineRule="auto"/>
        <w:jc w:val="both"/>
        <w:rPr>
          <w:lang w:val="ru-RU"/>
        </w:rPr>
      </w:pPr>
    </w:p>
    <w:sectPr w:rsidR="00875AA2" w:rsidRPr="00344ACF" w:rsidSect="00C917F7">
      <w:headerReference w:type="default" r:id="rId24"/>
      <w:footerReference w:type="even" r:id="rId25"/>
      <w:footerReference w:type="default" r:id="rId26"/>
      <w:pgSz w:w="11906" w:h="16838"/>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81135" w14:textId="77777777" w:rsidR="002806B7" w:rsidRDefault="002806B7" w:rsidP="003447CF">
      <w:r>
        <w:separator/>
      </w:r>
    </w:p>
  </w:endnote>
  <w:endnote w:type="continuationSeparator" w:id="0">
    <w:p w14:paraId="1D0B57EB" w14:textId="77777777" w:rsidR="002806B7" w:rsidRDefault="002806B7" w:rsidP="003447CF">
      <w:r>
        <w:continuationSeparator/>
      </w:r>
    </w:p>
  </w:endnote>
  <w:endnote w:type="continuationNotice" w:id="1">
    <w:p w14:paraId="301A347F" w14:textId="77777777" w:rsidR="002806B7" w:rsidRDefault="002806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5"/>
      </w:rPr>
      <w:id w:val="1448654470"/>
      <w:docPartObj>
        <w:docPartGallery w:val="Page Numbers (Bottom of Page)"/>
        <w:docPartUnique/>
      </w:docPartObj>
    </w:sdtPr>
    <w:sdtEndPr>
      <w:rPr>
        <w:rStyle w:val="af5"/>
      </w:rPr>
    </w:sdtEndPr>
    <w:sdtContent>
      <w:p w14:paraId="2B43B538" w14:textId="15850562" w:rsidR="005B3265" w:rsidRDefault="005B3265">
        <w:pPr>
          <w:pStyle w:val="af3"/>
          <w:framePr w:wrap="none" w:vAnchor="text" w:hAnchor="margin" w:xAlign="right" w:y="1"/>
          <w:rPr>
            <w:rStyle w:val="af5"/>
          </w:rPr>
        </w:pPr>
        <w:r>
          <w:rPr>
            <w:rStyle w:val="af5"/>
          </w:rPr>
          <w:fldChar w:fldCharType="begin"/>
        </w:r>
        <w:r>
          <w:rPr>
            <w:rStyle w:val="af5"/>
          </w:rPr>
          <w:instrText xml:space="preserve"> PAGE </w:instrText>
        </w:r>
        <w:r>
          <w:rPr>
            <w:rStyle w:val="af5"/>
          </w:rPr>
          <w:fldChar w:fldCharType="end"/>
        </w:r>
      </w:p>
    </w:sdtContent>
  </w:sdt>
  <w:p w14:paraId="235266EF" w14:textId="77777777" w:rsidR="005B3265" w:rsidRDefault="005B3265" w:rsidP="005B3265">
    <w:pPr>
      <w:pStyle w:val="af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5"/>
      </w:rPr>
      <w:id w:val="114490275"/>
      <w:docPartObj>
        <w:docPartGallery w:val="Page Numbers (Bottom of Page)"/>
        <w:docPartUnique/>
      </w:docPartObj>
    </w:sdtPr>
    <w:sdtEndPr>
      <w:rPr>
        <w:rStyle w:val="af5"/>
      </w:rPr>
    </w:sdtEndPr>
    <w:sdtContent>
      <w:p w14:paraId="5EA9B6E3" w14:textId="318CCAE5" w:rsidR="005B3265" w:rsidRDefault="005B3265">
        <w:pPr>
          <w:pStyle w:val="af3"/>
          <w:framePr w:wrap="none" w:vAnchor="text" w:hAnchor="margin" w:xAlign="right" w:y="1"/>
          <w:rPr>
            <w:rStyle w:val="af5"/>
          </w:rPr>
        </w:pPr>
        <w:r>
          <w:rPr>
            <w:rStyle w:val="af5"/>
          </w:rPr>
          <w:fldChar w:fldCharType="begin"/>
        </w:r>
        <w:r>
          <w:rPr>
            <w:rStyle w:val="af5"/>
          </w:rPr>
          <w:instrText xml:space="preserve"> PAGE </w:instrText>
        </w:r>
        <w:r>
          <w:rPr>
            <w:rStyle w:val="af5"/>
          </w:rPr>
          <w:fldChar w:fldCharType="separate"/>
        </w:r>
        <w:r>
          <w:rPr>
            <w:rStyle w:val="af5"/>
            <w:noProof/>
          </w:rPr>
          <w:t>1</w:t>
        </w:r>
        <w:r>
          <w:rPr>
            <w:rStyle w:val="af5"/>
          </w:rPr>
          <w:fldChar w:fldCharType="end"/>
        </w:r>
      </w:p>
    </w:sdtContent>
  </w:sdt>
  <w:p w14:paraId="3611A9BE" w14:textId="77777777" w:rsidR="005B3265" w:rsidRDefault="005B3265" w:rsidP="005B3265">
    <w:pPr>
      <w:pStyle w:val="af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ED102" w14:textId="77777777" w:rsidR="002806B7" w:rsidRDefault="002806B7" w:rsidP="003447CF">
      <w:r>
        <w:separator/>
      </w:r>
    </w:p>
  </w:footnote>
  <w:footnote w:type="continuationSeparator" w:id="0">
    <w:p w14:paraId="47801610" w14:textId="77777777" w:rsidR="002806B7" w:rsidRDefault="002806B7" w:rsidP="003447CF">
      <w:r>
        <w:continuationSeparator/>
      </w:r>
    </w:p>
  </w:footnote>
  <w:footnote w:type="continuationNotice" w:id="1">
    <w:p w14:paraId="5240512C" w14:textId="77777777" w:rsidR="002806B7" w:rsidRDefault="002806B7"/>
  </w:footnote>
  <w:footnote w:id="2">
    <w:p w14:paraId="78F58575" w14:textId="77777777" w:rsidR="003447CF" w:rsidRPr="007A7E25" w:rsidRDefault="003447CF" w:rsidP="003447CF">
      <w:pPr>
        <w:pStyle w:val="ac"/>
        <w:jc w:val="left"/>
        <w:rPr>
          <w:rFonts w:eastAsiaTheme="minorHAnsi"/>
          <w:kern w:val="2"/>
          <w14:ligatures w14:val="standardContextual"/>
        </w:rPr>
      </w:pPr>
      <w:r w:rsidRPr="00255130">
        <w:rPr>
          <w:rFonts w:eastAsiaTheme="minorHAnsi"/>
          <w:kern w:val="2"/>
          <w:vertAlign w:val="superscript"/>
          <w14:ligatures w14:val="standardContextual"/>
        </w:rPr>
        <w:footnoteRef/>
      </w:r>
      <w:r w:rsidRPr="007A7E25">
        <w:rPr>
          <w:rFonts w:eastAsiaTheme="minorHAnsi"/>
          <w:kern w:val="2"/>
          <w14:ligatures w14:val="standardContextual"/>
        </w:rPr>
        <w:t xml:space="preserve">  </w:t>
      </w:r>
      <w:r>
        <w:rPr>
          <w:rFonts w:eastAsiaTheme="minorHAnsi"/>
          <w:kern w:val="2"/>
          <w14:ligatures w14:val="standardContextual"/>
        </w:rPr>
        <w:t xml:space="preserve">See the article by </w:t>
      </w:r>
      <w:r w:rsidRPr="0055581A">
        <w:rPr>
          <w:rFonts w:eastAsiaTheme="minorHAnsi"/>
          <w:kern w:val="2"/>
          <w14:ligatures w14:val="standardContextual"/>
        </w:rPr>
        <w:t>Mark Harrison, "Why did the Soviet economy collapse? ," El Independiente, October 28, 2017.</w:t>
      </w:r>
    </w:p>
  </w:footnote>
  <w:footnote w:id="3">
    <w:p w14:paraId="7E0DDFC6" w14:textId="77777777" w:rsidR="003447CF" w:rsidRPr="007A7E25" w:rsidRDefault="003447CF" w:rsidP="003447CF">
      <w:pPr>
        <w:pStyle w:val="ac"/>
        <w:jc w:val="left"/>
        <w:rPr>
          <w:rFonts w:eastAsiaTheme="minorHAnsi"/>
          <w:kern w:val="2"/>
          <w14:ligatures w14:val="standardContextual"/>
        </w:rPr>
      </w:pPr>
      <w:r w:rsidRPr="0055581A">
        <w:rPr>
          <w:rFonts w:eastAsiaTheme="minorHAnsi"/>
          <w:kern w:val="2"/>
          <w:vertAlign w:val="superscript"/>
          <w14:ligatures w14:val="standardContextual"/>
        </w:rPr>
        <w:footnoteRef/>
      </w:r>
      <w:r w:rsidRPr="0055581A">
        <w:rPr>
          <w:rFonts w:eastAsiaTheme="minorHAnsi"/>
          <w:kern w:val="2"/>
          <w:vertAlign w:val="superscript"/>
          <w14:ligatures w14:val="standardContextual"/>
        </w:rPr>
        <w:t xml:space="preserve">  </w:t>
      </w:r>
      <w:r>
        <w:rPr>
          <w:rFonts w:eastAsiaTheme="minorHAnsi"/>
          <w:kern w:val="2"/>
          <w14:ligatures w14:val="standardContextual"/>
        </w:rPr>
        <w:t xml:space="preserve">See the article by </w:t>
      </w:r>
      <w:r w:rsidRPr="0055581A">
        <w:rPr>
          <w:rFonts w:eastAsiaTheme="minorHAnsi"/>
          <w:kern w:val="2"/>
          <w14:ligatures w14:val="standardContextual"/>
        </w:rPr>
        <w:t>Senhavsky Alexander Spartazovich, “The Urbanization Process in the Soviet Union in the Economic Dimension: Structural and Institutional Aspects”</w:t>
      </w:r>
    </w:p>
    <w:p w14:paraId="754E9BF3" w14:textId="77777777" w:rsidR="003447CF" w:rsidRPr="007A7E25" w:rsidRDefault="003447CF" w:rsidP="003447CF">
      <w:pPr>
        <w:pStyle w:val="ac"/>
        <w:rPr>
          <w:rFonts w:eastAsiaTheme="minorHAnsi"/>
          <w:kern w:val="2"/>
          <w14:ligatures w14:val="standardContextual"/>
        </w:rPr>
      </w:pPr>
    </w:p>
  </w:footnote>
  <w:footnote w:id="4">
    <w:p w14:paraId="63C19E34" w14:textId="77777777" w:rsidR="003447CF" w:rsidRPr="007A7E25" w:rsidRDefault="003447CF" w:rsidP="003447CF">
      <w:pPr>
        <w:pStyle w:val="ac"/>
        <w:jc w:val="left"/>
        <w:rPr>
          <w:rFonts w:eastAsiaTheme="minorHAnsi"/>
          <w:kern w:val="2"/>
          <w14:ligatures w14:val="standardContextual"/>
        </w:rPr>
      </w:pPr>
      <w:r w:rsidRPr="00255130">
        <w:rPr>
          <w:rFonts w:eastAsiaTheme="minorHAnsi"/>
          <w:kern w:val="2"/>
          <w:vertAlign w:val="superscript"/>
          <w14:ligatures w14:val="standardContextual"/>
        </w:rPr>
        <w:footnoteRef/>
      </w:r>
      <w:r w:rsidRPr="007A7E25">
        <w:rPr>
          <w:rFonts w:eastAsiaTheme="minorHAnsi"/>
          <w:kern w:val="2"/>
          <w14:ligatures w14:val="standardContextual"/>
        </w:rPr>
        <w:t xml:space="preserve">  </w:t>
      </w:r>
      <w:r>
        <w:rPr>
          <w:rFonts w:eastAsiaTheme="minorHAnsi"/>
          <w:kern w:val="2"/>
          <w14:ligatures w14:val="standardContextual"/>
        </w:rPr>
        <w:t xml:space="preserve">See the article </w:t>
      </w:r>
      <w:r w:rsidRPr="002D017F">
        <w:rPr>
          <w:rFonts w:eastAsiaTheme="minorHAnsi"/>
          <w:kern w:val="2"/>
          <w14:ligatures w14:val="standardContextual"/>
        </w:rPr>
        <w:t>Kazakh SSR: Economic Development and Structure</w:t>
      </w:r>
      <w:r w:rsidRPr="007A7E25">
        <w:rPr>
          <w:rFonts w:eastAsiaTheme="minorHAnsi"/>
          <w:kern w:val="2"/>
          <w14:ligatures w14:val="standardContextual"/>
        </w:rPr>
        <w:t xml:space="preserve"> https://ru.ruwiki.ru/wiki/%D0%AD%D0%BA%D0%BE%D0%BD%D0%BE%D0%BC%D0%B8%D0%BA%D0%B0_%D0%9A%D0%B0%D0%B7%D0%B0%D1%85%D1%81%D0%BA%D0%BE%D0%B9%D0%A1%D0%A1%D0%A0#%D0%9F%D1%80%D0%B8%D0%BC%D0%B5%D1%87%D0%B0%D0%BD%D0%B8%D1%8F</w:t>
      </w:r>
    </w:p>
    <w:p w14:paraId="15DF2482" w14:textId="77777777" w:rsidR="003447CF" w:rsidRPr="007A7E25" w:rsidRDefault="003447CF" w:rsidP="003447CF">
      <w:pPr>
        <w:pStyle w:val="ac"/>
        <w:rPr>
          <w:rFonts w:eastAsiaTheme="minorHAnsi"/>
          <w:kern w:val="2"/>
          <w14:ligatures w14:val="standardContextual"/>
        </w:rPr>
      </w:pPr>
    </w:p>
  </w:footnote>
  <w:footnote w:id="5">
    <w:p w14:paraId="2C884D1E" w14:textId="77777777" w:rsidR="003447CF" w:rsidRPr="007A7E25" w:rsidRDefault="003447CF" w:rsidP="003447CF">
      <w:pPr>
        <w:pStyle w:val="ac"/>
        <w:jc w:val="left"/>
        <w:rPr>
          <w:rFonts w:eastAsiaTheme="minorHAnsi"/>
          <w:kern w:val="2"/>
          <w14:ligatures w14:val="standardContextual"/>
        </w:rPr>
      </w:pPr>
      <w:r w:rsidRPr="0055581A">
        <w:rPr>
          <w:rFonts w:eastAsiaTheme="minorHAnsi"/>
          <w:kern w:val="2"/>
          <w:vertAlign w:val="superscript"/>
          <w14:ligatures w14:val="standardContextual"/>
        </w:rPr>
        <w:footnoteRef/>
      </w:r>
      <w:r>
        <w:rPr>
          <w:rFonts w:eastAsiaTheme="minorHAnsi"/>
          <w:kern w:val="2"/>
          <w:vertAlign w:val="superscript"/>
          <w14:ligatures w14:val="standardContextual"/>
        </w:rPr>
        <w:t xml:space="preserve"> </w:t>
      </w:r>
      <w:r w:rsidRPr="005E4FA5">
        <w:rPr>
          <w:rFonts w:eastAsiaTheme="minorHAnsi"/>
          <w:kern w:val="2"/>
          <w14:ligatures w14:val="standardContextual"/>
        </w:rPr>
        <w:t xml:space="preserve">See the article </w:t>
      </w:r>
      <w:r w:rsidRPr="005E4FA5">
        <w:rPr>
          <w:rFonts w:eastAsiaTheme="minorHAnsi"/>
          <w:kern w:val="2"/>
          <w14:ligatures w14:val="standardContextual"/>
        </w:rPr>
        <w:t>Kunaev Foundation, 1964-1986, Leader of the Kazakh SSR, https://www.kunayev.kz/ru/bio/1960-1962%252C-1964-1986/1964-1986-GG.-LIDER-KAZAHSKOY-SSR; https://www.trtworld.com/opinion/dinmukhamed-kunayev-the-forgotten-father-of-kazakh-modernisation-56915</w:t>
      </w:r>
    </w:p>
  </w:footnote>
  <w:footnote w:id="6">
    <w:p w14:paraId="04035317" w14:textId="77777777" w:rsidR="003447CF" w:rsidRPr="004E28CF" w:rsidRDefault="003447CF" w:rsidP="003447CF">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sidRPr="004E28CF">
        <w:rPr>
          <w:rFonts w:eastAsiaTheme="minorHAnsi"/>
          <w:kern w:val="2"/>
          <w14:ligatures w14:val="standardContextual"/>
        </w:rPr>
        <w:t>On turnover tax rates, see Donna Bahry, Outside Moscow: Power, Politics, and Budgetary Policy in</w:t>
      </w:r>
    </w:p>
    <w:p w14:paraId="0E974F02" w14:textId="77777777" w:rsidR="003447CF" w:rsidRPr="00FF4CD3" w:rsidRDefault="003447CF" w:rsidP="003447CF">
      <w:pPr>
        <w:pStyle w:val="ac"/>
        <w:jc w:val="left"/>
        <w:rPr>
          <w:rFonts w:eastAsiaTheme="minorHAnsi"/>
          <w:kern w:val="2"/>
          <w14:ligatures w14:val="standardContextual"/>
        </w:rPr>
      </w:pPr>
      <w:r w:rsidRPr="004E28CF">
        <w:rPr>
          <w:rFonts w:eastAsiaTheme="minorHAnsi"/>
          <w:kern w:val="2"/>
          <w14:ligatures w14:val="standardContextual"/>
        </w:rPr>
        <w:t>the Soviet Republics (New York: Columbia University Press, 1987)</w:t>
      </w:r>
    </w:p>
  </w:footnote>
  <w:footnote w:id="7">
    <w:p w14:paraId="04065D63" w14:textId="62FC4672" w:rsidR="00DD34BB" w:rsidRPr="002F04AC" w:rsidRDefault="00DD34BB" w:rsidP="002F04AC">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sidRPr="000B6753">
        <w:rPr>
          <w:rFonts w:eastAsiaTheme="minorHAnsi"/>
          <w:kern w:val="2"/>
          <w14:ligatures w14:val="standardContextual"/>
        </w:rPr>
        <w:t>Nursultan Nazarbayev, </w:t>
      </w:r>
      <w:r w:rsidRPr="000B6753">
        <w:rPr>
          <w:rFonts w:eastAsiaTheme="minorHAnsi"/>
          <w:i/>
          <w:iCs/>
          <w:kern w:val="2"/>
          <w14:ligatures w14:val="standardContextual"/>
        </w:rPr>
        <w:t>On the Threshold of the 21st Century</w:t>
      </w:r>
      <w:r w:rsidRPr="000B6753">
        <w:rPr>
          <w:rFonts w:eastAsiaTheme="minorHAnsi"/>
          <w:kern w:val="2"/>
          <w14:ligatures w14:val="standardContextual"/>
        </w:rPr>
        <w:t xml:space="preserve"> (Almaty, </w:t>
      </w:r>
      <w:r w:rsidRPr="002F04AC">
        <w:rPr>
          <w:rFonts w:eastAsiaTheme="minorHAnsi"/>
          <w:kern w:val="2"/>
          <w14:ligatures w14:val="standardContextual"/>
        </w:rPr>
        <w:t>1996), p. 191</w:t>
      </w:r>
    </w:p>
  </w:footnote>
  <w:footnote w:id="8">
    <w:p w14:paraId="05CB9C3F" w14:textId="77777777" w:rsidR="00346988" w:rsidRPr="007F01FC" w:rsidRDefault="00346988" w:rsidP="00346988">
      <w:pPr>
        <w:pStyle w:val="ac"/>
        <w:rPr>
          <w:rFonts w:eastAsiaTheme="minorHAnsi"/>
          <w:kern w:val="2"/>
          <w14:ligatures w14:val="standardContextual"/>
        </w:rPr>
      </w:pPr>
      <w:r w:rsidRPr="002F04AC">
        <w:rPr>
          <w:rFonts w:eastAsiaTheme="minorHAnsi"/>
          <w:kern w:val="2"/>
          <w:vertAlign w:val="superscript"/>
          <w14:ligatures w14:val="standardContextual"/>
        </w:rPr>
        <w:footnoteRef/>
      </w:r>
      <w:r w:rsidRPr="002F04AC">
        <w:rPr>
          <w:rFonts w:eastAsiaTheme="minorHAnsi"/>
          <w:kern w:val="2"/>
          <w:vertAlign w:val="superscript"/>
          <w14:ligatures w14:val="standardContextual"/>
        </w:rPr>
        <w:t xml:space="preserve"> </w:t>
      </w:r>
      <w:r w:rsidRPr="002F04AC">
        <w:rPr>
          <w:rFonts w:eastAsiaTheme="minorHAnsi"/>
          <w:kern w:val="2"/>
          <w14:ligatures w14:val="standardContextual"/>
        </w:rPr>
        <w:t>Nursultan Nazarbayev, </w:t>
      </w:r>
      <w:r w:rsidRPr="002F04AC">
        <w:rPr>
          <w:rFonts w:eastAsiaTheme="minorHAnsi"/>
          <w:i/>
          <w:iCs/>
          <w:kern w:val="2"/>
          <w14:ligatures w14:val="standardContextual"/>
        </w:rPr>
        <w:t>On the Threshold of the 21st Century</w:t>
      </w:r>
      <w:r w:rsidRPr="002F04AC">
        <w:rPr>
          <w:rFonts w:eastAsiaTheme="minorHAnsi"/>
          <w:kern w:val="2"/>
          <w14:ligatures w14:val="standardContextual"/>
        </w:rPr>
        <w:t> (Almaty, 1996), p. 17</w:t>
      </w:r>
    </w:p>
    <w:p w14:paraId="6F35D142" w14:textId="77777777" w:rsidR="00346988" w:rsidRPr="00FF4CD3" w:rsidRDefault="00346988" w:rsidP="00346988">
      <w:pPr>
        <w:pStyle w:val="ac"/>
        <w:jc w:val="left"/>
        <w:rPr>
          <w:rFonts w:eastAsiaTheme="minorHAnsi"/>
          <w:kern w:val="2"/>
          <w14:ligatures w14:val="standardContextual"/>
        </w:rPr>
      </w:pPr>
    </w:p>
  </w:footnote>
  <w:footnote w:id="9">
    <w:p w14:paraId="053D0ACF" w14:textId="4F80C92B" w:rsidR="006A65A9" w:rsidRPr="00FF4CD3" w:rsidRDefault="006A65A9" w:rsidP="002F04AC">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Pr>
          <w:rFonts w:eastAsiaTheme="minorHAnsi"/>
          <w:kern w:val="2"/>
          <w:vertAlign w:val="superscript"/>
          <w14:ligatures w14:val="standardContextual"/>
        </w:rPr>
        <w:t xml:space="preserve"> </w:t>
      </w:r>
      <w:r>
        <w:rPr>
          <w:rFonts w:eastAsiaTheme="minorHAnsi"/>
          <w:kern w:val="2"/>
          <w14:ligatures w14:val="standardContextual"/>
        </w:rPr>
        <w:t xml:space="preserve">See the article </w:t>
      </w:r>
      <w:r w:rsidRPr="00B7331A">
        <w:rPr>
          <w:rFonts w:eastAsiaTheme="minorHAnsi"/>
          <w:kern w:val="2"/>
          <w14:ligatures w14:val="standardContextual"/>
        </w:rPr>
        <w:t>Wikipedia contributors. "</w:t>
      </w:r>
      <w:r>
        <w:rPr>
          <w:rFonts w:eastAsiaTheme="minorHAnsi"/>
          <w:kern w:val="2"/>
          <w14:ligatures w14:val="standardContextual"/>
        </w:rPr>
        <w:t>Kazakhstan</w:t>
      </w:r>
      <w:r w:rsidRPr="00B7331A">
        <w:rPr>
          <w:rFonts w:eastAsiaTheme="minorHAnsi"/>
          <w:kern w:val="2"/>
          <w14:ligatures w14:val="standardContextual"/>
        </w:rPr>
        <w:t>." Wikipedia. https://ru.wikipedia.org/wiki/Казахстан.</w:t>
      </w:r>
    </w:p>
  </w:footnote>
  <w:footnote w:id="10">
    <w:p w14:paraId="11332296" w14:textId="77777777" w:rsidR="006A65A9" w:rsidRPr="007F01FC" w:rsidRDefault="006A65A9" w:rsidP="006A65A9">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Pr>
          <w:rFonts w:eastAsiaTheme="minorHAnsi"/>
          <w:kern w:val="2"/>
          <w:vertAlign w:val="superscript"/>
          <w14:ligatures w14:val="standardContextual"/>
        </w:rPr>
        <w:t xml:space="preserve"> </w:t>
      </w:r>
      <w:r>
        <w:rPr>
          <w:rFonts w:eastAsiaTheme="minorHAnsi"/>
          <w:kern w:val="2"/>
          <w14:ligatures w14:val="standardContextual"/>
        </w:rPr>
        <w:t xml:space="preserve">See the article </w:t>
      </w:r>
      <w:r w:rsidRPr="00470FC1">
        <w:rPr>
          <w:rFonts w:eastAsiaTheme="minorHAnsi"/>
          <w:kern w:val="2"/>
          <w14:ligatures w14:val="standardContextual"/>
        </w:rPr>
        <w:t>National Bank of Kazakhstan, Currency history, https://nationalbank.kz/en/page/currency-history</w:t>
      </w:r>
    </w:p>
    <w:p w14:paraId="71C29A8C" w14:textId="77777777" w:rsidR="006A65A9" w:rsidRPr="00FF4CD3" w:rsidRDefault="006A65A9" w:rsidP="006A65A9">
      <w:pPr>
        <w:pStyle w:val="ac"/>
        <w:jc w:val="left"/>
        <w:rPr>
          <w:rFonts w:eastAsiaTheme="minorHAnsi"/>
          <w:kern w:val="2"/>
          <w14:ligatures w14:val="standardContextual"/>
        </w:rPr>
      </w:pPr>
    </w:p>
  </w:footnote>
  <w:footnote w:id="11">
    <w:p w14:paraId="42DC5029" w14:textId="77777777" w:rsidR="00CC5059" w:rsidRPr="00F90805" w:rsidRDefault="00CC5059" w:rsidP="00CC5059">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Pr>
          <w:rFonts w:eastAsiaTheme="minorHAnsi"/>
          <w:kern w:val="2"/>
          <w:vertAlign w:val="superscript"/>
          <w14:ligatures w14:val="standardContextual"/>
        </w:rPr>
        <w:t xml:space="preserve"> </w:t>
      </w:r>
      <w:r w:rsidRPr="005E4FA5">
        <w:rPr>
          <w:rFonts w:eastAsiaTheme="minorHAnsi"/>
          <w:kern w:val="2"/>
          <w14:ligatures w14:val="standardContextual"/>
        </w:rPr>
        <w:t>See the article</w:t>
      </w:r>
      <w:r w:rsidRPr="007B1E82">
        <w:rPr>
          <w:rFonts w:eastAsiaTheme="minorHAnsi"/>
          <w:kern w:val="2"/>
          <w14:ligatures w14:val="standardContextual"/>
        </w:rPr>
        <w:t> "Kazakhstan:</w:t>
      </w:r>
      <w:r>
        <w:rPr>
          <w:rFonts w:eastAsiaTheme="minorHAnsi"/>
          <w:kern w:val="2"/>
          <w14:ligatures w14:val="standardContextual"/>
        </w:rPr>
        <w:t xml:space="preserve"> </w:t>
      </w:r>
      <w:r w:rsidRPr="007B1E82">
        <w:rPr>
          <w:rFonts w:eastAsiaTheme="minorHAnsi"/>
          <w:kern w:val="2"/>
          <w14:ligatures w14:val="standardContextual"/>
        </w:rPr>
        <w:t>Independent Kazakhstan," Encyclopedia</w:t>
      </w:r>
      <w:r>
        <w:rPr>
          <w:rFonts w:eastAsiaTheme="minorHAnsi"/>
          <w:kern w:val="2"/>
          <w14:ligatures w14:val="standardContextual"/>
        </w:rPr>
        <w:t xml:space="preserve"> </w:t>
      </w:r>
      <w:r w:rsidRPr="007B1E82">
        <w:rPr>
          <w:rFonts w:eastAsiaTheme="minorHAnsi"/>
          <w:kern w:val="2"/>
          <w14:ligatures w14:val="standardContextual"/>
        </w:rPr>
        <w:t>Britannica,</w:t>
      </w:r>
      <w:r>
        <w:rPr>
          <w:rFonts w:eastAsiaTheme="minorHAnsi"/>
          <w:kern w:val="2"/>
          <w14:ligatures w14:val="standardContextual"/>
        </w:rPr>
        <w:t xml:space="preserve"> </w:t>
      </w:r>
      <w:r w:rsidRPr="007B1E82">
        <w:rPr>
          <w:rFonts w:eastAsiaTheme="minorHAnsi"/>
          <w:kern w:val="2"/>
          <w14:ligatures w14:val="standardContextual"/>
        </w:rPr>
        <w:t>2025, </w:t>
      </w:r>
      <w:hyperlink r:id="rId1" w:tgtFrame="_new" w:history="1">
        <w:r w:rsidRPr="007B1E82">
          <w:rPr>
            <w:rFonts w:eastAsiaTheme="minorHAnsi"/>
            <w:kern w:val="2"/>
            <w14:ligatures w14:val="standardContextual"/>
          </w:rPr>
          <w:t>https://www.britannica.com/place/Kazakhstan/Independent-Kazakhstan</w:t>
        </w:r>
      </w:hyperlink>
      <w:r w:rsidRPr="007B1E82">
        <w:rPr>
          <w:rFonts w:eastAsiaTheme="minorHAnsi"/>
          <w:kern w:val="2"/>
          <w14:ligatures w14:val="standardContextual"/>
        </w:rPr>
        <w:t>.</w:t>
      </w:r>
    </w:p>
  </w:footnote>
  <w:footnote w:id="12">
    <w:p w14:paraId="6F0CCCAC" w14:textId="77777777" w:rsidR="00E2433D" w:rsidRPr="00F90805" w:rsidRDefault="00E2433D" w:rsidP="00E2433D">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Pr>
          <w:rFonts w:eastAsiaTheme="minorHAnsi"/>
          <w:kern w:val="2"/>
          <w:vertAlign w:val="superscript"/>
          <w14:ligatures w14:val="standardContextual"/>
        </w:rPr>
        <w:t xml:space="preserve"> </w:t>
      </w:r>
      <w:r w:rsidRPr="005E4FA5">
        <w:rPr>
          <w:rFonts w:eastAsiaTheme="minorHAnsi"/>
          <w:kern w:val="2"/>
          <w14:ligatures w14:val="standardContextual"/>
        </w:rPr>
        <w:t>See the article</w:t>
      </w:r>
      <w:r w:rsidRPr="007B1E82">
        <w:rPr>
          <w:rFonts w:eastAsiaTheme="minorHAnsi"/>
          <w:kern w:val="2"/>
          <w14:ligatures w14:val="standardContextual"/>
        </w:rPr>
        <w:t> </w:t>
      </w:r>
      <w:r w:rsidRPr="00E5385A">
        <w:rPr>
          <w:rFonts w:eastAsiaTheme="minorHAnsi"/>
          <w:kern w:val="2"/>
          <w14:ligatures w14:val="standardContextual"/>
        </w:rPr>
        <w:t>https://www.orexca.com/kazakhstan/history/independence.htm</w:t>
      </w:r>
    </w:p>
  </w:footnote>
  <w:footnote w:id="13">
    <w:p w14:paraId="7923EB35" w14:textId="77777777" w:rsidR="00E2433D" w:rsidRPr="007F01FC" w:rsidRDefault="00E2433D" w:rsidP="00E2433D">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Pr>
          <w:rFonts w:eastAsiaTheme="minorHAnsi"/>
          <w:kern w:val="2"/>
          <w14:ligatures w14:val="standardContextual"/>
        </w:rPr>
        <w:t xml:space="preserve">See the article </w:t>
      </w:r>
      <w:hyperlink r:id="rId2" w:anchor="pos=6;-106" w:history="1">
        <w:r w:rsidRPr="00E5385A">
          <w:rPr>
            <w:rFonts w:eastAsiaTheme="minorHAnsi"/>
          </w:rPr>
          <w:t>https://online.zakon.kz</w:t>
        </w:r>
      </w:hyperlink>
    </w:p>
    <w:p w14:paraId="72034D15" w14:textId="77777777" w:rsidR="00E2433D" w:rsidRPr="00FF4CD3" w:rsidRDefault="00E2433D" w:rsidP="00E2433D">
      <w:pPr>
        <w:pStyle w:val="ac"/>
        <w:jc w:val="left"/>
        <w:rPr>
          <w:rFonts w:eastAsiaTheme="minorHAnsi"/>
          <w:kern w:val="2"/>
          <w14:ligatures w14:val="standardContextual"/>
        </w:rPr>
      </w:pPr>
    </w:p>
  </w:footnote>
  <w:footnote w:id="14">
    <w:p w14:paraId="15D14821" w14:textId="5DBB294C" w:rsidR="008064C4" w:rsidRPr="007F01FC" w:rsidRDefault="008064C4" w:rsidP="008064C4">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Pr>
          <w:rFonts w:eastAsiaTheme="minorHAnsi"/>
          <w:kern w:val="2"/>
          <w14:ligatures w14:val="standardContextual"/>
        </w:rPr>
        <w:t xml:space="preserve">See the article </w:t>
      </w:r>
      <w:r w:rsidRPr="00E25105">
        <w:rPr>
          <w:rFonts w:eastAsiaTheme="minorHAnsi"/>
          <w:kern w:val="2"/>
          <w14:ligatures w14:val="standardContextual"/>
        </w:rPr>
        <w:t xml:space="preserve">KIOGE, </w:t>
      </w:r>
      <w:r w:rsidR="002F04AC" w:rsidRPr="00E25105">
        <w:rPr>
          <w:rFonts w:eastAsiaTheme="minorHAnsi"/>
          <w:kern w:val="2"/>
          <w14:ligatures w14:val="standardContextual"/>
        </w:rPr>
        <w:t>how</w:t>
      </w:r>
      <w:r w:rsidRPr="00E25105">
        <w:rPr>
          <w:rFonts w:eastAsiaTheme="minorHAnsi"/>
          <w:kern w:val="2"/>
          <w14:ligatures w14:val="standardContextual"/>
        </w:rPr>
        <w:t xml:space="preserve"> much oil is there in Kazakhstan?, https://web.archive.org/web/20190915122629/https://www.kioge.kz/ru/glavnaya/11-press-tsentr/novosti/740-skolko-nefti-v-kazakhstane</w:t>
      </w:r>
    </w:p>
    <w:p w14:paraId="18C8DBA1" w14:textId="77777777" w:rsidR="008064C4" w:rsidRPr="00FF4CD3" w:rsidRDefault="008064C4" w:rsidP="008064C4">
      <w:pPr>
        <w:pStyle w:val="ac"/>
        <w:jc w:val="left"/>
        <w:rPr>
          <w:rFonts w:eastAsiaTheme="minorHAnsi"/>
          <w:kern w:val="2"/>
          <w14:ligatures w14:val="standardContextual"/>
        </w:rPr>
      </w:pPr>
    </w:p>
  </w:footnote>
  <w:footnote w:id="15">
    <w:p w14:paraId="27F267CE" w14:textId="77777777" w:rsidR="007A1A19" w:rsidRPr="007F01FC" w:rsidRDefault="007A1A19" w:rsidP="007A1A19">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Pr>
          <w:rFonts w:eastAsiaTheme="minorHAnsi"/>
          <w:kern w:val="2"/>
          <w:vertAlign w:val="superscript"/>
          <w14:ligatures w14:val="standardContextual"/>
        </w:rPr>
        <w:t xml:space="preserve"> </w:t>
      </w:r>
      <w:r>
        <w:rPr>
          <w:rFonts w:eastAsiaTheme="minorHAnsi"/>
          <w:kern w:val="2"/>
          <w14:ligatures w14:val="standardContextual"/>
        </w:rPr>
        <w:t xml:space="preserve">See the same article </w:t>
      </w:r>
      <w:r w:rsidRPr="000729A1">
        <w:rPr>
          <w:rFonts w:eastAsiaTheme="minorHAnsi"/>
          <w:kern w:val="2"/>
          <w14:ligatures w14:val="standardContextual"/>
        </w:rPr>
        <w:t>KIOGE, how much oil is there in Kazakhstan?</w:t>
      </w:r>
    </w:p>
    <w:p w14:paraId="1985234E" w14:textId="77777777" w:rsidR="007A1A19" w:rsidRPr="005D0D20" w:rsidRDefault="007A1A19" w:rsidP="007A1A19">
      <w:pPr>
        <w:pStyle w:val="ac"/>
        <w:jc w:val="left"/>
        <w:rPr>
          <w:rFonts w:eastAsiaTheme="minorHAnsi"/>
          <w:kern w:val="2"/>
          <w14:ligatures w14:val="standardContextual"/>
        </w:rPr>
      </w:pPr>
    </w:p>
  </w:footnote>
  <w:footnote w:id="16">
    <w:p w14:paraId="69E8A2C9" w14:textId="77777777" w:rsidR="006628D4" w:rsidRPr="007F01FC" w:rsidRDefault="006628D4" w:rsidP="006628D4">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Pr>
          <w:rFonts w:eastAsiaTheme="minorHAnsi"/>
          <w:kern w:val="2"/>
          <w14:ligatures w14:val="standardContextual"/>
        </w:rPr>
        <w:t xml:space="preserve">See the article </w:t>
      </w:r>
      <w:hyperlink r:id="rId3" w:history="1">
        <w:r w:rsidRPr="00B26702">
          <w:rPr>
            <w:rStyle w:val="af0"/>
            <w:rFonts w:eastAsiaTheme="minorHAnsi"/>
            <w:kern w:val="2"/>
            <w14:ligatures w14:val="standardContextual"/>
          </w:rPr>
          <w:t>https://en.wikipedia.org</w:t>
        </w:r>
      </w:hyperlink>
    </w:p>
    <w:p w14:paraId="1CB9F6C0" w14:textId="77777777" w:rsidR="006628D4" w:rsidRPr="00FF4CD3" w:rsidRDefault="006628D4" w:rsidP="006628D4">
      <w:pPr>
        <w:pStyle w:val="ac"/>
        <w:jc w:val="left"/>
        <w:rPr>
          <w:rFonts w:eastAsiaTheme="minorHAnsi"/>
          <w:kern w:val="2"/>
          <w14:ligatures w14:val="standardContextual"/>
        </w:rPr>
      </w:pPr>
    </w:p>
  </w:footnote>
  <w:footnote w:id="17">
    <w:p w14:paraId="61D21BFE" w14:textId="77777777" w:rsidR="004D1ADB" w:rsidRPr="007F01FC" w:rsidRDefault="004D1ADB" w:rsidP="004D1ADB">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Pr>
          <w:rFonts w:eastAsiaTheme="minorHAnsi"/>
          <w:kern w:val="2"/>
          <w14:ligatures w14:val="standardContextual"/>
        </w:rPr>
        <w:t xml:space="preserve">See the article </w:t>
      </w:r>
      <w:r w:rsidRPr="001A791F">
        <w:t>https://ustr.gov/trade-agreements/wto-multilateral-affairs/wto-accessions/kazakhstan</w:t>
      </w:r>
    </w:p>
    <w:p w14:paraId="5488B8BD" w14:textId="77777777" w:rsidR="004D1ADB" w:rsidRPr="00FF4CD3" w:rsidRDefault="004D1ADB" w:rsidP="004D1ADB">
      <w:pPr>
        <w:pStyle w:val="ac"/>
        <w:jc w:val="left"/>
        <w:rPr>
          <w:rFonts w:eastAsiaTheme="minorHAnsi"/>
          <w:kern w:val="2"/>
          <w14:ligatures w14:val="standardContextual"/>
        </w:rPr>
      </w:pPr>
    </w:p>
  </w:footnote>
  <w:footnote w:id="18">
    <w:p w14:paraId="5CA26602" w14:textId="194CBB4F" w:rsidR="001E1DCE" w:rsidRPr="00FF4CD3" w:rsidRDefault="001E1DCE" w:rsidP="001E1DCE">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sidR="00BE42F2" w:rsidRPr="00BE42F2">
        <w:rPr>
          <w:rFonts w:eastAsiaTheme="minorHAnsi"/>
          <w:kern w:val="2"/>
          <w14:ligatures w14:val="standardContextual"/>
        </w:rPr>
        <w:t>International Monetary Fund, Kazakhstan and the IMF: Press Release No. 95/34, https://www.imf.org/en/News/Articles/2015/09/14/01/49/pr9534#:~:text=,0</w:t>
      </w:r>
    </w:p>
  </w:footnote>
  <w:footnote w:id="19">
    <w:p w14:paraId="467FBD3E" w14:textId="2FE603A5" w:rsidR="006B0304" w:rsidRPr="00FF4CD3" w:rsidRDefault="006B0304" w:rsidP="001E1DCE">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sidR="001E1DCE" w:rsidRPr="001E1DCE">
        <w:rPr>
          <w:rFonts w:eastAsiaTheme="minorHAnsi"/>
          <w:kern w:val="2"/>
          <w14:ligatures w14:val="standardContextual"/>
        </w:rPr>
        <w:t>Jamestown Foundation, IMF Visit to Kazakhstan, https://jamestown.org/program/imf-visit-to-kazakhstan/#:~:text=Since%20mid,economy%2030%20and%2050%20percent</w:t>
      </w:r>
    </w:p>
  </w:footnote>
  <w:footnote w:id="20">
    <w:p w14:paraId="4F86EBFA" w14:textId="77777777" w:rsidR="002900C1" w:rsidRPr="007F01FC" w:rsidRDefault="002900C1" w:rsidP="002900C1">
      <w:pPr>
        <w:pStyle w:val="ac"/>
        <w:rPr>
          <w:rFonts w:eastAsiaTheme="minorHAnsi"/>
          <w:kern w:val="2"/>
          <w14:ligatures w14:val="standardContextual"/>
        </w:rPr>
      </w:pPr>
      <w:r w:rsidRPr="004E28CF">
        <w:rPr>
          <w:rFonts w:eastAsiaTheme="minorHAnsi"/>
          <w:kern w:val="2"/>
          <w:vertAlign w:val="superscript"/>
          <w14:ligatures w14:val="standardContextual"/>
        </w:rPr>
        <w:footnoteRef/>
      </w:r>
      <w:r w:rsidRPr="004E28CF">
        <w:rPr>
          <w:rFonts w:eastAsiaTheme="minorHAnsi"/>
          <w:kern w:val="2"/>
          <w:vertAlign w:val="superscript"/>
          <w14:ligatures w14:val="standardContextual"/>
        </w:rPr>
        <w:t xml:space="preserve"> </w:t>
      </w:r>
      <w:r>
        <w:rPr>
          <w:rFonts w:eastAsiaTheme="minorHAnsi"/>
          <w:kern w:val="2"/>
          <w14:ligatures w14:val="standardContextual"/>
        </w:rPr>
        <w:t>David Hoelscher: “Banking System Restructuring in Kazakhstan”, 1998, pp.5-6</w:t>
      </w:r>
    </w:p>
    <w:p w14:paraId="0617B9B4" w14:textId="77777777" w:rsidR="002900C1" w:rsidRPr="00FF4CD3" w:rsidRDefault="002900C1" w:rsidP="002900C1">
      <w:pPr>
        <w:pStyle w:val="ac"/>
        <w:jc w:val="left"/>
        <w:rPr>
          <w:rFonts w:eastAsiaTheme="minorHAnsi"/>
          <w:kern w:val="2"/>
          <w14:ligatures w14:val="standardContextual"/>
        </w:rPr>
      </w:pPr>
    </w:p>
  </w:footnote>
  <w:footnote w:id="21">
    <w:p w14:paraId="1CDA5A9E" w14:textId="77777777" w:rsidR="001E1925" w:rsidRPr="00144AB5" w:rsidRDefault="001E1925" w:rsidP="001E1925">
      <w:pPr>
        <w:jc w:val="both"/>
        <w:rPr>
          <w:rFonts w:eastAsiaTheme="minorHAnsi"/>
          <w:i/>
          <w:kern w:val="2"/>
          <w:sz w:val="20"/>
          <w:szCs w:val="20"/>
          <w14:ligatures w14:val="standardContextual"/>
        </w:rPr>
      </w:pPr>
      <w:r w:rsidRPr="004E28CF">
        <w:rPr>
          <w:rFonts w:eastAsiaTheme="minorHAnsi"/>
          <w:kern w:val="2"/>
          <w:vertAlign w:val="superscript"/>
          <w14:ligatures w14:val="standardContextual"/>
        </w:rPr>
        <w:footnoteRef/>
      </w:r>
      <w:r w:rsidRPr="00144AB5">
        <w:rPr>
          <w:rFonts w:eastAsiaTheme="minorHAnsi"/>
          <w:kern w:val="2"/>
          <w:vertAlign w:val="superscript"/>
          <w14:ligatures w14:val="standardContextual"/>
        </w:rPr>
        <w:t xml:space="preserve"> </w:t>
      </w:r>
      <w:r w:rsidRPr="00144AB5">
        <w:rPr>
          <w:rFonts w:eastAsiaTheme="minorHAnsi"/>
          <w:kern w:val="2"/>
          <w14:ligatures w14:val="standardContextual"/>
        </w:rPr>
        <w:t xml:space="preserve"> </w:t>
      </w:r>
      <w:r w:rsidRPr="00144AB5">
        <w:rPr>
          <w:rFonts w:eastAsiaTheme="minorHAnsi"/>
          <w:kern w:val="2"/>
          <w:sz w:val="20"/>
          <w:szCs w:val="20"/>
          <w14:ligatures w14:val="standardContextual"/>
        </w:rPr>
        <w:t>Kalyuzhnova, Y. (2008). The Kazakhstani banking system: From boom to bust. Post-Communist Economies, pp., 327-342.</w:t>
      </w:r>
    </w:p>
  </w:footnote>
  <w:footnote w:id="22">
    <w:p w14:paraId="6AB32E4C" w14:textId="77777777" w:rsidR="001E1925" w:rsidRPr="00144AB5" w:rsidRDefault="001E1925" w:rsidP="001E1925">
      <w:pPr>
        <w:jc w:val="both"/>
        <w:rPr>
          <w:rFonts w:eastAsiaTheme="minorHAnsi"/>
          <w:kern w:val="2"/>
          <w:sz w:val="20"/>
          <w:szCs w:val="20"/>
          <w14:ligatures w14:val="standardContextual"/>
        </w:rPr>
      </w:pPr>
      <w:r w:rsidRPr="004E28CF">
        <w:rPr>
          <w:rFonts w:eastAsiaTheme="minorHAnsi"/>
          <w:kern w:val="2"/>
          <w:vertAlign w:val="superscript"/>
          <w14:ligatures w14:val="standardContextual"/>
        </w:rPr>
        <w:footnoteRef/>
      </w:r>
      <w:r w:rsidRPr="00144AB5">
        <w:rPr>
          <w:rFonts w:eastAsiaTheme="minorHAnsi"/>
          <w:kern w:val="2"/>
          <w:vertAlign w:val="superscript"/>
          <w14:ligatures w14:val="standardContextual"/>
        </w:rPr>
        <w:t xml:space="preserve"> </w:t>
      </w:r>
      <w:r w:rsidRPr="00144AB5">
        <w:rPr>
          <w:rFonts w:eastAsiaTheme="minorHAnsi"/>
          <w:kern w:val="2"/>
          <w14:ligatures w14:val="standardContextual"/>
        </w:rPr>
        <w:t xml:space="preserve"> </w:t>
      </w:r>
      <w:r w:rsidRPr="00144AB5">
        <w:rPr>
          <w:rFonts w:eastAsiaTheme="minorHAnsi"/>
          <w:kern w:val="2"/>
          <w:sz w:val="20"/>
          <w:szCs w:val="20"/>
          <w14:ligatures w14:val="standardContextual"/>
        </w:rPr>
        <w:t>A World Bank country study, Kazakhstan: the transition to a market economy, pp. 16</w:t>
      </w:r>
    </w:p>
  </w:footnote>
  <w:footnote w:id="23">
    <w:p w14:paraId="2CAF80F7" w14:textId="77777777" w:rsidR="001E1925" w:rsidRPr="00144AB5" w:rsidRDefault="001E1925" w:rsidP="001E1925">
      <w:pPr>
        <w:jc w:val="both"/>
        <w:rPr>
          <w:rFonts w:eastAsiaTheme="minorHAnsi"/>
          <w:kern w:val="2"/>
          <w:sz w:val="20"/>
          <w:szCs w:val="20"/>
          <w14:ligatures w14:val="standardContextual"/>
        </w:rPr>
      </w:pPr>
      <w:r w:rsidRPr="004E28CF">
        <w:rPr>
          <w:rFonts w:eastAsiaTheme="minorHAnsi"/>
          <w:kern w:val="2"/>
          <w:vertAlign w:val="superscript"/>
          <w14:ligatures w14:val="standardContextual"/>
        </w:rPr>
        <w:footnoteRef/>
      </w:r>
      <w:r w:rsidRPr="00144AB5">
        <w:rPr>
          <w:rFonts w:eastAsiaTheme="minorHAnsi"/>
          <w:kern w:val="2"/>
          <w:vertAlign w:val="superscript"/>
          <w14:ligatures w14:val="standardContextual"/>
        </w:rPr>
        <w:t xml:space="preserve"> </w:t>
      </w:r>
      <w:r w:rsidRPr="00144AB5">
        <w:rPr>
          <w:rFonts w:eastAsiaTheme="minorHAnsi"/>
          <w:kern w:val="2"/>
          <w14:ligatures w14:val="standardContextual"/>
        </w:rPr>
        <w:t xml:space="preserve"> </w:t>
      </w:r>
      <w:r w:rsidRPr="00144AB5">
        <w:rPr>
          <w:rFonts w:eastAsiaTheme="minorHAnsi"/>
          <w:kern w:val="2"/>
          <w:sz w:val="20"/>
          <w:szCs w:val="20"/>
          <w14:ligatures w14:val="standardContextual"/>
        </w:rPr>
        <w:t>International Monetary Fund. Republic of Kazakhstan: Recent Economic Developments. IMF Staff Country Report No. 98/84. Washington, pp. 12</w:t>
      </w:r>
    </w:p>
    <w:p w14:paraId="63F35C5E" w14:textId="77777777" w:rsidR="001E1925" w:rsidRPr="00FF4CD3" w:rsidRDefault="001E1925" w:rsidP="001E1925">
      <w:pPr>
        <w:pStyle w:val="ac"/>
        <w:rPr>
          <w:rFonts w:eastAsiaTheme="minorHAnsi"/>
          <w:kern w:val="2"/>
          <w14:ligatures w14:val="standardContextual"/>
        </w:rPr>
      </w:pPr>
    </w:p>
  </w:footnote>
  <w:footnote w:id="24">
    <w:p w14:paraId="5A3D404F" w14:textId="57EF687A" w:rsidR="003F3000" w:rsidRPr="00144AB5" w:rsidRDefault="003F3000" w:rsidP="00271CCB">
      <w:pPr>
        <w:jc w:val="both"/>
        <w:rPr>
          <w:rFonts w:eastAsiaTheme="minorHAnsi"/>
          <w:kern w:val="2"/>
          <w:sz w:val="20"/>
          <w:szCs w:val="20"/>
          <w14:ligatures w14:val="standardContextual"/>
        </w:rPr>
      </w:pPr>
      <w:r w:rsidRPr="004E28CF">
        <w:rPr>
          <w:rFonts w:eastAsiaTheme="minorHAnsi"/>
          <w:kern w:val="2"/>
          <w:vertAlign w:val="superscript"/>
          <w14:ligatures w14:val="standardContextual"/>
        </w:rPr>
        <w:footnoteRef/>
      </w:r>
      <w:r w:rsidRPr="00144AB5">
        <w:rPr>
          <w:rFonts w:eastAsiaTheme="minorHAnsi"/>
          <w:kern w:val="2"/>
          <w:vertAlign w:val="superscript"/>
          <w14:ligatures w14:val="standardContextual"/>
        </w:rPr>
        <w:t xml:space="preserve"> </w:t>
      </w:r>
      <w:r w:rsidRPr="00144AB5">
        <w:rPr>
          <w:rFonts w:eastAsiaTheme="minorHAnsi"/>
          <w:kern w:val="2"/>
          <w14:ligatures w14:val="standardContextual"/>
        </w:rPr>
        <w:t xml:space="preserve"> </w:t>
      </w:r>
      <w:r w:rsidRPr="00144AB5">
        <w:rPr>
          <w:rFonts w:eastAsiaTheme="minorHAnsi"/>
          <w:kern w:val="2"/>
          <w:sz w:val="20"/>
          <w:szCs w:val="20"/>
          <w14:ligatures w14:val="standardContextual"/>
        </w:rPr>
        <w:t xml:space="preserve">IMF Staff Country Report No. 98/84. Washington, Box 2, pp.18. </w:t>
      </w:r>
    </w:p>
  </w:footnote>
  <w:footnote w:id="25">
    <w:p w14:paraId="4813EE9C" w14:textId="6862FD90" w:rsidR="003F3000" w:rsidRPr="00144AB5" w:rsidRDefault="003F3000" w:rsidP="00396E79">
      <w:pPr>
        <w:jc w:val="both"/>
        <w:rPr>
          <w:rFonts w:eastAsiaTheme="minorHAnsi"/>
          <w:kern w:val="2"/>
          <w:sz w:val="20"/>
          <w:szCs w:val="20"/>
          <w14:ligatures w14:val="standardContextual"/>
        </w:rPr>
      </w:pPr>
      <w:r w:rsidRPr="004E28CF">
        <w:rPr>
          <w:rFonts w:eastAsiaTheme="minorHAnsi"/>
          <w:kern w:val="2"/>
          <w:vertAlign w:val="superscript"/>
          <w14:ligatures w14:val="standardContextual"/>
        </w:rPr>
        <w:footnoteRef/>
      </w:r>
      <w:r w:rsidRPr="00144AB5">
        <w:rPr>
          <w:rFonts w:eastAsiaTheme="minorHAnsi"/>
          <w:kern w:val="2"/>
          <w:vertAlign w:val="superscript"/>
          <w14:ligatures w14:val="standardContextual"/>
        </w:rPr>
        <w:t xml:space="preserve"> </w:t>
      </w:r>
      <w:r w:rsidRPr="00144AB5">
        <w:rPr>
          <w:rFonts w:eastAsiaTheme="minorHAnsi"/>
          <w:kern w:val="2"/>
          <w14:ligatures w14:val="standardContextual"/>
        </w:rPr>
        <w:t xml:space="preserve"> </w:t>
      </w:r>
      <w:r w:rsidR="0091433F" w:rsidRPr="00144AB5">
        <w:rPr>
          <w:rFonts w:eastAsiaTheme="minorHAnsi"/>
          <w:kern w:val="2"/>
          <w:sz w:val="20"/>
          <w:szCs w:val="20"/>
          <w14:ligatures w14:val="standardContextual"/>
        </w:rPr>
        <w:t xml:space="preserve">Ibidem, </w:t>
      </w:r>
      <w:r w:rsidRPr="00144AB5">
        <w:rPr>
          <w:rFonts w:eastAsiaTheme="minorHAnsi"/>
          <w:kern w:val="2"/>
          <w:sz w:val="20"/>
          <w:szCs w:val="20"/>
          <w14:ligatures w14:val="standardContextual"/>
        </w:rPr>
        <w:t>pp. 25–26, 39.</w:t>
      </w:r>
    </w:p>
  </w:footnote>
  <w:footnote w:id="26">
    <w:p w14:paraId="4C2924AA" w14:textId="6FF15106" w:rsidR="006B795F" w:rsidRPr="00144AB5" w:rsidRDefault="006B795F" w:rsidP="006B795F">
      <w:pPr>
        <w:jc w:val="both"/>
        <w:rPr>
          <w:rFonts w:eastAsiaTheme="minorHAnsi"/>
          <w:kern w:val="2"/>
          <w:sz w:val="20"/>
          <w:szCs w:val="20"/>
          <w14:ligatures w14:val="standardContextual"/>
        </w:rPr>
      </w:pPr>
      <w:r w:rsidRPr="004E28CF">
        <w:rPr>
          <w:rFonts w:eastAsiaTheme="minorHAnsi"/>
          <w:kern w:val="2"/>
          <w:vertAlign w:val="superscript"/>
          <w14:ligatures w14:val="standardContextual"/>
        </w:rPr>
        <w:footnoteRef/>
      </w:r>
      <w:r w:rsidR="00CC2FAC" w:rsidRPr="00144AB5">
        <w:rPr>
          <w:rFonts w:eastAsiaTheme="minorHAnsi"/>
          <w:kern w:val="2"/>
          <w:vertAlign w:val="superscript"/>
          <w14:ligatures w14:val="standardContextual"/>
        </w:rPr>
        <w:t xml:space="preserve"> </w:t>
      </w:r>
      <w:r w:rsidR="001B5E72" w:rsidRPr="00144AB5">
        <w:rPr>
          <w:rFonts w:eastAsiaTheme="minorHAnsi"/>
          <w:kern w:val="2"/>
          <w:vertAlign w:val="superscript"/>
          <w14:ligatures w14:val="standardContextual"/>
        </w:rPr>
        <w:t xml:space="preserve"> </w:t>
      </w:r>
      <w:r w:rsidRPr="00144AB5">
        <w:rPr>
          <w:sz w:val="20"/>
          <w:szCs w:val="20"/>
          <w:lang w:eastAsia="en-US"/>
        </w:rPr>
        <w:t>Michael Kaser, Stabilization and Reform: Experience of Five Central Asian Republics, 1998, pp. 15-16</w:t>
      </w:r>
      <w:r w:rsidRPr="00144AB5">
        <w:rPr>
          <w:rFonts w:eastAsiaTheme="minorHAnsi"/>
          <w:kern w:val="2"/>
          <w14:ligatures w14:val="standardContextual"/>
        </w:rPr>
        <w:t xml:space="preserve"> </w:t>
      </w:r>
    </w:p>
    <w:p w14:paraId="61706C3E" w14:textId="77777777" w:rsidR="006B795F" w:rsidRPr="00FF4CD3" w:rsidRDefault="006B795F" w:rsidP="006B795F">
      <w:pPr>
        <w:pStyle w:val="ac"/>
        <w:rPr>
          <w:rFonts w:eastAsiaTheme="minorHAnsi"/>
          <w:kern w:val="2"/>
          <w14:ligatures w14:val="standardContextual"/>
        </w:rPr>
      </w:pPr>
    </w:p>
  </w:footnote>
  <w:footnote w:id="27">
    <w:p w14:paraId="190BEF4D" w14:textId="77777777" w:rsidR="00DE2BFC" w:rsidRPr="00144AB5" w:rsidRDefault="00DE2BFC" w:rsidP="00DE2BFC">
      <w:pPr>
        <w:jc w:val="both"/>
        <w:rPr>
          <w:sz w:val="20"/>
          <w:szCs w:val="20"/>
          <w:lang w:eastAsia="en-US"/>
        </w:rPr>
      </w:pPr>
      <w:r w:rsidRPr="004E28CF">
        <w:rPr>
          <w:rFonts w:eastAsiaTheme="minorHAnsi"/>
          <w:kern w:val="2"/>
          <w:vertAlign w:val="superscript"/>
          <w14:ligatures w14:val="standardContextual"/>
        </w:rPr>
        <w:footnoteRef/>
      </w:r>
      <w:r w:rsidRPr="00144AB5">
        <w:rPr>
          <w:rFonts w:eastAsiaTheme="minorHAnsi"/>
          <w:kern w:val="2"/>
          <w:vertAlign w:val="superscript"/>
          <w14:ligatures w14:val="standardContextual"/>
        </w:rPr>
        <w:t xml:space="preserve"> </w:t>
      </w:r>
      <w:r w:rsidRPr="00144AB5">
        <w:rPr>
          <w:sz w:val="20"/>
          <w:szCs w:val="20"/>
          <w:lang w:eastAsia="en-US"/>
        </w:rPr>
        <w:t xml:space="preserve">See </w:t>
      </w:r>
      <w:r w:rsidRPr="00144AB5">
        <w:rPr>
          <w:sz w:val="20"/>
          <w:szCs w:val="20"/>
          <w:lang w:eastAsia="en-US"/>
        </w:rPr>
        <w:t>DKNews, 2003: A shift toward diversification, https://dknews.kz/ru/chitayte-v-nomere-dk/202813-2003-god-vektor-na-diversifikaciyu</w:t>
      </w:r>
    </w:p>
  </w:footnote>
  <w:footnote w:id="28">
    <w:p w14:paraId="11338451" w14:textId="77777777" w:rsidR="007E4AD5" w:rsidRPr="00144AB5" w:rsidRDefault="007E4AD5" w:rsidP="007E4AD5">
      <w:pPr>
        <w:jc w:val="both"/>
        <w:rPr>
          <w:sz w:val="20"/>
          <w:szCs w:val="20"/>
          <w:lang w:eastAsia="en-US"/>
        </w:rPr>
      </w:pPr>
      <w:r w:rsidRPr="0056024F">
        <w:rPr>
          <w:rFonts w:eastAsiaTheme="minorHAnsi"/>
          <w:kern w:val="2"/>
          <w:vertAlign w:val="superscript"/>
          <w14:ligatures w14:val="standardContextual"/>
        </w:rPr>
        <w:footnoteRef/>
      </w:r>
      <w:r w:rsidRPr="00144AB5">
        <w:rPr>
          <w:rFonts w:eastAsiaTheme="minorHAnsi"/>
          <w:kern w:val="2"/>
          <w:vertAlign w:val="superscript"/>
          <w14:ligatures w14:val="standardContextual"/>
        </w:rPr>
        <w:t xml:space="preserve"> </w:t>
      </w:r>
      <w:r w:rsidRPr="00144AB5">
        <w:rPr>
          <w:sz w:val="20"/>
          <w:szCs w:val="20"/>
          <w:lang w:eastAsia="en-US"/>
        </w:rPr>
        <w:t>See eGov.kz – Official e-Government Portal of the Republic of Kazakhstan, https://egov.kz/wps/portal/!ut/p/b0/04_Sj9CPykssy0xPLMnMz0vMAfIjc7PyChKtUvKTS3NT80r0w_Wj9KNgPM8U_cgAS0sDILA0NIwHSeUk5qWXJqan6kcWleoX5OZalDsqKgIAtQBtDA!!/</w:t>
      </w:r>
    </w:p>
    <w:p w14:paraId="0067C30A" w14:textId="77777777" w:rsidR="007E4AD5" w:rsidRPr="00CC2FAC" w:rsidRDefault="007E4AD5" w:rsidP="007E4AD5">
      <w:pPr>
        <w:pStyle w:val="ac"/>
        <w:rPr>
          <w:lang w:eastAsia="en-US"/>
        </w:rPr>
      </w:pPr>
    </w:p>
  </w:footnote>
  <w:footnote w:id="29">
    <w:p w14:paraId="45A007C5" w14:textId="77777777" w:rsidR="008B3629" w:rsidRPr="00CC2FAC" w:rsidRDefault="008B3629" w:rsidP="008B3629">
      <w:pPr>
        <w:jc w:val="both"/>
        <w:rPr>
          <w:lang w:eastAsia="en-US"/>
        </w:rPr>
      </w:pPr>
      <w:r w:rsidRPr="0056024F">
        <w:rPr>
          <w:rFonts w:eastAsiaTheme="minorHAnsi"/>
          <w:kern w:val="2"/>
          <w:vertAlign w:val="superscript"/>
          <w14:ligatures w14:val="standardContextual"/>
        </w:rPr>
        <w:footnoteRef/>
      </w:r>
      <w:r>
        <w:rPr>
          <w:rFonts w:eastAsiaTheme="minorHAnsi"/>
          <w:kern w:val="2"/>
          <w:vertAlign w:val="superscript"/>
          <w14:ligatures w14:val="standardContextual"/>
        </w:rPr>
        <w:t xml:space="preserve"> </w:t>
      </w:r>
      <w:r w:rsidRPr="003A3BE3">
        <w:rPr>
          <w:sz w:val="20"/>
          <w:szCs w:val="20"/>
          <w:lang w:eastAsia="en-US"/>
        </w:rPr>
        <w:t>Republic of Kazakhstan. Nazarbayev, Nursultan A. 2006. Message of the President of the Republic of Kazakhstan N. Nazarbayev (March 2006)</w:t>
      </w:r>
      <w:r>
        <w:rPr>
          <w:sz w:val="20"/>
          <w:szCs w:val="20"/>
          <w:lang w:eastAsia="en-US"/>
        </w:rPr>
        <w:t xml:space="preserve">,  </w:t>
      </w:r>
      <w:hyperlink r:id="rId4" w:history="1">
        <w:r w:rsidRPr="00CC24C7">
          <w:rPr>
            <w:rStyle w:val="af0"/>
            <w:sz w:val="20"/>
            <w:szCs w:val="20"/>
            <w:lang w:eastAsia="en-US"/>
          </w:rPr>
          <w:t>https://www.akorda.kz/</w:t>
        </w:r>
      </w:hyperlink>
    </w:p>
  </w:footnote>
  <w:footnote w:id="30">
    <w:p w14:paraId="7063AC21" w14:textId="1A097FF6" w:rsidR="0029027C" w:rsidRPr="00F73E0D" w:rsidRDefault="0029027C" w:rsidP="0029027C">
      <w:pPr>
        <w:jc w:val="both"/>
        <w:rPr>
          <w:sz w:val="20"/>
          <w:szCs w:val="20"/>
          <w:lang w:eastAsia="en-US"/>
        </w:rPr>
      </w:pPr>
      <w:r w:rsidRPr="0056024F">
        <w:rPr>
          <w:rFonts w:eastAsiaTheme="minorHAnsi"/>
          <w:kern w:val="2"/>
          <w:vertAlign w:val="superscript"/>
          <w14:ligatures w14:val="standardContextual"/>
        </w:rPr>
        <w:footnoteRef/>
      </w:r>
      <w:r>
        <w:rPr>
          <w:rFonts w:eastAsiaTheme="minorHAnsi"/>
          <w:kern w:val="2"/>
          <w:vertAlign w:val="superscript"/>
          <w14:ligatures w14:val="standardContextual"/>
        </w:rPr>
        <w:t xml:space="preserve"> </w:t>
      </w:r>
      <w:r w:rsidR="00377FE7" w:rsidRPr="00F73E0D">
        <w:rPr>
          <w:sz w:val="20"/>
          <w:szCs w:val="20"/>
          <w:lang w:eastAsia="en-US"/>
        </w:rPr>
        <w:t>Yuneman, R.A.</w:t>
      </w:r>
      <w:r w:rsidR="00377FE7" w:rsidRPr="00377FE7">
        <w:rPr>
          <w:sz w:val="20"/>
          <w:szCs w:val="20"/>
          <w:lang w:eastAsia="en-US"/>
        </w:rPr>
        <w:t> (2023). Kazakhstan’s Multi-Vector Foreign Policy. </w:t>
      </w:r>
      <w:r w:rsidR="00377FE7" w:rsidRPr="00F73E0D">
        <w:rPr>
          <w:sz w:val="20"/>
          <w:szCs w:val="20"/>
          <w:lang w:eastAsia="en-US"/>
        </w:rPr>
        <w:t>Russia in Global Affairs, 21</w:t>
      </w:r>
      <w:r w:rsidR="00377FE7" w:rsidRPr="00377FE7">
        <w:rPr>
          <w:sz w:val="20"/>
          <w:szCs w:val="20"/>
          <w:lang w:eastAsia="en-US"/>
        </w:rPr>
        <w:t xml:space="preserve">(2), </w:t>
      </w:r>
      <w:r w:rsidR="00377FE7">
        <w:rPr>
          <w:sz w:val="20"/>
          <w:szCs w:val="20"/>
          <w:lang w:eastAsia="en-US"/>
        </w:rPr>
        <w:t>p</w:t>
      </w:r>
      <w:r w:rsidR="00BB375B" w:rsidRPr="00F73E0D">
        <w:rPr>
          <w:sz w:val="20"/>
          <w:szCs w:val="20"/>
          <w:lang w:eastAsia="en-US"/>
        </w:rPr>
        <w:t xml:space="preserve">. 142. </w:t>
      </w:r>
    </w:p>
  </w:footnote>
  <w:footnote w:id="31">
    <w:p w14:paraId="37B2672B" w14:textId="517A3780" w:rsidR="00EF266F" w:rsidRPr="00F73E0D" w:rsidRDefault="00EF266F" w:rsidP="00EF266F">
      <w:pPr>
        <w:jc w:val="both"/>
        <w:rPr>
          <w:sz w:val="20"/>
          <w:szCs w:val="20"/>
          <w:lang w:eastAsia="en-US"/>
        </w:rPr>
      </w:pPr>
      <w:r w:rsidRPr="00F73E0D">
        <w:rPr>
          <w:sz w:val="20"/>
          <w:szCs w:val="20"/>
          <w:lang w:eastAsia="en-US"/>
        </w:rPr>
        <w:footnoteRef/>
      </w:r>
      <w:r w:rsidRPr="00F73E0D">
        <w:rPr>
          <w:sz w:val="20"/>
          <w:szCs w:val="20"/>
          <w:lang w:eastAsia="en-US"/>
        </w:rPr>
        <w:t xml:space="preserve"> </w:t>
      </w:r>
      <w:r w:rsidR="003C3770" w:rsidRPr="003C3770">
        <w:rPr>
          <w:sz w:val="20"/>
          <w:szCs w:val="20"/>
          <w:lang w:eastAsia="en-US"/>
        </w:rPr>
        <w:t>Aiman ​​Zhussupova</w:t>
      </w:r>
      <w:r w:rsidR="003C3770">
        <w:rPr>
          <w:sz w:val="20"/>
          <w:szCs w:val="20"/>
          <w:lang w:eastAsia="en-US"/>
        </w:rPr>
        <w:t xml:space="preserve">, </w:t>
      </w:r>
      <w:r w:rsidR="000132CB" w:rsidRPr="000132CB">
        <w:rPr>
          <w:sz w:val="20"/>
          <w:szCs w:val="20"/>
          <w:lang w:eastAsia="en-US"/>
        </w:rPr>
        <w:t>(2021, March 3). Peace through engagement: The multi-vector direction of Kazakhstan’s foreign policy. The Astana Times</w:t>
      </w:r>
      <w:r w:rsidR="000132CB">
        <w:rPr>
          <w:sz w:val="20"/>
          <w:szCs w:val="20"/>
          <w:lang w:eastAsia="en-US"/>
        </w:rPr>
        <w:t xml:space="preserve">; </w:t>
      </w:r>
      <w:hyperlink r:id="rId5" w:history="1">
        <w:r w:rsidR="000132CB" w:rsidRPr="00F15279">
          <w:rPr>
            <w:sz w:val="20"/>
            <w:szCs w:val="20"/>
          </w:rPr>
          <w:t>Astana times</w:t>
        </w:r>
      </w:hyperlink>
    </w:p>
  </w:footnote>
  <w:footnote w:id="32">
    <w:p w14:paraId="7AE216A9" w14:textId="3F478DA9" w:rsidR="009A46A7" w:rsidRPr="000132CB" w:rsidRDefault="009A46A7" w:rsidP="009A46A7">
      <w:pPr>
        <w:jc w:val="both"/>
        <w:rPr>
          <w:lang w:eastAsia="en-US"/>
        </w:rPr>
      </w:pPr>
      <w:r w:rsidRPr="00F73E0D">
        <w:rPr>
          <w:sz w:val="20"/>
          <w:szCs w:val="20"/>
          <w:lang w:eastAsia="en-US"/>
        </w:rPr>
        <w:footnoteRef/>
      </w:r>
      <w:r w:rsidRPr="00F73E0D">
        <w:rPr>
          <w:sz w:val="20"/>
          <w:szCs w:val="20"/>
          <w:lang w:eastAsia="en-US"/>
        </w:rPr>
        <w:t xml:space="preserve"> </w:t>
      </w:r>
      <w:r w:rsidR="00DC3F5B" w:rsidRPr="00DC3F5B">
        <w:rPr>
          <w:sz w:val="20"/>
          <w:szCs w:val="20"/>
          <w:lang w:eastAsia="en-US"/>
        </w:rPr>
        <w:t>Jacques Chirac, quoted in: “Strategy for the Establishment and Development of Kazakhstan as a Sovereign State,” Inform.kz, December 16, 2016, https://www.inform.kz/ru/strategiya-stanovleniya-i-razvitiya-kazahstana-kak-suverennogo-gosudarstva-vernyy-kurs-zadannyy-prezidentom-n-nazarbaevym_a2299544.</w:t>
      </w:r>
    </w:p>
  </w:footnote>
  <w:footnote w:id="33">
    <w:p w14:paraId="52D259B4" w14:textId="78C25CBD" w:rsidR="008D2534" w:rsidRPr="000132CB" w:rsidRDefault="008D2534" w:rsidP="008D2534">
      <w:pPr>
        <w:jc w:val="both"/>
        <w:rPr>
          <w:lang w:eastAsia="en-US"/>
        </w:rPr>
      </w:pPr>
      <w:r w:rsidRPr="0056024F">
        <w:rPr>
          <w:rFonts w:eastAsiaTheme="minorHAnsi"/>
          <w:kern w:val="2"/>
          <w:vertAlign w:val="superscript"/>
          <w14:ligatures w14:val="standardContextual"/>
        </w:rPr>
        <w:footnoteRef/>
      </w:r>
      <w:r w:rsidR="00F73E0D" w:rsidRPr="00F73E0D">
        <w:rPr>
          <w:rFonts w:eastAsiaTheme="minorHAnsi"/>
          <w:kern w:val="2"/>
          <w:vertAlign w:val="superscript"/>
          <w14:ligatures w14:val="standardContextual"/>
        </w:rPr>
        <w:t xml:space="preserve"> </w:t>
      </w:r>
      <w:r w:rsidR="00F73E0D" w:rsidRPr="00F73E0D">
        <w:rPr>
          <w:sz w:val="20"/>
          <w:szCs w:val="20"/>
          <w:lang w:eastAsia="en-US"/>
        </w:rPr>
        <w:t>Decree of the President of the Republic of Kazakhstan "On the Foreign Policy Concept of the Republic of Kazakhstan for 2020-2030", Akorda, 2020, paragraph 2.1, https://www.akorda.kz/ru/legal_acts/decrees/o-koncepciii-vneshnei-politiki-respubliki-kazahstan-na-2020-2030-gody.</w:t>
      </w:r>
    </w:p>
  </w:footnote>
  <w:footnote w:id="34">
    <w:p w14:paraId="611B3C7F" w14:textId="6E53A116" w:rsidR="00395D53" w:rsidRPr="000132CB" w:rsidRDefault="00395D53" w:rsidP="00395D53">
      <w:pPr>
        <w:jc w:val="both"/>
        <w:rPr>
          <w:lang w:eastAsia="en-US"/>
        </w:rPr>
      </w:pPr>
      <w:r w:rsidRPr="0056024F">
        <w:rPr>
          <w:rFonts w:eastAsiaTheme="minorHAnsi"/>
          <w:kern w:val="2"/>
          <w:vertAlign w:val="superscript"/>
          <w14:ligatures w14:val="standardContextual"/>
        </w:rPr>
        <w:footnoteRef/>
      </w:r>
      <w:r w:rsidRPr="00F73E0D">
        <w:rPr>
          <w:rFonts w:eastAsiaTheme="minorHAnsi"/>
          <w:kern w:val="2"/>
          <w:vertAlign w:val="superscript"/>
          <w14:ligatures w14:val="standardContextual"/>
        </w:rPr>
        <w:t xml:space="preserve"> </w:t>
      </w:r>
      <w:r w:rsidR="00BE0DAA" w:rsidRPr="00BE0DAA">
        <w:rPr>
          <w:sz w:val="20"/>
          <w:szCs w:val="20"/>
          <w:lang w:eastAsia="en-US"/>
        </w:rPr>
        <w:t>Aidos Arystanbekov et al. Kazakhstan as a Mediator in Russia–Ukraine Relations. Washington: The Silk Road Studies Institute, 2023, pp. 9–10. https://www.silkroadstudies.org/resources/Kazakhstan-mediation-Final.pdf</w:t>
      </w:r>
    </w:p>
  </w:footnote>
  <w:footnote w:id="35">
    <w:p w14:paraId="572A9121" w14:textId="3AEBFD74" w:rsidR="008631CD" w:rsidRPr="00F75B90" w:rsidRDefault="008631CD" w:rsidP="008631CD">
      <w:pPr>
        <w:jc w:val="both"/>
        <w:rPr>
          <w:sz w:val="20"/>
          <w:szCs w:val="20"/>
          <w:lang w:eastAsia="en-US"/>
        </w:rPr>
      </w:pPr>
      <w:r w:rsidRPr="0056024F">
        <w:rPr>
          <w:rFonts w:eastAsiaTheme="minorHAnsi"/>
          <w:kern w:val="2"/>
          <w:vertAlign w:val="superscript"/>
          <w14:ligatures w14:val="standardContextual"/>
        </w:rPr>
        <w:footnoteRef/>
      </w:r>
      <w:r w:rsidRPr="00F73E0D">
        <w:rPr>
          <w:rFonts w:eastAsiaTheme="minorHAnsi"/>
          <w:kern w:val="2"/>
          <w:vertAlign w:val="superscript"/>
          <w14:ligatures w14:val="standardContextual"/>
        </w:rPr>
        <w:t xml:space="preserve"> </w:t>
      </w:r>
      <w:r w:rsidRPr="008631CD">
        <w:rPr>
          <w:rFonts w:eastAsiaTheme="minorHAnsi"/>
          <w:kern w:val="2"/>
          <w:vertAlign w:val="superscript"/>
          <w14:ligatures w14:val="standardContextual"/>
        </w:rPr>
        <w:t xml:space="preserve"> </w:t>
      </w:r>
      <w:r>
        <w:rPr>
          <w:sz w:val="20"/>
          <w:szCs w:val="20"/>
          <w:lang w:eastAsia="en-US"/>
        </w:rPr>
        <w:t>Nur</w:t>
      </w:r>
      <w:r w:rsidRPr="008631CD">
        <w:rPr>
          <w:sz w:val="20"/>
          <w:szCs w:val="20"/>
          <w:lang w:eastAsia="en-US"/>
        </w:rPr>
        <w:t>sultan Nazarbayev, Era of independence</w:t>
      </w:r>
      <w:r>
        <w:rPr>
          <w:sz w:val="20"/>
          <w:szCs w:val="20"/>
          <w:lang w:eastAsia="en-US"/>
        </w:rPr>
        <w:t xml:space="preserve">, </w:t>
      </w:r>
      <w:r w:rsidRPr="008631CD">
        <w:rPr>
          <w:sz w:val="20"/>
          <w:szCs w:val="20"/>
          <w:lang w:eastAsia="en-US"/>
        </w:rPr>
        <w:t>(Astana: B. I., 2017), pp. 168–75</w:t>
      </w:r>
      <w:r>
        <w:rPr>
          <w:sz w:val="20"/>
          <w:szCs w:val="20"/>
          <w:lang w:eastAsia="en-US"/>
        </w:rPr>
        <w:t>.</w:t>
      </w:r>
    </w:p>
  </w:footnote>
  <w:footnote w:id="36">
    <w:p w14:paraId="0D9C0885" w14:textId="5666549D" w:rsidR="004A4894" w:rsidRPr="00F75B90" w:rsidRDefault="004A4894" w:rsidP="004A4894">
      <w:pPr>
        <w:jc w:val="both"/>
        <w:rPr>
          <w:sz w:val="20"/>
          <w:szCs w:val="20"/>
          <w:lang w:eastAsia="en-US"/>
        </w:rPr>
      </w:pPr>
      <w:r w:rsidRPr="0056024F">
        <w:rPr>
          <w:rFonts w:eastAsiaTheme="minorHAnsi"/>
          <w:kern w:val="2"/>
          <w:vertAlign w:val="superscript"/>
          <w14:ligatures w14:val="standardContextual"/>
        </w:rPr>
        <w:footnoteRef/>
      </w:r>
      <w:r w:rsidRPr="00F73E0D">
        <w:rPr>
          <w:rFonts w:eastAsiaTheme="minorHAnsi"/>
          <w:kern w:val="2"/>
          <w:vertAlign w:val="superscript"/>
          <w14:ligatures w14:val="standardContextual"/>
        </w:rPr>
        <w:t xml:space="preserve"> </w:t>
      </w:r>
      <w:r w:rsidRPr="008631CD">
        <w:rPr>
          <w:rFonts w:eastAsiaTheme="minorHAnsi"/>
          <w:kern w:val="2"/>
          <w:vertAlign w:val="superscript"/>
          <w14:ligatures w14:val="standardContextual"/>
        </w:rPr>
        <w:t xml:space="preserve"> </w:t>
      </w:r>
      <w:r w:rsidR="00A67E0B" w:rsidRPr="00A67E0B">
        <w:rPr>
          <w:sz w:val="20"/>
          <w:szCs w:val="20"/>
          <w:lang w:eastAsia="en-US"/>
        </w:rPr>
        <w:t>European Commission, Kazakhstan – EU Trade Relations, Directorate-General for Trade, https://policy.trade.ec.europa.eu/eu-trade-relationships-country-and-region/countries-and-regions/kazakhstan_en.</w:t>
      </w:r>
      <w:r w:rsidR="00810959" w:rsidRPr="00810959">
        <w:rPr>
          <w:sz w:val="20"/>
          <w:szCs w:val="20"/>
          <w:lang w:eastAsia="en-US"/>
        </w:rPr>
        <w:t xml:space="preserve"> </w:t>
      </w:r>
    </w:p>
  </w:footnote>
  <w:footnote w:id="37">
    <w:p w14:paraId="18319D12" w14:textId="77777777" w:rsidR="00DA6F55" w:rsidRPr="001E248B" w:rsidRDefault="00DA6F55" w:rsidP="00DA6F55">
      <w:pPr>
        <w:jc w:val="both"/>
        <w:rPr>
          <w:lang w:eastAsia="en-US"/>
        </w:rPr>
      </w:pPr>
      <w:r w:rsidRPr="0056024F">
        <w:rPr>
          <w:rFonts w:eastAsiaTheme="minorHAnsi"/>
          <w:kern w:val="2"/>
          <w:vertAlign w:val="superscript"/>
          <w14:ligatures w14:val="standardContextual"/>
        </w:rPr>
        <w:footnoteRef/>
      </w:r>
      <w:r w:rsidRPr="00F73E0D">
        <w:rPr>
          <w:rFonts w:eastAsiaTheme="minorHAnsi"/>
          <w:kern w:val="2"/>
          <w:vertAlign w:val="superscript"/>
          <w14:ligatures w14:val="standardContextual"/>
        </w:rPr>
        <w:t xml:space="preserve"> </w:t>
      </w:r>
      <w:r w:rsidRPr="008631CD">
        <w:rPr>
          <w:rFonts w:eastAsiaTheme="minorHAnsi"/>
          <w:kern w:val="2"/>
          <w:vertAlign w:val="superscript"/>
          <w14:ligatures w14:val="standardContextual"/>
        </w:rPr>
        <w:t xml:space="preserve"> </w:t>
      </w:r>
      <w:r w:rsidRPr="007F3AEE">
        <w:rPr>
          <w:sz w:val="20"/>
          <w:szCs w:val="20"/>
          <w:lang w:eastAsia="en-US"/>
        </w:rPr>
        <w:t>Assel Satubaldina, “Kazakhstan, EU Mark 31 Years of Bilateral Ties, Looking Optimistic into Future,” The Astana Times, February 1, 2024, https://astanatimes.com/2024/02/kazakhstan-eu-mark-31-years-of-bilateral-ties-looking-optimistic-into-future/.</w:t>
      </w:r>
    </w:p>
  </w:footnote>
  <w:footnote w:id="38">
    <w:p w14:paraId="4C6AF7BC" w14:textId="77777777" w:rsidR="000C44C6" w:rsidRPr="001E248B" w:rsidRDefault="000C44C6" w:rsidP="000C44C6">
      <w:pPr>
        <w:jc w:val="both"/>
        <w:rPr>
          <w:lang w:eastAsia="en-US"/>
        </w:rPr>
      </w:pPr>
      <w:r w:rsidRPr="0056024F">
        <w:rPr>
          <w:rFonts w:eastAsiaTheme="minorHAnsi"/>
          <w:kern w:val="2"/>
          <w:vertAlign w:val="superscript"/>
          <w14:ligatures w14:val="standardContextual"/>
        </w:rPr>
        <w:footnoteRef/>
      </w:r>
      <w:r w:rsidRPr="00F73E0D">
        <w:rPr>
          <w:rFonts w:eastAsiaTheme="minorHAnsi"/>
          <w:kern w:val="2"/>
          <w:vertAlign w:val="superscript"/>
          <w14:ligatures w14:val="standardContextual"/>
        </w:rPr>
        <w:t xml:space="preserve"> </w:t>
      </w:r>
      <w:r w:rsidRPr="008631CD">
        <w:rPr>
          <w:rFonts w:eastAsiaTheme="minorHAnsi"/>
          <w:kern w:val="2"/>
          <w:vertAlign w:val="superscript"/>
          <w14:ligatures w14:val="standardContextual"/>
        </w:rPr>
        <w:t xml:space="preserve"> </w:t>
      </w:r>
      <w:r w:rsidRPr="00A21B99">
        <w:rPr>
          <w:sz w:val="20"/>
          <w:szCs w:val="20"/>
          <w:lang w:eastAsia="en-US"/>
        </w:rPr>
        <w:t>International trade in goods // Eurostat. URL: https://ec.europa.eu/eurostat/statistics-explained/index.php?title=International_trade_in_goods</w:t>
      </w:r>
    </w:p>
  </w:footnote>
  <w:footnote w:id="39">
    <w:p w14:paraId="1357AC8B" w14:textId="6953A92A" w:rsidR="00050B71" w:rsidRPr="001E248B" w:rsidRDefault="00050B71" w:rsidP="00050B71">
      <w:pPr>
        <w:jc w:val="both"/>
        <w:rPr>
          <w:lang w:eastAsia="en-US"/>
        </w:rPr>
      </w:pPr>
      <w:r w:rsidRPr="0056024F">
        <w:rPr>
          <w:rFonts w:eastAsiaTheme="minorHAnsi"/>
          <w:kern w:val="2"/>
          <w:vertAlign w:val="superscript"/>
          <w14:ligatures w14:val="standardContextual"/>
        </w:rPr>
        <w:footnoteRef/>
      </w:r>
      <w:r w:rsidRPr="00F73E0D">
        <w:rPr>
          <w:rFonts w:eastAsiaTheme="minorHAnsi"/>
          <w:kern w:val="2"/>
          <w:vertAlign w:val="superscript"/>
          <w14:ligatures w14:val="standardContextual"/>
        </w:rPr>
        <w:t xml:space="preserve"> </w:t>
      </w:r>
      <w:r w:rsidRPr="008631CD">
        <w:rPr>
          <w:rFonts w:eastAsiaTheme="minorHAnsi"/>
          <w:kern w:val="2"/>
          <w:vertAlign w:val="superscript"/>
          <w14:ligatures w14:val="standardContextual"/>
        </w:rPr>
        <w:t xml:space="preserve"> </w:t>
      </w:r>
      <w:r w:rsidR="00107B9B" w:rsidRPr="00107B9B">
        <w:rPr>
          <w:sz w:val="20"/>
          <w:szCs w:val="20"/>
          <w:lang w:eastAsia="en-US"/>
        </w:rPr>
        <w:t>European Commission. “Relations between the European Union and the Republic of Kazakhstan.” Press release MEMO/95/8, December 6, 1995. https://ec.europa.eu/commission/presscorner/detail/en/memo_95_8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7D664" w14:textId="2288982C" w:rsidR="00E74150" w:rsidRPr="000964E5" w:rsidRDefault="00E74150" w:rsidP="000964E5">
    <w:pPr>
      <w:pStyle w:val="af6"/>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A2962"/>
    <w:multiLevelType w:val="multilevel"/>
    <w:tmpl w:val="AF8C0B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DC0606"/>
    <w:multiLevelType w:val="multilevel"/>
    <w:tmpl w:val="714AA37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0D79EF"/>
    <w:multiLevelType w:val="hybridMultilevel"/>
    <w:tmpl w:val="36B631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B1034E"/>
    <w:multiLevelType w:val="hybridMultilevel"/>
    <w:tmpl w:val="F29265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A35925"/>
    <w:multiLevelType w:val="multilevel"/>
    <w:tmpl w:val="34B09E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974600"/>
    <w:multiLevelType w:val="multilevel"/>
    <w:tmpl w:val="634A713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24D0E9A"/>
    <w:multiLevelType w:val="multilevel"/>
    <w:tmpl w:val="AF0CF61C"/>
    <w:lvl w:ilvl="0">
      <w:start w:val="1"/>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0F3BF9"/>
    <w:multiLevelType w:val="hybridMultilevel"/>
    <w:tmpl w:val="3C2CC880"/>
    <w:lvl w:ilvl="0" w:tplc="FA2C3212">
      <w:start w:val="1"/>
      <w:numFmt w:val="decimal"/>
      <w:lvlText w:val="%1)"/>
      <w:lvlJc w:val="left"/>
      <w:pPr>
        <w:ind w:left="804" w:hanging="44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96715D"/>
    <w:multiLevelType w:val="hybridMultilevel"/>
    <w:tmpl w:val="DE9EF1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315431"/>
    <w:multiLevelType w:val="multilevel"/>
    <w:tmpl w:val="208E695C"/>
    <w:lvl w:ilvl="0">
      <w:start w:val="1"/>
      <w:numFmt w:val="decimal"/>
      <w:lvlText w:val="%1"/>
      <w:lvlJc w:val="left"/>
      <w:pPr>
        <w:ind w:left="400" w:hanging="400"/>
      </w:pPr>
      <w:rPr>
        <w:rFonts w:hint="default"/>
      </w:rPr>
    </w:lvl>
    <w:lvl w:ilvl="1">
      <w:start w:val="3"/>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2800" w:hanging="2160"/>
      </w:pPr>
      <w:rPr>
        <w:rFonts w:hint="default"/>
      </w:rPr>
    </w:lvl>
  </w:abstractNum>
  <w:abstractNum w:abstractNumId="10" w15:restartNumberingAfterBreak="0">
    <w:nsid w:val="52211224"/>
    <w:multiLevelType w:val="multilevel"/>
    <w:tmpl w:val="2080404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5206225"/>
    <w:multiLevelType w:val="hybridMultilevel"/>
    <w:tmpl w:val="03ECC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7CB4CF9"/>
    <w:multiLevelType w:val="multilevel"/>
    <w:tmpl w:val="84C61C0A"/>
    <w:lvl w:ilvl="0">
      <w:start w:val="1"/>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A2B7E7D"/>
    <w:multiLevelType w:val="hybridMultilevel"/>
    <w:tmpl w:val="853AA0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24C37FD"/>
    <w:multiLevelType w:val="hybridMultilevel"/>
    <w:tmpl w:val="3F7E13D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6A6B65A6"/>
    <w:multiLevelType w:val="multilevel"/>
    <w:tmpl w:val="E07EBE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4005A4"/>
    <w:multiLevelType w:val="multilevel"/>
    <w:tmpl w:val="4A2CF770"/>
    <w:lvl w:ilvl="0">
      <w:start w:val="1"/>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635C9A"/>
    <w:multiLevelType w:val="multilevel"/>
    <w:tmpl w:val="E07EBE82"/>
    <w:styleLink w:val="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0941107">
    <w:abstractNumId w:val="0"/>
  </w:num>
  <w:num w:numId="2" w16cid:durableId="98457267">
    <w:abstractNumId w:val="15"/>
  </w:num>
  <w:num w:numId="3" w16cid:durableId="972447693">
    <w:abstractNumId w:val="10"/>
  </w:num>
  <w:num w:numId="4" w16cid:durableId="336275896">
    <w:abstractNumId w:val="5"/>
  </w:num>
  <w:num w:numId="5" w16cid:durableId="1665888769">
    <w:abstractNumId w:val="1"/>
  </w:num>
  <w:num w:numId="6" w16cid:durableId="1086151609">
    <w:abstractNumId w:val="17"/>
  </w:num>
  <w:num w:numId="7" w16cid:durableId="2140144360">
    <w:abstractNumId w:val="4"/>
  </w:num>
  <w:num w:numId="8" w16cid:durableId="139008888">
    <w:abstractNumId w:val="12"/>
  </w:num>
  <w:num w:numId="9" w16cid:durableId="658580815">
    <w:abstractNumId w:val="16"/>
  </w:num>
  <w:num w:numId="10" w16cid:durableId="428233529">
    <w:abstractNumId w:val="6"/>
  </w:num>
  <w:num w:numId="11" w16cid:durableId="970550158">
    <w:abstractNumId w:val="9"/>
  </w:num>
  <w:num w:numId="12" w16cid:durableId="2114588231">
    <w:abstractNumId w:val="8"/>
  </w:num>
  <w:num w:numId="13" w16cid:durableId="782116931">
    <w:abstractNumId w:val="13"/>
  </w:num>
  <w:num w:numId="14" w16cid:durableId="1558737739">
    <w:abstractNumId w:val="11"/>
  </w:num>
  <w:num w:numId="15" w16cid:durableId="1571692151">
    <w:abstractNumId w:val="7"/>
  </w:num>
  <w:num w:numId="16" w16cid:durableId="1561012513">
    <w:abstractNumId w:val="3"/>
  </w:num>
  <w:num w:numId="17" w16cid:durableId="838739138">
    <w:abstractNumId w:val="14"/>
  </w:num>
  <w:num w:numId="18" w16cid:durableId="247348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7CF"/>
    <w:rsid w:val="00000E43"/>
    <w:rsid w:val="00001275"/>
    <w:rsid w:val="00002E53"/>
    <w:rsid w:val="00002E5A"/>
    <w:rsid w:val="00002FB0"/>
    <w:rsid w:val="00004CF9"/>
    <w:rsid w:val="00005017"/>
    <w:rsid w:val="00007242"/>
    <w:rsid w:val="00007808"/>
    <w:rsid w:val="00007B92"/>
    <w:rsid w:val="00007D89"/>
    <w:rsid w:val="00007EB1"/>
    <w:rsid w:val="00011CD6"/>
    <w:rsid w:val="000132CB"/>
    <w:rsid w:val="0001377D"/>
    <w:rsid w:val="00013DF4"/>
    <w:rsid w:val="000144A2"/>
    <w:rsid w:val="00014D99"/>
    <w:rsid w:val="00016130"/>
    <w:rsid w:val="0001642B"/>
    <w:rsid w:val="00016837"/>
    <w:rsid w:val="00016A15"/>
    <w:rsid w:val="00016C0E"/>
    <w:rsid w:val="00020FF0"/>
    <w:rsid w:val="00021670"/>
    <w:rsid w:val="00026BEC"/>
    <w:rsid w:val="00027E4C"/>
    <w:rsid w:val="00031EF4"/>
    <w:rsid w:val="00032019"/>
    <w:rsid w:val="00032782"/>
    <w:rsid w:val="00033775"/>
    <w:rsid w:val="000344D5"/>
    <w:rsid w:val="000350F7"/>
    <w:rsid w:val="000352D9"/>
    <w:rsid w:val="000371DC"/>
    <w:rsid w:val="00037EE2"/>
    <w:rsid w:val="000402E1"/>
    <w:rsid w:val="0004423F"/>
    <w:rsid w:val="00044C80"/>
    <w:rsid w:val="00044FCE"/>
    <w:rsid w:val="0004525F"/>
    <w:rsid w:val="0004558C"/>
    <w:rsid w:val="00050B71"/>
    <w:rsid w:val="00050CD6"/>
    <w:rsid w:val="00051510"/>
    <w:rsid w:val="0005170C"/>
    <w:rsid w:val="00052BF2"/>
    <w:rsid w:val="00052DE7"/>
    <w:rsid w:val="00053EE9"/>
    <w:rsid w:val="000540FF"/>
    <w:rsid w:val="0005458E"/>
    <w:rsid w:val="00055A2A"/>
    <w:rsid w:val="000577E8"/>
    <w:rsid w:val="00057B93"/>
    <w:rsid w:val="00060316"/>
    <w:rsid w:val="00060753"/>
    <w:rsid w:val="00061F74"/>
    <w:rsid w:val="00062A69"/>
    <w:rsid w:val="00063CEC"/>
    <w:rsid w:val="00064012"/>
    <w:rsid w:val="000645FF"/>
    <w:rsid w:val="00064BEC"/>
    <w:rsid w:val="000653A1"/>
    <w:rsid w:val="00065AE7"/>
    <w:rsid w:val="00065FD7"/>
    <w:rsid w:val="000665B8"/>
    <w:rsid w:val="00066687"/>
    <w:rsid w:val="00066AD0"/>
    <w:rsid w:val="00067D03"/>
    <w:rsid w:val="0007137D"/>
    <w:rsid w:val="000717BA"/>
    <w:rsid w:val="000717C5"/>
    <w:rsid w:val="00072219"/>
    <w:rsid w:val="000729A1"/>
    <w:rsid w:val="00074A91"/>
    <w:rsid w:val="00075686"/>
    <w:rsid w:val="000763E9"/>
    <w:rsid w:val="000766E9"/>
    <w:rsid w:val="000779FD"/>
    <w:rsid w:val="0008106A"/>
    <w:rsid w:val="00081504"/>
    <w:rsid w:val="00081894"/>
    <w:rsid w:val="0008245F"/>
    <w:rsid w:val="00082DD9"/>
    <w:rsid w:val="00083F7F"/>
    <w:rsid w:val="000841B8"/>
    <w:rsid w:val="00084875"/>
    <w:rsid w:val="00084E64"/>
    <w:rsid w:val="00085049"/>
    <w:rsid w:val="00086544"/>
    <w:rsid w:val="00086804"/>
    <w:rsid w:val="00087B0C"/>
    <w:rsid w:val="00087ECC"/>
    <w:rsid w:val="00092571"/>
    <w:rsid w:val="0009353E"/>
    <w:rsid w:val="00093EE3"/>
    <w:rsid w:val="0009497D"/>
    <w:rsid w:val="00096393"/>
    <w:rsid w:val="000964E5"/>
    <w:rsid w:val="000979C1"/>
    <w:rsid w:val="000A1E81"/>
    <w:rsid w:val="000A290A"/>
    <w:rsid w:val="000A38C2"/>
    <w:rsid w:val="000A4A99"/>
    <w:rsid w:val="000A57EA"/>
    <w:rsid w:val="000A5C89"/>
    <w:rsid w:val="000A618F"/>
    <w:rsid w:val="000A79C0"/>
    <w:rsid w:val="000B0F4E"/>
    <w:rsid w:val="000B1249"/>
    <w:rsid w:val="000B12AE"/>
    <w:rsid w:val="000B2088"/>
    <w:rsid w:val="000B2730"/>
    <w:rsid w:val="000B44D4"/>
    <w:rsid w:val="000B48F1"/>
    <w:rsid w:val="000B5420"/>
    <w:rsid w:val="000B5B4D"/>
    <w:rsid w:val="000B64B8"/>
    <w:rsid w:val="000B6753"/>
    <w:rsid w:val="000B6827"/>
    <w:rsid w:val="000B7240"/>
    <w:rsid w:val="000C00C4"/>
    <w:rsid w:val="000C3219"/>
    <w:rsid w:val="000C44C6"/>
    <w:rsid w:val="000C5451"/>
    <w:rsid w:val="000C79ED"/>
    <w:rsid w:val="000D14DD"/>
    <w:rsid w:val="000D3024"/>
    <w:rsid w:val="000D32BF"/>
    <w:rsid w:val="000D42E9"/>
    <w:rsid w:val="000D45A2"/>
    <w:rsid w:val="000D4887"/>
    <w:rsid w:val="000D5877"/>
    <w:rsid w:val="000D6450"/>
    <w:rsid w:val="000D7F3D"/>
    <w:rsid w:val="000E0AFF"/>
    <w:rsid w:val="000E1940"/>
    <w:rsid w:val="000E340B"/>
    <w:rsid w:val="000E35DF"/>
    <w:rsid w:val="000E438E"/>
    <w:rsid w:val="000E488C"/>
    <w:rsid w:val="000E4EC9"/>
    <w:rsid w:val="000E582A"/>
    <w:rsid w:val="000E5D06"/>
    <w:rsid w:val="000E6A22"/>
    <w:rsid w:val="000E6CFD"/>
    <w:rsid w:val="000F13D3"/>
    <w:rsid w:val="000F1722"/>
    <w:rsid w:val="000F2425"/>
    <w:rsid w:val="000F5718"/>
    <w:rsid w:val="00100A82"/>
    <w:rsid w:val="001015DF"/>
    <w:rsid w:val="0010315B"/>
    <w:rsid w:val="0010342C"/>
    <w:rsid w:val="00104221"/>
    <w:rsid w:val="00105459"/>
    <w:rsid w:val="0010556A"/>
    <w:rsid w:val="00105B00"/>
    <w:rsid w:val="00107410"/>
    <w:rsid w:val="00107B9B"/>
    <w:rsid w:val="00110F3C"/>
    <w:rsid w:val="00111F64"/>
    <w:rsid w:val="00114663"/>
    <w:rsid w:val="00117466"/>
    <w:rsid w:val="00117B31"/>
    <w:rsid w:val="00121E90"/>
    <w:rsid w:val="001231CE"/>
    <w:rsid w:val="001254CD"/>
    <w:rsid w:val="00126F63"/>
    <w:rsid w:val="0013072C"/>
    <w:rsid w:val="0013090C"/>
    <w:rsid w:val="00131128"/>
    <w:rsid w:val="0013309F"/>
    <w:rsid w:val="001336CC"/>
    <w:rsid w:val="00133900"/>
    <w:rsid w:val="00133B99"/>
    <w:rsid w:val="0013644D"/>
    <w:rsid w:val="0013659C"/>
    <w:rsid w:val="00140913"/>
    <w:rsid w:val="001427DC"/>
    <w:rsid w:val="00144AB5"/>
    <w:rsid w:val="001453A0"/>
    <w:rsid w:val="00147EBF"/>
    <w:rsid w:val="0015071F"/>
    <w:rsid w:val="00152335"/>
    <w:rsid w:val="00153660"/>
    <w:rsid w:val="00153AEB"/>
    <w:rsid w:val="00153F82"/>
    <w:rsid w:val="00154D2E"/>
    <w:rsid w:val="00155CBE"/>
    <w:rsid w:val="001573B0"/>
    <w:rsid w:val="00157DDD"/>
    <w:rsid w:val="00160641"/>
    <w:rsid w:val="00161A7F"/>
    <w:rsid w:val="00162D4C"/>
    <w:rsid w:val="00163F5C"/>
    <w:rsid w:val="00164DD4"/>
    <w:rsid w:val="00165629"/>
    <w:rsid w:val="00165906"/>
    <w:rsid w:val="001672C7"/>
    <w:rsid w:val="001717B4"/>
    <w:rsid w:val="001729FF"/>
    <w:rsid w:val="00172E0C"/>
    <w:rsid w:val="0017441F"/>
    <w:rsid w:val="0017504D"/>
    <w:rsid w:val="001758C1"/>
    <w:rsid w:val="001762F8"/>
    <w:rsid w:val="00177BA9"/>
    <w:rsid w:val="0018095A"/>
    <w:rsid w:val="00181264"/>
    <w:rsid w:val="001820BA"/>
    <w:rsid w:val="0018265E"/>
    <w:rsid w:val="00182AFA"/>
    <w:rsid w:val="001846A4"/>
    <w:rsid w:val="00184939"/>
    <w:rsid w:val="001869F7"/>
    <w:rsid w:val="001870BB"/>
    <w:rsid w:val="00187131"/>
    <w:rsid w:val="00187955"/>
    <w:rsid w:val="00190291"/>
    <w:rsid w:val="00190B5C"/>
    <w:rsid w:val="001934C2"/>
    <w:rsid w:val="00193D13"/>
    <w:rsid w:val="0019583F"/>
    <w:rsid w:val="00195E43"/>
    <w:rsid w:val="001960C2"/>
    <w:rsid w:val="00197EA5"/>
    <w:rsid w:val="001A0616"/>
    <w:rsid w:val="001A1592"/>
    <w:rsid w:val="001A545F"/>
    <w:rsid w:val="001A5A59"/>
    <w:rsid w:val="001A6C34"/>
    <w:rsid w:val="001A785B"/>
    <w:rsid w:val="001A791F"/>
    <w:rsid w:val="001B0B58"/>
    <w:rsid w:val="001B10DE"/>
    <w:rsid w:val="001B2803"/>
    <w:rsid w:val="001B5E72"/>
    <w:rsid w:val="001B71FF"/>
    <w:rsid w:val="001B724F"/>
    <w:rsid w:val="001B7C99"/>
    <w:rsid w:val="001C03B3"/>
    <w:rsid w:val="001C2857"/>
    <w:rsid w:val="001C2867"/>
    <w:rsid w:val="001C321B"/>
    <w:rsid w:val="001C4634"/>
    <w:rsid w:val="001C470A"/>
    <w:rsid w:val="001C6731"/>
    <w:rsid w:val="001C6DBA"/>
    <w:rsid w:val="001C7452"/>
    <w:rsid w:val="001C7942"/>
    <w:rsid w:val="001C7E82"/>
    <w:rsid w:val="001D0CB7"/>
    <w:rsid w:val="001D1079"/>
    <w:rsid w:val="001D1356"/>
    <w:rsid w:val="001D142C"/>
    <w:rsid w:val="001D1988"/>
    <w:rsid w:val="001D33A0"/>
    <w:rsid w:val="001D36C5"/>
    <w:rsid w:val="001D38BE"/>
    <w:rsid w:val="001D424D"/>
    <w:rsid w:val="001D50F4"/>
    <w:rsid w:val="001D6D78"/>
    <w:rsid w:val="001E03F1"/>
    <w:rsid w:val="001E05E3"/>
    <w:rsid w:val="001E1925"/>
    <w:rsid w:val="001E1DCE"/>
    <w:rsid w:val="001E248B"/>
    <w:rsid w:val="001E2B58"/>
    <w:rsid w:val="001E38F3"/>
    <w:rsid w:val="001E46D3"/>
    <w:rsid w:val="001E58D4"/>
    <w:rsid w:val="001E5C9A"/>
    <w:rsid w:val="001E68A7"/>
    <w:rsid w:val="001E7549"/>
    <w:rsid w:val="001F018B"/>
    <w:rsid w:val="001F06A2"/>
    <w:rsid w:val="001F14D5"/>
    <w:rsid w:val="001F1596"/>
    <w:rsid w:val="001F2502"/>
    <w:rsid w:val="001F3238"/>
    <w:rsid w:val="001F33A3"/>
    <w:rsid w:val="001F4F3C"/>
    <w:rsid w:val="001F521E"/>
    <w:rsid w:val="001F5D09"/>
    <w:rsid w:val="001F618C"/>
    <w:rsid w:val="001F794E"/>
    <w:rsid w:val="001F7B0B"/>
    <w:rsid w:val="0020073B"/>
    <w:rsid w:val="00200C03"/>
    <w:rsid w:val="00200D8E"/>
    <w:rsid w:val="0020261A"/>
    <w:rsid w:val="00202AFE"/>
    <w:rsid w:val="00202B05"/>
    <w:rsid w:val="00202C76"/>
    <w:rsid w:val="00204F72"/>
    <w:rsid w:val="00210867"/>
    <w:rsid w:val="00210C91"/>
    <w:rsid w:val="00210F27"/>
    <w:rsid w:val="00211A5E"/>
    <w:rsid w:val="00214DB7"/>
    <w:rsid w:val="00214E7D"/>
    <w:rsid w:val="00216C3D"/>
    <w:rsid w:val="00220001"/>
    <w:rsid w:val="00220C22"/>
    <w:rsid w:val="002211F1"/>
    <w:rsid w:val="002229ED"/>
    <w:rsid w:val="002238B7"/>
    <w:rsid w:val="002239C9"/>
    <w:rsid w:val="00223BF3"/>
    <w:rsid w:val="00224060"/>
    <w:rsid w:val="0022432D"/>
    <w:rsid w:val="00225C68"/>
    <w:rsid w:val="00225F79"/>
    <w:rsid w:val="002306F3"/>
    <w:rsid w:val="00232147"/>
    <w:rsid w:val="002321A8"/>
    <w:rsid w:val="0023271F"/>
    <w:rsid w:val="002336A5"/>
    <w:rsid w:val="00234D90"/>
    <w:rsid w:val="00235ED4"/>
    <w:rsid w:val="00236555"/>
    <w:rsid w:val="00236567"/>
    <w:rsid w:val="00236D2B"/>
    <w:rsid w:val="00237D2D"/>
    <w:rsid w:val="00240963"/>
    <w:rsid w:val="002409D7"/>
    <w:rsid w:val="00241ED9"/>
    <w:rsid w:val="00242872"/>
    <w:rsid w:val="0024340D"/>
    <w:rsid w:val="0024665B"/>
    <w:rsid w:val="002478C4"/>
    <w:rsid w:val="00251464"/>
    <w:rsid w:val="00251730"/>
    <w:rsid w:val="00251BC3"/>
    <w:rsid w:val="00252CDE"/>
    <w:rsid w:val="00255681"/>
    <w:rsid w:val="00255ED0"/>
    <w:rsid w:val="002602E5"/>
    <w:rsid w:val="002619A6"/>
    <w:rsid w:val="00262768"/>
    <w:rsid w:val="00263806"/>
    <w:rsid w:val="00265069"/>
    <w:rsid w:val="002673CA"/>
    <w:rsid w:val="002677DA"/>
    <w:rsid w:val="00267B19"/>
    <w:rsid w:val="00270B55"/>
    <w:rsid w:val="00271CCB"/>
    <w:rsid w:val="00272CE8"/>
    <w:rsid w:val="00273E1E"/>
    <w:rsid w:val="002756A3"/>
    <w:rsid w:val="00275A49"/>
    <w:rsid w:val="00275ABB"/>
    <w:rsid w:val="00275BC2"/>
    <w:rsid w:val="0027630F"/>
    <w:rsid w:val="00276A2E"/>
    <w:rsid w:val="002772DE"/>
    <w:rsid w:val="002777F0"/>
    <w:rsid w:val="00277BD2"/>
    <w:rsid w:val="002806B7"/>
    <w:rsid w:val="002828B3"/>
    <w:rsid w:val="00284699"/>
    <w:rsid w:val="00284830"/>
    <w:rsid w:val="00284C69"/>
    <w:rsid w:val="0028507C"/>
    <w:rsid w:val="002867D4"/>
    <w:rsid w:val="00287B0B"/>
    <w:rsid w:val="002900C1"/>
    <w:rsid w:val="0029027C"/>
    <w:rsid w:val="00290827"/>
    <w:rsid w:val="00291629"/>
    <w:rsid w:val="00291C29"/>
    <w:rsid w:val="00294331"/>
    <w:rsid w:val="002945F4"/>
    <w:rsid w:val="002958D3"/>
    <w:rsid w:val="00296146"/>
    <w:rsid w:val="00296B18"/>
    <w:rsid w:val="002A0A7D"/>
    <w:rsid w:val="002A0E68"/>
    <w:rsid w:val="002A1FA2"/>
    <w:rsid w:val="002A3E1E"/>
    <w:rsid w:val="002A4110"/>
    <w:rsid w:val="002A5091"/>
    <w:rsid w:val="002A7827"/>
    <w:rsid w:val="002A7904"/>
    <w:rsid w:val="002A7F13"/>
    <w:rsid w:val="002B09FC"/>
    <w:rsid w:val="002B288C"/>
    <w:rsid w:val="002B2F24"/>
    <w:rsid w:val="002B3C90"/>
    <w:rsid w:val="002B599D"/>
    <w:rsid w:val="002B5B31"/>
    <w:rsid w:val="002B5DD3"/>
    <w:rsid w:val="002B6FBA"/>
    <w:rsid w:val="002B735B"/>
    <w:rsid w:val="002B772D"/>
    <w:rsid w:val="002C00FD"/>
    <w:rsid w:val="002C0B7C"/>
    <w:rsid w:val="002C12FC"/>
    <w:rsid w:val="002C2071"/>
    <w:rsid w:val="002C39EB"/>
    <w:rsid w:val="002C461C"/>
    <w:rsid w:val="002C533B"/>
    <w:rsid w:val="002C587D"/>
    <w:rsid w:val="002C7298"/>
    <w:rsid w:val="002C77F6"/>
    <w:rsid w:val="002C79BA"/>
    <w:rsid w:val="002D0BBE"/>
    <w:rsid w:val="002D1A1B"/>
    <w:rsid w:val="002D2D24"/>
    <w:rsid w:val="002D35B9"/>
    <w:rsid w:val="002D5A2B"/>
    <w:rsid w:val="002D785B"/>
    <w:rsid w:val="002D7979"/>
    <w:rsid w:val="002D7E71"/>
    <w:rsid w:val="002E02C8"/>
    <w:rsid w:val="002E29F0"/>
    <w:rsid w:val="002E3DAD"/>
    <w:rsid w:val="002E4302"/>
    <w:rsid w:val="002E7FDF"/>
    <w:rsid w:val="002F0012"/>
    <w:rsid w:val="002F04AC"/>
    <w:rsid w:val="002F096C"/>
    <w:rsid w:val="002F2624"/>
    <w:rsid w:val="002F3F99"/>
    <w:rsid w:val="002F4A5D"/>
    <w:rsid w:val="002F4B4C"/>
    <w:rsid w:val="002F5809"/>
    <w:rsid w:val="002F5FDA"/>
    <w:rsid w:val="002F621A"/>
    <w:rsid w:val="002F62EF"/>
    <w:rsid w:val="002F70B9"/>
    <w:rsid w:val="002F7D48"/>
    <w:rsid w:val="002F7D4D"/>
    <w:rsid w:val="00300B37"/>
    <w:rsid w:val="003012B2"/>
    <w:rsid w:val="00301AFD"/>
    <w:rsid w:val="00302498"/>
    <w:rsid w:val="00303A63"/>
    <w:rsid w:val="0030424E"/>
    <w:rsid w:val="0030489F"/>
    <w:rsid w:val="00304FCA"/>
    <w:rsid w:val="00306396"/>
    <w:rsid w:val="00306DC6"/>
    <w:rsid w:val="00307ADC"/>
    <w:rsid w:val="00307E4B"/>
    <w:rsid w:val="00311713"/>
    <w:rsid w:val="00311D2B"/>
    <w:rsid w:val="00311E37"/>
    <w:rsid w:val="00312860"/>
    <w:rsid w:val="003137DB"/>
    <w:rsid w:val="0031453E"/>
    <w:rsid w:val="003160AD"/>
    <w:rsid w:val="00322697"/>
    <w:rsid w:val="003227D8"/>
    <w:rsid w:val="00324257"/>
    <w:rsid w:val="00325537"/>
    <w:rsid w:val="00325D98"/>
    <w:rsid w:val="003269E1"/>
    <w:rsid w:val="00326D50"/>
    <w:rsid w:val="00327942"/>
    <w:rsid w:val="00330750"/>
    <w:rsid w:val="00330B11"/>
    <w:rsid w:val="00330E02"/>
    <w:rsid w:val="00331705"/>
    <w:rsid w:val="003321DE"/>
    <w:rsid w:val="003321FE"/>
    <w:rsid w:val="003338A9"/>
    <w:rsid w:val="00333F59"/>
    <w:rsid w:val="00334C5B"/>
    <w:rsid w:val="00335B18"/>
    <w:rsid w:val="00340CDF"/>
    <w:rsid w:val="003418B1"/>
    <w:rsid w:val="00341E58"/>
    <w:rsid w:val="00342957"/>
    <w:rsid w:val="003431E0"/>
    <w:rsid w:val="00343379"/>
    <w:rsid w:val="00343457"/>
    <w:rsid w:val="00344624"/>
    <w:rsid w:val="003447CF"/>
    <w:rsid w:val="00344ACF"/>
    <w:rsid w:val="00345948"/>
    <w:rsid w:val="00345B0A"/>
    <w:rsid w:val="00346988"/>
    <w:rsid w:val="003476F5"/>
    <w:rsid w:val="003477C6"/>
    <w:rsid w:val="00350AB2"/>
    <w:rsid w:val="00350E38"/>
    <w:rsid w:val="0035142F"/>
    <w:rsid w:val="003525F7"/>
    <w:rsid w:val="00352A2E"/>
    <w:rsid w:val="003531CA"/>
    <w:rsid w:val="003601DF"/>
    <w:rsid w:val="00360246"/>
    <w:rsid w:val="00362678"/>
    <w:rsid w:val="00363666"/>
    <w:rsid w:val="00366541"/>
    <w:rsid w:val="0036657C"/>
    <w:rsid w:val="003670B0"/>
    <w:rsid w:val="003672AF"/>
    <w:rsid w:val="003672D9"/>
    <w:rsid w:val="00367551"/>
    <w:rsid w:val="00367B8B"/>
    <w:rsid w:val="00372DC3"/>
    <w:rsid w:val="00375F2C"/>
    <w:rsid w:val="00376347"/>
    <w:rsid w:val="003771C5"/>
    <w:rsid w:val="00377AF6"/>
    <w:rsid w:val="00377FE7"/>
    <w:rsid w:val="003817B2"/>
    <w:rsid w:val="00381D73"/>
    <w:rsid w:val="003820AB"/>
    <w:rsid w:val="003820BF"/>
    <w:rsid w:val="0038242E"/>
    <w:rsid w:val="00382CCA"/>
    <w:rsid w:val="00383BA4"/>
    <w:rsid w:val="00386B04"/>
    <w:rsid w:val="00386F4A"/>
    <w:rsid w:val="0038713D"/>
    <w:rsid w:val="00387378"/>
    <w:rsid w:val="00391155"/>
    <w:rsid w:val="00391262"/>
    <w:rsid w:val="00391A01"/>
    <w:rsid w:val="00391D0C"/>
    <w:rsid w:val="0039350D"/>
    <w:rsid w:val="003945B8"/>
    <w:rsid w:val="00395AC6"/>
    <w:rsid w:val="00395D53"/>
    <w:rsid w:val="00396B72"/>
    <w:rsid w:val="00396E79"/>
    <w:rsid w:val="003A053E"/>
    <w:rsid w:val="003A3BE3"/>
    <w:rsid w:val="003A4BC3"/>
    <w:rsid w:val="003A5A73"/>
    <w:rsid w:val="003A5C11"/>
    <w:rsid w:val="003A623B"/>
    <w:rsid w:val="003A79AC"/>
    <w:rsid w:val="003B3CB0"/>
    <w:rsid w:val="003B555B"/>
    <w:rsid w:val="003B5C7F"/>
    <w:rsid w:val="003C19DB"/>
    <w:rsid w:val="003C1FBC"/>
    <w:rsid w:val="003C333A"/>
    <w:rsid w:val="003C3770"/>
    <w:rsid w:val="003C3DA0"/>
    <w:rsid w:val="003C421B"/>
    <w:rsid w:val="003C5323"/>
    <w:rsid w:val="003C5524"/>
    <w:rsid w:val="003C645C"/>
    <w:rsid w:val="003C6DA0"/>
    <w:rsid w:val="003C7501"/>
    <w:rsid w:val="003C7746"/>
    <w:rsid w:val="003D04C4"/>
    <w:rsid w:val="003D1D9D"/>
    <w:rsid w:val="003D2443"/>
    <w:rsid w:val="003D3486"/>
    <w:rsid w:val="003D3FB3"/>
    <w:rsid w:val="003D48EB"/>
    <w:rsid w:val="003D759F"/>
    <w:rsid w:val="003D76D9"/>
    <w:rsid w:val="003D7E42"/>
    <w:rsid w:val="003E1DC6"/>
    <w:rsid w:val="003E326B"/>
    <w:rsid w:val="003E4C01"/>
    <w:rsid w:val="003E4F63"/>
    <w:rsid w:val="003E65BD"/>
    <w:rsid w:val="003E709F"/>
    <w:rsid w:val="003E72B6"/>
    <w:rsid w:val="003F15E9"/>
    <w:rsid w:val="003F17C4"/>
    <w:rsid w:val="003F2218"/>
    <w:rsid w:val="003F28E6"/>
    <w:rsid w:val="003F2949"/>
    <w:rsid w:val="003F3000"/>
    <w:rsid w:val="003F3141"/>
    <w:rsid w:val="003F3BFD"/>
    <w:rsid w:val="003F642E"/>
    <w:rsid w:val="00400038"/>
    <w:rsid w:val="004004B0"/>
    <w:rsid w:val="00400564"/>
    <w:rsid w:val="00400C2B"/>
    <w:rsid w:val="0040170E"/>
    <w:rsid w:val="0040175A"/>
    <w:rsid w:val="00402028"/>
    <w:rsid w:val="00402227"/>
    <w:rsid w:val="00402CBA"/>
    <w:rsid w:val="00403050"/>
    <w:rsid w:val="0040337F"/>
    <w:rsid w:val="0040373F"/>
    <w:rsid w:val="0040446E"/>
    <w:rsid w:val="00404898"/>
    <w:rsid w:val="00404B4B"/>
    <w:rsid w:val="00405190"/>
    <w:rsid w:val="00405D4E"/>
    <w:rsid w:val="00405E25"/>
    <w:rsid w:val="00406496"/>
    <w:rsid w:val="0041026D"/>
    <w:rsid w:val="0041030E"/>
    <w:rsid w:val="00410625"/>
    <w:rsid w:val="00410CB8"/>
    <w:rsid w:val="004110CD"/>
    <w:rsid w:val="004120E3"/>
    <w:rsid w:val="00412D3A"/>
    <w:rsid w:val="00413231"/>
    <w:rsid w:val="004134C4"/>
    <w:rsid w:val="00415874"/>
    <w:rsid w:val="00415991"/>
    <w:rsid w:val="0042185C"/>
    <w:rsid w:val="00422EF2"/>
    <w:rsid w:val="004247E0"/>
    <w:rsid w:val="00424A17"/>
    <w:rsid w:val="00425237"/>
    <w:rsid w:val="0042716A"/>
    <w:rsid w:val="00427F03"/>
    <w:rsid w:val="00430067"/>
    <w:rsid w:val="00431C9D"/>
    <w:rsid w:val="00432224"/>
    <w:rsid w:val="00432CAA"/>
    <w:rsid w:val="00432E8F"/>
    <w:rsid w:val="00434180"/>
    <w:rsid w:val="00434D8F"/>
    <w:rsid w:val="00434E69"/>
    <w:rsid w:val="0043520C"/>
    <w:rsid w:val="00437234"/>
    <w:rsid w:val="00437241"/>
    <w:rsid w:val="00441020"/>
    <w:rsid w:val="00442CD6"/>
    <w:rsid w:val="004436DB"/>
    <w:rsid w:val="00444BCC"/>
    <w:rsid w:val="0045395E"/>
    <w:rsid w:val="00453A1C"/>
    <w:rsid w:val="00453D06"/>
    <w:rsid w:val="00454714"/>
    <w:rsid w:val="00454830"/>
    <w:rsid w:val="00454F99"/>
    <w:rsid w:val="0045688C"/>
    <w:rsid w:val="00456EBC"/>
    <w:rsid w:val="00456FDC"/>
    <w:rsid w:val="0045758F"/>
    <w:rsid w:val="00457F1E"/>
    <w:rsid w:val="0046061F"/>
    <w:rsid w:val="00461DB4"/>
    <w:rsid w:val="00462354"/>
    <w:rsid w:val="0046330D"/>
    <w:rsid w:val="00464FD1"/>
    <w:rsid w:val="004656A0"/>
    <w:rsid w:val="00467639"/>
    <w:rsid w:val="00467BA1"/>
    <w:rsid w:val="00470B4D"/>
    <w:rsid w:val="00470FC1"/>
    <w:rsid w:val="00474584"/>
    <w:rsid w:val="00475427"/>
    <w:rsid w:val="00475B80"/>
    <w:rsid w:val="0047679E"/>
    <w:rsid w:val="00477C0B"/>
    <w:rsid w:val="00480B95"/>
    <w:rsid w:val="0048174A"/>
    <w:rsid w:val="004846E5"/>
    <w:rsid w:val="00484DC5"/>
    <w:rsid w:val="00485131"/>
    <w:rsid w:val="00491A05"/>
    <w:rsid w:val="00491A23"/>
    <w:rsid w:val="004927CC"/>
    <w:rsid w:val="004947CB"/>
    <w:rsid w:val="00494F6E"/>
    <w:rsid w:val="0049655E"/>
    <w:rsid w:val="004A02A8"/>
    <w:rsid w:val="004A0F3C"/>
    <w:rsid w:val="004A174D"/>
    <w:rsid w:val="004A2904"/>
    <w:rsid w:val="004A317C"/>
    <w:rsid w:val="004A3722"/>
    <w:rsid w:val="004A3935"/>
    <w:rsid w:val="004A4023"/>
    <w:rsid w:val="004A4894"/>
    <w:rsid w:val="004A52E3"/>
    <w:rsid w:val="004A57F0"/>
    <w:rsid w:val="004A604F"/>
    <w:rsid w:val="004B0041"/>
    <w:rsid w:val="004B1D05"/>
    <w:rsid w:val="004B1E8D"/>
    <w:rsid w:val="004B2520"/>
    <w:rsid w:val="004B2DD4"/>
    <w:rsid w:val="004B37B0"/>
    <w:rsid w:val="004B5697"/>
    <w:rsid w:val="004B6584"/>
    <w:rsid w:val="004B689A"/>
    <w:rsid w:val="004B79D5"/>
    <w:rsid w:val="004C0E83"/>
    <w:rsid w:val="004C181D"/>
    <w:rsid w:val="004C3B8D"/>
    <w:rsid w:val="004C553E"/>
    <w:rsid w:val="004C78E0"/>
    <w:rsid w:val="004C79DA"/>
    <w:rsid w:val="004D0286"/>
    <w:rsid w:val="004D1ADB"/>
    <w:rsid w:val="004D3D50"/>
    <w:rsid w:val="004D4E6D"/>
    <w:rsid w:val="004D52C8"/>
    <w:rsid w:val="004D6D22"/>
    <w:rsid w:val="004E009E"/>
    <w:rsid w:val="004E0A25"/>
    <w:rsid w:val="004E3DDF"/>
    <w:rsid w:val="004E54E2"/>
    <w:rsid w:val="004E5B93"/>
    <w:rsid w:val="004E64A6"/>
    <w:rsid w:val="004E6ABF"/>
    <w:rsid w:val="004E6B9B"/>
    <w:rsid w:val="004E727B"/>
    <w:rsid w:val="004E7D6D"/>
    <w:rsid w:val="004E7E87"/>
    <w:rsid w:val="004F0FF2"/>
    <w:rsid w:val="004F1E7D"/>
    <w:rsid w:val="004F274F"/>
    <w:rsid w:val="004F2AA7"/>
    <w:rsid w:val="004F3136"/>
    <w:rsid w:val="004F3877"/>
    <w:rsid w:val="004F4C98"/>
    <w:rsid w:val="004F5079"/>
    <w:rsid w:val="004F62A5"/>
    <w:rsid w:val="004F762E"/>
    <w:rsid w:val="00501616"/>
    <w:rsid w:val="00502C8A"/>
    <w:rsid w:val="005031B6"/>
    <w:rsid w:val="005037A2"/>
    <w:rsid w:val="00503AA7"/>
    <w:rsid w:val="00504A03"/>
    <w:rsid w:val="005053F0"/>
    <w:rsid w:val="00505400"/>
    <w:rsid w:val="00505482"/>
    <w:rsid w:val="00505739"/>
    <w:rsid w:val="0050583F"/>
    <w:rsid w:val="00505EB2"/>
    <w:rsid w:val="00505F23"/>
    <w:rsid w:val="00505FF9"/>
    <w:rsid w:val="005061D4"/>
    <w:rsid w:val="00506AFA"/>
    <w:rsid w:val="005078F3"/>
    <w:rsid w:val="0051020B"/>
    <w:rsid w:val="00510666"/>
    <w:rsid w:val="005108EC"/>
    <w:rsid w:val="005109A4"/>
    <w:rsid w:val="00510EA2"/>
    <w:rsid w:val="00514A0A"/>
    <w:rsid w:val="00514A19"/>
    <w:rsid w:val="00516A33"/>
    <w:rsid w:val="005174D9"/>
    <w:rsid w:val="00517DC2"/>
    <w:rsid w:val="00522D6D"/>
    <w:rsid w:val="00524830"/>
    <w:rsid w:val="00524885"/>
    <w:rsid w:val="00525312"/>
    <w:rsid w:val="00526FC7"/>
    <w:rsid w:val="00530339"/>
    <w:rsid w:val="00530395"/>
    <w:rsid w:val="00530C39"/>
    <w:rsid w:val="00530D9D"/>
    <w:rsid w:val="00531296"/>
    <w:rsid w:val="00533136"/>
    <w:rsid w:val="005331F4"/>
    <w:rsid w:val="00533A86"/>
    <w:rsid w:val="00534864"/>
    <w:rsid w:val="00534B9E"/>
    <w:rsid w:val="0053716C"/>
    <w:rsid w:val="00537C58"/>
    <w:rsid w:val="0054042E"/>
    <w:rsid w:val="00540A19"/>
    <w:rsid w:val="00541A53"/>
    <w:rsid w:val="00543D3B"/>
    <w:rsid w:val="00545D38"/>
    <w:rsid w:val="005520CE"/>
    <w:rsid w:val="00552D3F"/>
    <w:rsid w:val="00552F7F"/>
    <w:rsid w:val="00553669"/>
    <w:rsid w:val="00553B78"/>
    <w:rsid w:val="00554A88"/>
    <w:rsid w:val="0055512F"/>
    <w:rsid w:val="00556468"/>
    <w:rsid w:val="00556AFD"/>
    <w:rsid w:val="0056024F"/>
    <w:rsid w:val="005611EC"/>
    <w:rsid w:val="00561514"/>
    <w:rsid w:val="0056226B"/>
    <w:rsid w:val="0056227E"/>
    <w:rsid w:val="0056657E"/>
    <w:rsid w:val="00567E71"/>
    <w:rsid w:val="00570CD1"/>
    <w:rsid w:val="00571095"/>
    <w:rsid w:val="00571AFA"/>
    <w:rsid w:val="00572B25"/>
    <w:rsid w:val="00572C90"/>
    <w:rsid w:val="005748BB"/>
    <w:rsid w:val="00574CB9"/>
    <w:rsid w:val="00574E8C"/>
    <w:rsid w:val="00575B36"/>
    <w:rsid w:val="00576555"/>
    <w:rsid w:val="00576C01"/>
    <w:rsid w:val="00577371"/>
    <w:rsid w:val="00577AAD"/>
    <w:rsid w:val="0058008C"/>
    <w:rsid w:val="00580251"/>
    <w:rsid w:val="00580971"/>
    <w:rsid w:val="005824BF"/>
    <w:rsid w:val="00583659"/>
    <w:rsid w:val="00583F92"/>
    <w:rsid w:val="00583FEF"/>
    <w:rsid w:val="00584201"/>
    <w:rsid w:val="00584565"/>
    <w:rsid w:val="00584D7E"/>
    <w:rsid w:val="00584DC0"/>
    <w:rsid w:val="00585423"/>
    <w:rsid w:val="00585FAF"/>
    <w:rsid w:val="00586E9F"/>
    <w:rsid w:val="005907EF"/>
    <w:rsid w:val="00593CED"/>
    <w:rsid w:val="00593F92"/>
    <w:rsid w:val="005947BE"/>
    <w:rsid w:val="00594FCD"/>
    <w:rsid w:val="005951D4"/>
    <w:rsid w:val="0059542A"/>
    <w:rsid w:val="00595786"/>
    <w:rsid w:val="00597442"/>
    <w:rsid w:val="005978A4"/>
    <w:rsid w:val="00597DBA"/>
    <w:rsid w:val="005A0B23"/>
    <w:rsid w:val="005A28B7"/>
    <w:rsid w:val="005A2BDA"/>
    <w:rsid w:val="005A32B5"/>
    <w:rsid w:val="005A3B2F"/>
    <w:rsid w:val="005A53D6"/>
    <w:rsid w:val="005A5556"/>
    <w:rsid w:val="005A5606"/>
    <w:rsid w:val="005A5A94"/>
    <w:rsid w:val="005B06D9"/>
    <w:rsid w:val="005B076C"/>
    <w:rsid w:val="005B0AD3"/>
    <w:rsid w:val="005B0DE6"/>
    <w:rsid w:val="005B2508"/>
    <w:rsid w:val="005B261C"/>
    <w:rsid w:val="005B3265"/>
    <w:rsid w:val="005B3394"/>
    <w:rsid w:val="005B3984"/>
    <w:rsid w:val="005B43E5"/>
    <w:rsid w:val="005B483A"/>
    <w:rsid w:val="005B575C"/>
    <w:rsid w:val="005B729E"/>
    <w:rsid w:val="005B74C5"/>
    <w:rsid w:val="005B74CB"/>
    <w:rsid w:val="005C004F"/>
    <w:rsid w:val="005C0203"/>
    <w:rsid w:val="005C1B97"/>
    <w:rsid w:val="005C3D66"/>
    <w:rsid w:val="005C47BB"/>
    <w:rsid w:val="005C4D4D"/>
    <w:rsid w:val="005C5C41"/>
    <w:rsid w:val="005C5FFE"/>
    <w:rsid w:val="005C668C"/>
    <w:rsid w:val="005C69F3"/>
    <w:rsid w:val="005C6B79"/>
    <w:rsid w:val="005C6C5E"/>
    <w:rsid w:val="005C6EE9"/>
    <w:rsid w:val="005C75E7"/>
    <w:rsid w:val="005D09D9"/>
    <w:rsid w:val="005D0D20"/>
    <w:rsid w:val="005D194F"/>
    <w:rsid w:val="005D1B84"/>
    <w:rsid w:val="005D1C1B"/>
    <w:rsid w:val="005D241E"/>
    <w:rsid w:val="005D287F"/>
    <w:rsid w:val="005D4109"/>
    <w:rsid w:val="005D4AEE"/>
    <w:rsid w:val="005D4C43"/>
    <w:rsid w:val="005D514F"/>
    <w:rsid w:val="005E1EDD"/>
    <w:rsid w:val="005E350B"/>
    <w:rsid w:val="005E3F75"/>
    <w:rsid w:val="005E706C"/>
    <w:rsid w:val="005E74CA"/>
    <w:rsid w:val="005E79BB"/>
    <w:rsid w:val="005F02E7"/>
    <w:rsid w:val="005F14A8"/>
    <w:rsid w:val="005F1625"/>
    <w:rsid w:val="005F22A1"/>
    <w:rsid w:val="005F2FA4"/>
    <w:rsid w:val="005F3287"/>
    <w:rsid w:val="005F3D04"/>
    <w:rsid w:val="005F3D28"/>
    <w:rsid w:val="005F3E7F"/>
    <w:rsid w:val="005F5C98"/>
    <w:rsid w:val="005F5F93"/>
    <w:rsid w:val="005F67E4"/>
    <w:rsid w:val="005F6F0A"/>
    <w:rsid w:val="005F7475"/>
    <w:rsid w:val="005F7CB4"/>
    <w:rsid w:val="0060003F"/>
    <w:rsid w:val="00603716"/>
    <w:rsid w:val="00605FAF"/>
    <w:rsid w:val="006065A8"/>
    <w:rsid w:val="00611B3C"/>
    <w:rsid w:val="006120F5"/>
    <w:rsid w:val="00612434"/>
    <w:rsid w:val="00616149"/>
    <w:rsid w:val="00616FC6"/>
    <w:rsid w:val="00622909"/>
    <w:rsid w:val="00622C53"/>
    <w:rsid w:val="00625323"/>
    <w:rsid w:val="006253B1"/>
    <w:rsid w:val="006256F9"/>
    <w:rsid w:val="006267A6"/>
    <w:rsid w:val="00626E0B"/>
    <w:rsid w:val="0062751E"/>
    <w:rsid w:val="006304A1"/>
    <w:rsid w:val="006309F6"/>
    <w:rsid w:val="006313A8"/>
    <w:rsid w:val="0063223C"/>
    <w:rsid w:val="00634788"/>
    <w:rsid w:val="006347AC"/>
    <w:rsid w:val="006356DF"/>
    <w:rsid w:val="006364C9"/>
    <w:rsid w:val="00640074"/>
    <w:rsid w:val="006414F7"/>
    <w:rsid w:val="00641C16"/>
    <w:rsid w:val="00641CFB"/>
    <w:rsid w:val="006424CB"/>
    <w:rsid w:val="00642C48"/>
    <w:rsid w:val="006433D9"/>
    <w:rsid w:val="006444CC"/>
    <w:rsid w:val="00644680"/>
    <w:rsid w:val="00644E17"/>
    <w:rsid w:val="00646DAC"/>
    <w:rsid w:val="0064723B"/>
    <w:rsid w:val="00647D15"/>
    <w:rsid w:val="00647DE5"/>
    <w:rsid w:val="00647FD7"/>
    <w:rsid w:val="00651885"/>
    <w:rsid w:val="00651DAE"/>
    <w:rsid w:val="00651F10"/>
    <w:rsid w:val="006523F0"/>
    <w:rsid w:val="0065274A"/>
    <w:rsid w:val="00653E2E"/>
    <w:rsid w:val="006543BC"/>
    <w:rsid w:val="0065504B"/>
    <w:rsid w:val="00656034"/>
    <w:rsid w:val="006561A1"/>
    <w:rsid w:val="00656321"/>
    <w:rsid w:val="00657CBD"/>
    <w:rsid w:val="006628D4"/>
    <w:rsid w:val="00662FF7"/>
    <w:rsid w:val="006667CE"/>
    <w:rsid w:val="00667525"/>
    <w:rsid w:val="00667836"/>
    <w:rsid w:val="006700BA"/>
    <w:rsid w:val="00670447"/>
    <w:rsid w:val="0067174C"/>
    <w:rsid w:val="0067324F"/>
    <w:rsid w:val="0067384E"/>
    <w:rsid w:val="006748D0"/>
    <w:rsid w:val="00676A21"/>
    <w:rsid w:val="00677263"/>
    <w:rsid w:val="006802DB"/>
    <w:rsid w:val="00680417"/>
    <w:rsid w:val="0068195E"/>
    <w:rsid w:val="006823A0"/>
    <w:rsid w:val="006828E8"/>
    <w:rsid w:val="006845BE"/>
    <w:rsid w:val="0068494D"/>
    <w:rsid w:val="00685778"/>
    <w:rsid w:val="00687C3E"/>
    <w:rsid w:val="006940B1"/>
    <w:rsid w:val="006952FB"/>
    <w:rsid w:val="0069543A"/>
    <w:rsid w:val="00695620"/>
    <w:rsid w:val="00695822"/>
    <w:rsid w:val="006959F5"/>
    <w:rsid w:val="006A066B"/>
    <w:rsid w:val="006A1356"/>
    <w:rsid w:val="006A1D50"/>
    <w:rsid w:val="006A2487"/>
    <w:rsid w:val="006A2AD9"/>
    <w:rsid w:val="006A35BD"/>
    <w:rsid w:val="006A46DF"/>
    <w:rsid w:val="006A4D8F"/>
    <w:rsid w:val="006A50B3"/>
    <w:rsid w:val="006A57CC"/>
    <w:rsid w:val="006A5C10"/>
    <w:rsid w:val="006A65A9"/>
    <w:rsid w:val="006A6D10"/>
    <w:rsid w:val="006A708E"/>
    <w:rsid w:val="006B0304"/>
    <w:rsid w:val="006B1131"/>
    <w:rsid w:val="006B1DF9"/>
    <w:rsid w:val="006B218E"/>
    <w:rsid w:val="006B3102"/>
    <w:rsid w:val="006B3680"/>
    <w:rsid w:val="006B3BA1"/>
    <w:rsid w:val="006B4247"/>
    <w:rsid w:val="006B5971"/>
    <w:rsid w:val="006B6100"/>
    <w:rsid w:val="006B664A"/>
    <w:rsid w:val="006B6910"/>
    <w:rsid w:val="006B6D1C"/>
    <w:rsid w:val="006B6D6D"/>
    <w:rsid w:val="006B795F"/>
    <w:rsid w:val="006C0DFD"/>
    <w:rsid w:val="006C0E71"/>
    <w:rsid w:val="006C14B8"/>
    <w:rsid w:val="006C16F8"/>
    <w:rsid w:val="006C2F38"/>
    <w:rsid w:val="006C314F"/>
    <w:rsid w:val="006C321F"/>
    <w:rsid w:val="006C43A8"/>
    <w:rsid w:val="006D1370"/>
    <w:rsid w:val="006D141C"/>
    <w:rsid w:val="006D1849"/>
    <w:rsid w:val="006D3740"/>
    <w:rsid w:val="006D45EC"/>
    <w:rsid w:val="006E0B5A"/>
    <w:rsid w:val="006E0C8F"/>
    <w:rsid w:val="006E2086"/>
    <w:rsid w:val="006E23FA"/>
    <w:rsid w:val="006E2DF5"/>
    <w:rsid w:val="006E3719"/>
    <w:rsid w:val="006E38FE"/>
    <w:rsid w:val="006E3B40"/>
    <w:rsid w:val="006E7670"/>
    <w:rsid w:val="006F1139"/>
    <w:rsid w:val="006F1218"/>
    <w:rsid w:val="006F1FEE"/>
    <w:rsid w:val="006F4AC6"/>
    <w:rsid w:val="006F540C"/>
    <w:rsid w:val="006F6602"/>
    <w:rsid w:val="006F6A76"/>
    <w:rsid w:val="006F76D1"/>
    <w:rsid w:val="006F7E9D"/>
    <w:rsid w:val="00700F3A"/>
    <w:rsid w:val="00702C56"/>
    <w:rsid w:val="007031B7"/>
    <w:rsid w:val="00704412"/>
    <w:rsid w:val="007051AF"/>
    <w:rsid w:val="00705216"/>
    <w:rsid w:val="00706222"/>
    <w:rsid w:val="00706600"/>
    <w:rsid w:val="00707098"/>
    <w:rsid w:val="007113EA"/>
    <w:rsid w:val="00713037"/>
    <w:rsid w:val="00714684"/>
    <w:rsid w:val="00714D8C"/>
    <w:rsid w:val="00715B8E"/>
    <w:rsid w:val="00715C3F"/>
    <w:rsid w:val="007168B3"/>
    <w:rsid w:val="00717890"/>
    <w:rsid w:val="007202DB"/>
    <w:rsid w:val="007216B3"/>
    <w:rsid w:val="007225DA"/>
    <w:rsid w:val="00723A4E"/>
    <w:rsid w:val="00723C23"/>
    <w:rsid w:val="007246E5"/>
    <w:rsid w:val="00724EDD"/>
    <w:rsid w:val="00725AD6"/>
    <w:rsid w:val="00725F56"/>
    <w:rsid w:val="00726C4D"/>
    <w:rsid w:val="007318E6"/>
    <w:rsid w:val="00731A48"/>
    <w:rsid w:val="0073229F"/>
    <w:rsid w:val="00732F90"/>
    <w:rsid w:val="00733E82"/>
    <w:rsid w:val="00734B11"/>
    <w:rsid w:val="007358AE"/>
    <w:rsid w:val="00735C4F"/>
    <w:rsid w:val="007372CB"/>
    <w:rsid w:val="00737E2A"/>
    <w:rsid w:val="00741766"/>
    <w:rsid w:val="007441E0"/>
    <w:rsid w:val="007459F7"/>
    <w:rsid w:val="00745FA3"/>
    <w:rsid w:val="00746322"/>
    <w:rsid w:val="00746A37"/>
    <w:rsid w:val="007472BE"/>
    <w:rsid w:val="0075033A"/>
    <w:rsid w:val="00750A98"/>
    <w:rsid w:val="007515AC"/>
    <w:rsid w:val="007520EC"/>
    <w:rsid w:val="00752803"/>
    <w:rsid w:val="00753F1E"/>
    <w:rsid w:val="0075635D"/>
    <w:rsid w:val="00757F20"/>
    <w:rsid w:val="00761128"/>
    <w:rsid w:val="00761A42"/>
    <w:rsid w:val="00761DD7"/>
    <w:rsid w:val="00762AD8"/>
    <w:rsid w:val="00762C61"/>
    <w:rsid w:val="007633FF"/>
    <w:rsid w:val="007638D4"/>
    <w:rsid w:val="00763C64"/>
    <w:rsid w:val="00763E3C"/>
    <w:rsid w:val="00764353"/>
    <w:rsid w:val="00764555"/>
    <w:rsid w:val="007664B4"/>
    <w:rsid w:val="00766FFB"/>
    <w:rsid w:val="00767BAE"/>
    <w:rsid w:val="00770074"/>
    <w:rsid w:val="007706AE"/>
    <w:rsid w:val="00771C82"/>
    <w:rsid w:val="007723AF"/>
    <w:rsid w:val="00774493"/>
    <w:rsid w:val="007754CF"/>
    <w:rsid w:val="007755A3"/>
    <w:rsid w:val="00775FDA"/>
    <w:rsid w:val="00776BFF"/>
    <w:rsid w:val="00780CE0"/>
    <w:rsid w:val="00782E84"/>
    <w:rsid w:val="00783B9D"/>
    <w:rsid w:val="00783BD2"/>
    <w:rsid w:val="0078402A"/>
    <w:rsid w:val="00784886"/>
    <w:rsid w:val="0078554B"/>
    <w:rsid w:val="0078573E"/>
    <w:rsid w:val="007907C3"/>
    <w:rsid w:val="00790A97"/>
    <w:rsid w:val="00790BC4"/>
    <w:rsid w:val="007934E7"/>
    <w:rsid w:val="00793C9E"/>
    <w:rsid w:val="007A17FC"/>
    <w:rsid w:val="007A1A19"/>
    <w:rsid w:val="007A2144"/>
    <w:rsid w:val="007A23EF"/>
    <w:rsid w:val="007A3744"/>
    <w:rsid w:val="007A4FBC"/>
    <w:rsid w:val="007A51A9"/>
    <w:rsid w:val="007A5EF1"/>
    <w:rsid w:val="007A6DF3"/>
    <w:rsid w:val="007A6E75"/>
    <w:rsid w:val="007B1E82"/>
    <w:rsid w:val="007B2B1B"/>
    <w:rsid w:val="007B3B85"/>
    <w:rsid w:val="007B4B16"/>
    <w:rsid w:val="007B7455"/>
    <w:rsid w:val="007C08C5"/>
    <w:rsid w:val="007C22E3"/>
    <w:rsid w:val="007C294A"/>
    <w:rsid w:val="007C2C71"/>
    <w:rsid w:val="007C408D"/>
    <w:rsid w:val="007C5730"/>
    <w:rsid w:val="007C64B2"/>
    <w:rsid w:val="007C738E"/>
    <w:rsid w:val="007C7F7B"/>
    <w:rsid w:val="007D09F6"/>
    <w:rsid w:val="007D11A6"/>
    <w:rsid w:val="007D2946"/>
    <w:rsid w:val="007D2F61"/>
    <w:rsid w:val="007D3191"/>
    <w:rsid w:val="007D5485"/>
    <w:rsid w:val="007D585B"/>
    <w:rsid w:val="007D5BD5"/>
    <w:rsid w:val="007D699D"/>
    <w:rsid w:val="007D6D4B"/>
    <w:rsid w:val="007D6D73"/>
    <w:rsid w:val="007D733B"/>
    <w:rsid w:val="007D7DF9"/>
    <w:rsid w:val="007D7F14"/>
    <w:rsid w:val="007E0164"/>
    <w:rsid w:val="007E1461"/>
    <w:rsid w:val="007E16DE"/>
    <w:rsid w:val="007E211F"/>
    <w:rsid w:val="007E324D"/>
    <w:rsid w:val="007E3549"/>
    <w:rsid w:val="007E4429"/>
    <w:rsid w:val="007E4A66"/>
    <w:rsid w:val="007E4AD5"/>
    <w:rsid w:val="007E4EBC"/>
    <w:rsid w:val="007E503A"/>
    <w:rsid w:val="007E61F3"/>
    <w:rsid w:val="007E6365"/>
    <w:rsid w:val="007E6672"/>
    <w:rsid w:val="007E753E"/>
    <w:rsid w:val="007E7F21"/>
    <w:rsid w:val="007F01FC"/>
    <w:rsid w:val="007F2136"/>
    <w:rsid w:val="007F3A5D"/>
    <w:rsid w:val="007F3AEE"/>
    <w:rsid w:val="007F4136"/>
    <w:rsid w:val="007F47E7"/>
    <w:rsid w:val="007F529C"/>
    <w:rsid w:val="007F5B46"/>
    <w:rsid w:val="007F6217"/>
    <w:rsid w:val="007F6258"/>
    <w:rsid w:val="007F6781"/>
    <w:rsid w:val="007F746C"/>
    <w:rsid w:val="007F75B9"/>
    <w:rsid w:val="00801AE2"/>
    <w:rsid w:val="00801F5F"/>
    <w:rsid w:val="00802A87"/>
    <w:rsid w:val="00802D16"/>
    <w:rsid w:val="00803007"/>
    <w:rsid w:val="00803069"/>
    <w:rsid w:val="008042C3"/>
    <w:rsid w:val="00804407"/>
    <w:rsid w:val="00804626"/>
    <w:rsid w:val="008064C4"/>
    <w:rsid w:val="00807206"/>
    <w:rsid w:val="00807805"/>
    <w:rsid w:val="00807F83"/>
    <w:rsid w:val="008100E5"/>
    <w:rsid w:val="00810234"/>
    <w:rsid w:val="00810643"/>
    <w:rsid w:val="00810959"/>
    <w:rsid w:val="00811F91"/>
    <w:rsid w:val="00812B5F"/>
    <w:rsid w:val="00812B63"/>
    <w:rsid w:val="008135E2"/>
    <w:rsid w:val="008138CF"/>
    <w:rsid w:val="00813B96"/>
    <w:rsid w:val="00813C95"/>
    <w:rsid w:val="008156E2"/>
    <w:rsid w:val="0081674D"/>
    <w:rsid w:val="00816A80"/>
    <w:rsid w:val="00816DD7"/>
    <w:rsid w:val="008173AE"/>
    <w:rsid w:val="0081745C"/>
    <w:rsid w:val="00825121"/>
    <w:rsid w:val="008254A2"/>
    <w:rsid w:val="00825576"/>
    <w:rsid w:val="008258F8"/>
    <w:rsid w:val="00830C29"/>
    <w:rsid w:val="00830DE9"/>
    <w:rsid w:val="00831F65"/>
    <w:rsid w:val="00833E2D"/>
    <w:rsid w:val="00834B3A"/>
    <w:rsid w:val="00835AD2"/>
    <w:rsid w:val="00835C17"/>
    <w:rsid w:val="00837296"/>
    <w:rsid w:val="00837DE9"/>
    <w:rsid w:val="008409F3"/>
    <w:rsid w:val="00843266"/>
    <w:rsid w:val="008443A3"/>
    <w:rsid w:val="0084527C"/>
    <w:rsid w:val="0084583C"/>
    <w:rsid w:val="00846284"/>
    <w:rsid w:val="00846E1C"/>
    <w:rsid w:val="008472EB"/>
    <w:rsid w:val="0085167A"/>
    <w:rsid w:val="00851E1A"/>
    <w:rsid w:val="0085346C"/>
    <w:rsid w:val="00853AB2"/>
    <w:rsid w:val="00854827"/>
    <w:rsid w:val="00855AFF"/>
    <w:rsid w:val="0085697F"/>
    <w:rsid w:val="00856A38"/>
    <w:rsid w:val="00856C1D"/>
    <w:rsid w:val="00856F0C"/>
    <w:rsid w:val="00857D89"/>
    <w:rsid w:val="00861148"/>
    <w:rsid w:val="008614C4"/>
    <w:rsid w:val="008617CD"/>
    <w:rsid w:val="00862683"/>
    <w:rsid w:val="008626FC"/>
    <w:rsid w:val="008631CD"/>
    <w:rsid w:val="008639C4"/>
    <w:rsid w:val="00863B08"/>
    <w:rsid w:val="00863E42"/>
    <w:rsid w:val="0086413A"/>
    <w:rsid w:val="0086440A"/>
    <w:rsid w:val="00865281"/>
    <w:rsid w:val="0086538C"/>
    <w:rsid w:val="00865C27"/>
    <w:rsid w:val="00866EF2"/>
    <w:rsid w:val="00867E1C"/>
    <w:rsid w:val="00871040"/>
    <w:rsid w:val="00871612"/>
    <w:rsid w:val="0087265E"/>
    <w:rsid w:val="00873016"/>
    <w:rsid w:val="008743E8"/>
    <w:rsid w:val="008746DB"/>
    <w:rsid w:val="00875033"/>
    <w:rsid w:val="008754DF"/>
    <w:rsid w:val="00875AA2"/>
    <w:rsid w:val="00876E58"/>
    <w:rsid w:val="0088096C"/>
    <w:rsid w:val="00881F36"/>
    <w:rsid w:val="0088247B"/>
    <w:rsid w:val="00882790"/>
    <w:rsid w:val="008847D7"/>
    <w:rsid w:val="00884FB5"/>
    <w:rsid w:val="008855C6"/>
    <w:rsid w:val="0088643B"/>
    <w:rsid w:val="00886FE4"/>
    <w:rsid w:val="008924B1"/>
    <w:rsid w:val="0089263B"/>
    <w:rsid w:val="00894491"/>
    <w:rsid w:val="0089554E"/>
    <w:rsid w:val="00896A33"/>
    <w:rsid w:val="008A055E"/>
    <w:rsid w:val="008A118E"/>
    <w:rsid w:val="008A122A"/>
    <w:rsid w:val="008A3919"/>
    <w:rsid w:val="008A4113"/>
    <w:rsid w:val="008A5123"/>
    <w:rsid w:val="008A5CD1"/>
    <w:rsid w:val="008A5DA7"/>
    <w:rsid w:val="008A61B5"/>
    <w:rsid w:val="008A6722"/>
    <w:rsid w:val="008A6B98"/>
    <w:rsid w:val="008A6E04"/>
    <w:rsid w:val="008B0C62"/>
    <w:rsid w:val="008B0D7D"/>
    <w:rsid w:val="008B1E69"/>
    <w:rsid w:val="008B23E3"/>
    <w:rsid w:val="008B3040"/>
    <w:rsid w:val="008B3629"/>
    <w:rsid w:val="008B553C"/>
    <w:rsid w:val="008B571E"/>
    <w:rsid w:val="008B6020"/>
    <w:rsid w:val="008B75D7"/>
    <w:rsid w:val="008B7F55"/>
    <w:rsid w:val="008C1800"/>
    <w:rsid w:val="008C1B6D"/>
    <w:rsid w:val="008C4BD4"/>
    <w:rsid w:val="008C608D"/>
    <w:rsid w:val="008C79D9"/>
    <w:rsid w:val="008D2534"/>
    <w:rsid w:val="008D266E"/>
    <w:rsid w:val="008D2892"/>
    <w:rsid w:val="008D2BA4"/>
    <w:rsid w:val="008D2CF8"/>
    <w:rsid w:val="008D61F6"/>
    <w:rsid w:val="008D6835"/>
    <w:rsid w:val="008D6E85"/>
    <w:rsid w:val="008D7327"/>
    <w:rsid w:val="008E2020"/>
    <w:rsid w:val="008E3CB6"/>
    <w:rsid w:val="008E3FC6"/>
    <w:rsid w:val="008E50B9"/>
    <w:rsid w:val="008E579A"/>
    <w:rsid w:val="008E6828"/>
    <w:rsid w:val="008E69A1"/>
    <w:rsid w:val="008E7EEF"/>
    <w:rsid w:val="008F3168"/>
    <w:rsid w:val="008F3ABA"/>
    <w:rsid w:val="008F4379"/>
    <w:rsid w:val="008F466D"/>
    <w:rsid w:val="008F6B61"/>
    <w:rsid w:val="008F75AA"/>
    <w:rsid w:val="008F773C"/>
    <w:rsid w:val="008F7BD3"/>
    <w:rsid w:val="008F7E8F"/>
    <w:rsid w:val="0090034C"/>
    <w:rsid w:val="00900F12"/>
    <w:rsid w:val="00901659"/>
    <w:rsid w:val="009033FB"/>
    <w:rsid w:val="00903463"/>
    <w:rsid w:val="00903570"/>
    <w:rsid w:val="00904239"/>
    <w:rsid w:val="0090491D"/>
    <w:rsid w:val="00904C5E"/>
    <w:rsid w:val="0090529D"/>
    <w:rsid w:val="0090678A"/>
    <w:rsid w:val="00906933"/>
    <w:rsid w:val="009069C2"/>
    <w:rsid w:val="0090727E"/>
    <w:rsid w:val="009105CE"/>
    <w:rsid w:val="009116FE"/>
    <w:rsid w:val="009117D8"/>
    <w:rsid w:val="00911EF0"/>
    <w:rsid w:val="00912A83"/>
    <w:rsid w:val="00912BB6"/>
    <w:rsid w:val="00912BF0"/>
    <w:rsid w:val="00912C0C"/>
    <w:rsid w:val="00913E9F"/>
    <w:rsid w:val="0091433F"/>
    <w:rsid w:val="0091452E"/>
    <w:rsid w:val="009165AE"/>
    <w:rsid w:val="00916EF9"/>
    <w:rsid w:val="00917B1C"/>
    <w:rsid w:val="00917CD6"/>
    <w:rsid w:val="00917F38"/>
    <w:rsid w:val="00920843"/>
    <w:rsid w:val="009214FB"/>
    <w:rsid w:val="0092221E"/>
    <w:rsid w:val="00922DEC"/>
    <w:rsid w:val="00924A9A"/>
    <w:rsid w:val="00924EAA"/>
    <w:rsid w:val="00924FB2"/>
    <w:rsid w:val="00925173"/>
    <w:rsid w:val="00927ACC"/>
    <w:rsid w:val="00927DCE"/>
    <w:rsid w:val="0093125A"/>
    <w:rsid w:val="00931857"/>
    <w:rsid w:val="00933DC4"/>
    <w:rsid w:val="009349D8"/>
    <w:rsid w:val="009356C0"/>
    <w:rsid w:val="009359B1"/>
    <w:rsid w:val="00935F53"/>
    <w:rsid w:val="009371CD"/>
    <w:rsid w:val="009400C1"/>
    <w:rsid w:val="0094027C"/>
    <w:rsid w:val="00940CCA"/>
    <w:rsid w:val="00941204"/>
    <w:rsid w:val="009417BE"/>
    <w:rsid w:val="00941A00"/>
    <w:rsid w:val="00941ECD"/>
    <w:rsid w:val="00943670"/>
    <w:rsid w:val="00944900"/>
    <w:rsid w:val="0095095B"/>
    <w:rsid w:val="00950EA2"/>
    <w:rsid w:val="009511C7"/>
    <w:rsid w:val="0095155B"/>
    <w:rsid w:val="00951F0E"/>
    <w:rsid w:val="009532EF"/>
    <w:rsid w:val="0095507C"/>
    <w:rsid w:val="00955AB0"/>
    <w:rsid w:val="00960992"/>
    <w:rsid w:val="0096198A"/>
    <w:rsid w:val="00961CAC"/>
    <w:rsid w:val="0096239B"/>
    <w:rsid w:val="0096308F"/>
    <w:rsid w:val="00963933"/>
    <w:rsid w:val="00963FB3"/>
    <w:rsid w:val="00964397"/>
    <w:rsid w:val="00964594"/>
    <w:rsid w:val="00964DF8"/>
    <w:rsid w:val="00965966"/>
    <w:rsid w:val="00967F33"/>
    <w:rsid w:val="00971593"/>
    <w:rsid w:val="00973DB3"/>
    <w:rsid w:val="00973F1C"/>
    <w:rsid w:val="0097413B"/>
    <w:rsid w:val="009767AA"/>
    <w:rsid w:val="00976824"/>
    <w:rsid w:val="009775E2"/>
    <w:rsid w:val="00977DB0"/>
    <w:rsid w:val="00980B10"/>
    <w:rsid w:val="00980C85"/>
    <w:rsid w:val="0098105E"/>
    <w:rsid w:val="009811AC"/>
    <w:rsid w:val="00981624"/>
    <w:rsid w:val="0098482A"/>
    <w:rsid w:val="00984889"/>
    <w:rsid w:val="00985D94"/>
    <w:rsid w:val="00985EB6"/>
    <w:rsid w:val="009875C6"/>
    <w:rsid w:val="00993A7B"/>
    <w:rsid w:val="00993FEF"/>
    <w:rsid w:val="00995469"/>
    <w:rsid w:val="00996FDC"/>
    <w:rsid w:val="00997D9A"/>
    <w:rsid w:val="009A00DE"/>
    <w:rsid w:val="009A12F4"/>
    <w:rsid w:val="009A21C8"/>
    <w:rsid w:val="009A2843"/>
    <w:rsid w:val="009A31FC"/>
    <w:rsid w:val="009A34D4"/>
    <w:rsid w:val="009A46A7"/>
    <w:rsid w:val="009A6323"/>
    <w:rsid w:val="009A6E16"/>
    <w:rsid w:val="009A7C78"/>
    <w:rsid w:val="009B0402"/>
    <w:rsid w:val="009B054C"/>
    <w:rsid w:val="009B3592"/>
    <w:rsid w:val="009B49A7"/>
    <w:rsid w:val="009B629D"/>
    <w:rsid w:val="009B7B3A"/>
    <w:rsid w:val="009C0543"/>
    <w:rsid w:val="009C10EA"/>
    <w:rsid w:val="009C1524"/>
    <w:rsid w:val="009C3115"/>
    <w:rsid w:val="009C3184"/>
    <w:rsid w:val="009C6187"/>
    <w:rsid w:val="009C6574"/>
    <w:rsid w:val="009C7A24"/>
    <w:rsid w:val="009C7FD6"/>
    <w:rsid w:val="009D00DE"/>
    <w:rsid w:val="009D0110"/>
    <w:rsid w:val="009D08D7"/>
    <w:rsid w:val="009D0EA8"/>
    <w:rsid w:val="009D5335"/>
    <w:rsid w:val="009D560F"/>
    <w:rsid w:val="009D5AB0"/>
    <w:rsid w:val="009D61AE"/>
    <w:rsid w:val="009D66CE"/>
    <w:rsid w:val="009D680C"/>
    <w:rsid w:val="009D7610"/>
    <w:rsid w:val="009D7A03"/>
    <w:rsid w:val="009D7FA6"/>
    <w:rsid w:val="009E0CAC"/>
    <w:rsid w:val="009E0E57"/>
    <w:rsid w:val="009E3F22"/>
    <w:rsid w:val="009E4BE0"/>
    <w:rsid w:val="009E4F36"/>
    <w:rsid w:val="009E52BB"/>
    <w:rsid w:val="009E5F7E"/>
    <w:rsid w:val="009E762E"/>
    <w:rsid w:val="009F03E4"/>
    <w:rsid w:val="009F06E2"/>
    <w:rsid w:val="009F1908"/>
    <w:rsid w:val="009F2353"/>
    <w:rsid w:val="009F2AF5"/>
    <w:rsid w:val="009F68C6"/>
    <w:rsid w:val="009F6F4A"/>
    <w:rsid w:val="00A00132"/>
    <w:rsid w:val="00A0089A"/>
    <w:rsid w:val="00A008C9"/>
    <w:rsid w:val="00A02770"/>
    <w:rsid w:val="00A034C7"/>
    <w:rsid w:val="00A05093"/>
    <w:rsid w:val="00A0693D"/>
    <w:rsid w:val="00A07801"/>
    <w:rsid w:val="00A10E8C"/>
    <w:rsid w:val="00A11B2D"/>
    <w:rsid w:val="00A11E69"/>
    <w:rsid w:val="00A1287E"/>
    <w:rsid w:val="00A12B1B"/>
    <w:rsid w:val="00A12BB0"/>
    <w:rsid w:val="00A12D72"/>
    <w:rsid w:val="00A1344F"/>
    <w:rsid w:val="00A139E2"/>
    <w:rsid w:val="00A14B37"/>
    <w:rsid w:val="00A14CE7"/>
    <w:rsid w:val="00A153E7"/>
    <w:rsid w:val="00A156E0"/>
    <w:rsid w:val="00A17B09"/>
    <w:rsid w:val="00A17EB1"/>
    <w:rsid w:val="00A20959"/>
    <w:rsid w:val="00A21576"/>
    <w:rsid w:val="00A2158F"/>
    <w:rsid w:val="00A21833"/>
    <w:rsid w:val="00A21B99"/>
    <w:rsid w:val="00A22867"/>
    <w:rsid w:val="00A22D5C"/>
    <w:rsid w:val="00A234F1"/>
    <w:rsid w:val="00A2475A"/>
    <w:rsid w:val="00A24DB9"/>
    <w:rsid w:val="00A2774E"/>
    <w:rsid w:val="00A279E2"/>
    <w:rsid w:val="00A27EFE"/>
    <w:rsid w:val="00A30677"/>
    <w:rsid w:val="00A317EB"/>
    <w:rsid w:val="00A32351"/>
    <w:rsid w:val="00A33CEF"/>
    <w:rsid w:val="00A33F19"/>
    <w:rsid w:val="00A367D9"/>
    <w:rsid w:val="00A37CDD"/>
    <w:rsid w:val="00A37CEC"/>
    <w:rsid w:val="00A408E5"/>
    <w:rsid w:val="00A40B25"/>
    <w:rsid w:val="00A4177A"/>
    <w:rsid w:val="00A425BA"/>
    <w:rsid w:val="00A43AC1"/>
    <w:rsid w:val="00A44264"/>
    <w:rsid w:val="00A44CEE"/>
    <w:rsid w:val="00A45D07"/>
    <w:rsid w:val="00A4729D"/>
    <w:rsid w:val="00A511F9"/>
    <w:rsid w:val="00A51260"/>
    <w:rsid w:val="00A51F01"/>
    <w:rsid w:val="00A52212"/>
    <w:rsid w:val="00A522E8"/>
    <w:rsid w:val="00A52AEA"/>
    <w:rsid w:val="00A52F3B"/>
    <w:rsid w:val="00A535D2"/>
    <w:rsid w:val="00A549D2"/>
    <w:rsid w:val="00A553AC"/>
    <w:rsid w:val="00A56A82"/>
    <w:rsid w:val="00A56B96"/>
    <w:rsid w:val="00A57E18"/>
    <w:rsid w:val="00A603B1"/>
    <w:rsid w:val="00A6056F"/>
    <w:rsid w:val="00A60651"/>
    <w:rsid w:val="00A606BA"/>
    <w:rsid w:val="00A60FA0"/>
    <w:rsid w:val="00A6167C"/>
    <w:rsid w:val="00A61B62"/>
    <w:rsid w:val="00A64543"/>
    <w:rsid w:val="00A6633C"/>
    <w:rsid w:val="00A6653B"/>
    <w:rsid w:val="00A666A5"/>
    <w:rsid w:val="00A67E0B"/>
    <w:rsid w:val="00A67EDE"/>
    <w:rsid w:val="00A71922"/>
    <w:rsid w:val="00A719F4"/>
    <w:rsid w:val="00A721F3"/>
    <w:rsid w:val="00A727AB"/>
    <w:rsid w:val="00A73857"/>
    <w:rsid w:val="00A744FF"/>
    <w:rsid w:val="00A747D0"/>
    <w:rsid w:val="00A749A6"/>
    <w:rsid w:val="00A74D38"/>
    <w:rsid w:val="00A756C3"/>
    <w:rsid w:val="00A75CFC"/>
    <w:rsid w:val="00A76AF0"/>
    <w:rsid w:val="00A817B4"/>
    <w:rsid w:val="00A82E39"/>
    <w:rsid w:val="00A82E7E"/>
    <w:rsid w:val="00A843EC"/>
    <w:rsid w:val="00A84DAC"/>
    <w:rsid w:val="00A86EB9"/>
    <w:rsid w:val="00A87156"/>
    <w:rsid w:val="00A9005F"/>
    <w:rsid w:val="00A900BD"/>
    <w:rsid w:val="00A9069B"/>
    <w:rsid w:val="00A918F3"/>
    <w:rsid w:val="00A92661"/>
    <w:rsid w:val="00A92D2C"/>
    <w:rsid w:val="00A93085"/>
    <w:rsid w:val="00A93958"/>
    <w:rsid w:val="00A93AEE"/>
    <w:rsid w:val="00A955A5"/>
    <w:rsid w:val="00A964C6"/>
    <w:rsid w:val="00A97107"/>
    <w:rsid w:val="00AA07C3"/>
    <w:rsid w:val="00AA0ED3"/>
    <w:rsid w:val="00AA27EE"/>
    <w:rsid w:val="00AA2C76"/>
    <w:rsid w:val="00AA64AE"/>
    <w:rsid w:val="00AA7AA3"/>
    <w:rsid w:val="00AA7AF7"/>
    <w:rsid w:val="00AA7BD1"/>
    <w:rsid w:val="00AA7EBA"/>
    <w:rsid w:val="00AB087C"/>
    <w:rsid w:val="00AB0E65"/>
    <w:rsid w:val="00AB1FAB"/>
    <w:rsid w:val="00AB2F9A"/>
    <w:rsid w:val="00AB3BE8"/>
    <w:rsid w:val="00AB3D14"/>
    <w:rsid w:val="00AB52F4"/>
    <w:rsid w:val="00AB5CAC"/>
    <w:rsid w:val="00AB6424"/>
    <w:rsid w:val="00AB7C85"/>
    <w:rsid w:val="00AC1BC5"/>
    <w:rsid w:val="00AC2DD2"/>
    <w:rsid w:val="00AC4BE8"/>
    <w:rsid w:val="00AC5BCD"/>
    <w:rsid w:val="00AC75C8"/>
    <w:rsid w:val="00AC78BB"/>
    <w:rsid w:val="00AD0205"/>
    <w:rsid w:val="00AD3188"/>
    <w:rsid w:val="00AD3AB5"/>
    <w:rsid w:val="00AD3F4D"/>
    <w:rsid w:val="00AD41DA"/>
    <w:rsid w:val="00AD438D"/>
    <w:rsid w:val="00AD45CD"/>
    <w:rsid w:val="00AD6727"/>
    <w:rsid w:val="00AE0086"/>
    <w:rsid w:val="00AE1372"/>
    <w:rsid w:val="00AE2C9E"/>
    <w:rsid w:val="00AE35CF"/>
    <w:rsid w:val="00AE4167"/>
    <w:rsid w:val="00AE4BA1"/>
    <w:rsid w:val="00AE4E26"/>
    <w:rsid w:val="00AE67C2"/>
    <w:rsid w:val="00AE7A47"/>
    <w:rsid w:val="00AF109D"/>
    <w:rsid w:val="00AF1840"/>
    <w:rsid w:val="00AF1BDF"/>
    <w:rsid w:val="00AF2CE4"/>
    <w:rsid w:val="00AF3B46"/>
    <w:rsid w:val="00AF4556"/>
    <w:rsid w:val="00AF6F30"/>
    <w:rsid w:val="00AF784F"/>
    <w:rsid w:val="00B008C8"/>
    <w:rsid w:val="00B00B30"/>
    <w:rsid w:val="00B013B3"/>
    <w:rsid w:val="00B014BA"/>
    <w:rsid w:val="00B01F41"/>
    <w:rsid w:val="00B02B9D"/>
    <w:rsid w:val="00B03367"/>
    <w:rsid w:val="00B038B1"/>
    <w:rsid w:val="00B0457C"/>
    <w:rsid w:val="00B04F33"/>
    <w:rsid w:val="00B059D9"/>
    <w:rsid w:val="00B06584"/>
    <w:rsid w:val="00B06B8F"/>
    <w:rsid w:val="00B0749E"/>
    <w:rsid w:val="00B075CD"/>
    <w:rsid w:val="00B10661"/>
    <w:rsid w:val="00B1084B"/>
    <w:rsid w:val="00B10FB3"/>
    <w:rsid w:val="00B11335"/>
    <w:rsid w:val="00B114AA"/>
    <w:rsid w:val="00B14717"/>
    <w:rsid w:val="00B14B0E"/>
    <w:rsid w:val="00B1631A"/>
    <w:rsid w:val="00B16DB6"/>
    <w:rsid w:val="00B17FF8"/>
    <w:rsid w:val="00B2024F"/>
    <w:rsid w:val="00B203A2"/>
    <w:rsid w:val="00B20A22"/>
    <w:rsid w:val="00B213F9"/>
    <w:rsid w:val="00B23260"/>
    <w:rsid w:val="00B23A63"/>
    <w:rsid w:val="00B24A3C"/>
    <w:rsid w:val="00B253B2"/>
    <w:rsid w:val="00B25CBF"/>
    <w:rsid w:val="00B264D7"/>
    <w:rsid w:val="00B26702"/>
    <w:rsid w:val="00B27D6B"/>
    <w:rsid w:val="00B3149C"/>
    <w:rsid w:val="00B314F1"/>
    <w:rsid w:val="00B319A2"/>
    <w:rsid w:val="00B31A09"/>
    <w:rsid w:val="00B31BB3"/>
    <w:rsid w:val="00B328C8"/>
    <w:rsid w:val="00B346A7"/>
    <w:rsid w:val="00B34970"/>
    <w:rsid w:val="00B356D0"/>
    <w:rsid w:val="00B3580F"/>
    <w:rsid w:val="00B35A10"/>
    <w:rsid w:val="00B37D48"/>
    <w:rsid w:val="00B40211"/>
    <w:rsid w:val="00B4080A"/>
    <w:rsid w:val="00B408B4"/>
    <w:rsid w:val="00B40BB9"/>
    <w:rsid w:val="00B40CC0"/>
    <w:rsid w:val="00B41470"/>
    <w:rsid w:val="00B414AE"/>
    <w:rsid w:val="00B43DA2"/>
    <w:rsid w:val="00B4463F"/>
    <w:rsid w:val="00B46785"/>
    <w:rsid w:val="00B510DD"/>
    <w:rsid w:val="00B513C5"/>
    <w:rsid w:val="00B51537"/>
    <w:rsid w:val="00B520E5"/>
    <w:rsid w:val="00B529A5"/>
    <w:rsid w:val="00B570CD"/>
    <w:rsid w:val="00B5760B"/>
    <w:rsid w:val="00B6141F"/>
    <w:rsid w:val="00B62BBB"/>
    <w:rsid w:val="00B6372C"/>
    <w:rsid w:val="00B637D4"/>
    <w:rsid w:val="00B63BC9"/>
    <w:rsid w:val="00B64AE0"/>
    <w:rsid w:val="00B64EA0"/>
    <w:rsid w:val="00B67287"/>
    <w:rsid w:val="00B708BA"/>
    <w:rsid w:val="00B70AC5"/>
    <w:rsid w:val="00B71DB9"/>
    <w:rsid w:val="00B721CF"/>
    <w:rsid w:val="00B7331A"/>
    <w:rsid w:val="00B750CE"/>
    <w:rsid w:val="00B759DE"/>
    <w:rsid w:val="00B7611D"/>
    <w:rsid w:val="00B76167"/>
    <w:rsid w:val="00B76C42"/>
    <w:rsid w:val="00B81CE4"/>
    <w:rsid w:val="00B825CD"/>
    <w:rsid w:val="00B82DDE"/>
    <w:rsid w:val="00B83926"/>
    <w:rsid w:val="00B840AD"/>
    <w:rsid w:val="00B84E23"/>
    <w:rsid w:val="00B86496"/>
    <w:rsid w:val="00B877F7"/>
    <w:rsid w:val="00B918D4"/>
    <w:rsid w:val="00B92097"/>
    <w:rsid w:val="00B92518"/>
    <w:rsid w:val="00B93A40"/>
    <w:rsid w:val="00B95292"/>
    <w:rsid w:val="00BA09A8"/>
    <w:rsid w:val="00BA0E23"/>
    <w:rsid w:val="00BA2C7D"/>
    <w:rsid w:val="00BA2DC3"/>
    <w:rsid w:val="00BA2F3B"/>
    <w:rsid w:val="00BA4470"/>
    <w:rsid w:val="00BA56BA"/>
    <w:rsid w:val="00BA6C01"/>
    <w:rsid w:val="00BA6ECB"/>
    <w:rsid w:val="00BA7255"/>
    <w:rsid w:val="00BA7350"/>
    <w:rsid w:val="00BA7441"/>
    <w:rsid w:val="00BB0638"/>
    <w:rsid w:val="00BB190F"/>
    <w:rsid w:val="00BB2016"/>
    <w:rsid w:val="00BB375B"/>
    <w:rsid w:val="00BB42A2"/>
    <w:rsid w:val="00BB5ABA"/>
    <w:rsid w:val="00BB63B3"/>
    <w:rsid w:val="00BB6792"/>
    <w:rsid w:val="00BB75F1"/>
    <w:rsid w:val="00BB7734"/>
    <w:rsid w:val="00BB7BCD"/>
    <w:rsid w:val="00BB7C68"/>
    <w:rsid w:val="00BC265D"/>
    <w:rsid w:val="00BC30A9"/>
    <w:rsid w:val="00BC3FDA"/>
    <w:rsid w:val="00BC5666"/>
    <w:rsid w:val="00BC5ABE"/>
    <w:rsid w:val="00BC5EB6"/>
    <w:rsid w:val="00BC623C"/>
    <w:rsid w:val="00BC7A3C"/>
    <w:rsid w:val="00BD1A4C"/>
    <w:rsid w:val="00BD1D71"/>
    <w:rsid w:val="00BD2B27"/>
    <w:rsid w:val="00BD3F5C"/>
    <w:rsid w:val="00BD47E0"/>
    <w:rsid w:val="00BD698A"/>
    <w:rsid w:val="00BD7554"/>
    <w:rsid w:val="00BD7C82"/>
    <w:rsid w:val="00BE0DAA"/>
    <w:rsid w:val="00BE1499"/>
    <w:rsid w:val="00BE1845"/>
    <w:rsid w:val="00BE18B0"/>
    <w:rsid w:val="00BE2F9F"/>
    <w:rsid w:val="00BE3AE9"/>
    <w:rsid w:val="00BE42F2"/>
    <w:rsid w:val="00BE4C1E"/>
    <w:rsid w:val="00BE6F01"/>
    <w:rsid w:val="00BE73FB"/>
    <w:rsid w:val="00BE7B8D"/>
    <w:rsid w:val="00BF03BA"/>
    <w:rsid w:val="00BF0F41"/>
    <w:rsid w:val="00BF1487"/>
    <w:rsid w:val="00BF14E7"/>
    <w:rsid w:val="00BF2610"/>
    <w:rsid w:val="00BF272F"/>
    <w:rsid w:val="00BF2A3F"/>
    <w:rsid w:val="00BF2E2E"/>
    <w:rsid w:val="00BF69CB"/>
    <w:rsid w:val="00BF6D2D"/>
    <w:rsid w:val="00BF7166"/>
    <w:rsid w:val="00C02293"/>
    <w:rsid w:val="00C02794"/>
    <w:rsid w:val="00C03304"/>
    <w:rsid w:val="00C03764"/>
    <w:rsid w:val="00C03C04"/>
    <w:rsid w:val="00C03F32"/>
    <w:rsid w:val="00C04985"/>
    <w:rsid w:val="00C07FBE"/>
    <w:rsid w:val="00C10E99"/>
    <w:rsid w:val="00C1133A"/>
    <w:rsid w:val="00C126A1"/>
    <w:rsid w:val="00C128AB"/>
    <w:rsid w:val="00C12DEE"/>
    <w:rsid w:val="00C13286"/>
    <w:rsid w:val="00C143D1"/>
    <w:rsid w:val="00C14786"/>
    <w:rsid w:val="00C14CB8"/>
    <w:rsid w:val="00C14F66"/>
    <w:rsid w:val="00C20050"/>
    <w:rsid w:val="00C20148"/>
    <w:rsid w:val="00C20A1F"/>
    <w:rsid w:val="00C20F1A"/>
    <w:rsid w:val="00C23721"/>
    <w:rsid w:val="00C23C2C"/>
    <w:rsid w:val="00C23CCF"/>
    <w:rsid w:val="00C23FAF"/>
    <w:rsid w:val="00C2445F"/>
    <w:rsid w:val="00C24ED8"/>
    <w:rsid w:val="00C25A29"/>
    <w:rsid w:val="00C25B25"/>
    <w:rsid w:val="00C276B3"/>
    <w:rsid w:val="00C27ED9"/>
    <w:rsid w:val="00C30EE5"/>
    <w:rsid w:val="00C31ED0"/>
    <w:rsid w:val="00C326FF"/>
    <w:rsid w:val="00C360FE"/>
    <w:rsid w:val="00C364D3"/>
    <w:rsid w:val="00C402A3"/>
    <w:rsid w:val="00C40982"/>
    <w:rsid w:val="00C40C9B"/>
    <w:rsid w:val="00C426F0"/>
    <w:rsid w:val="00C454EE"/>
    <w:rsid w:val="00C45FED"/>
    <w:rsid w:val="00C47054"/>
    <w:rsid w:val="00C478CC"/>
    <w:rsid w:val="00C50FC0"/>
    <w:rsid w:val="00C51928"/>
    <w:rsid w:val="00C524CA"/>
    <w:rsid w:val="00C52D14"/>
    <w:rsid w:val="00C55BC0"/>
    <w:rsid w:val="00C56744"/>
    <w:rsid w:val="00C56846"/>
    <w:rsid w:val="00C571C2"/>
    <w:rsid w:val="00C578E7"/>
    <w:rsid w:val="00C60D07"/>
    <w:rsid w:val="00C614DD"/>
    <w:rsid w:val="00C617F4"/>
    <w:rsid w:val="00C62656"/>
    <w:rsid w:val="00C62C78"/>
    <w:rsid w:val="00C634C4"/>
    <w:rsid w:val="00C63CBA"/>
    <w:rsid w:val="00C63E40"/>
    <w:rsid w:val="00C63E56"/>
    <w:rsid w:val="00C642C6"/>
    <w:rsid w:val="00C670E3"/>
    <w:rsid w:val="00C71754"/>
    <w:rsid w:val="00C71839"/>
    <w:rsid w:val="00C71D51"/>
    <w:rsid w:val="00C71F30"/>
    <w:rsid w:val="00C74B00"/>
    <w:rsid w:val="00C74FD7"/>
    <w:rsid w:val="00C751C7"/>
    <w:rsid w:val="00C75D22"/>
    <w:rsid w:val="00C760EA"/>
    <w:rsid w:val="00C76145"/>
    <w:rsid w:val="00C76C72"/>
    <w:rsid w:val="00C80481"/>
    <w:rsid w:val="00C80755"/>
    <w:rsid w:val="00C8083D"/>
    <w:rsid w:val="00C808B9"/>
    <w:rsid w:val="00C80AE3"/>
    <w:rsid w:val="00C80D07"/>
    <w:rsid w:val="00C8284F"/>
    <w:rsid w:val="00C82E2D"/>
    <w:rsid w:val="00C837E3"/>
    <w:rsid w:val="00C83C4D"/>
    <w:rsid w:val="00C83E5C"/>
    <w:rsid w:val="00C83FB0"/>
    <w:rsid w:val="00C84745"/>
    <w:rsid w:val="00C84945"/>
    <w:rsid w:val="00C85362"/>
    <w:rsid w:val="00C858FC"/>
    <w:rsid w:val="00C86A4C"/>
    <w:rsid w:val="00C87BF4"/>
    <w:rsid w:val="00C917F7"/>
    <w:rsid w:val="00C91A5E"/>
    <w:rsid w:val="00C93088"/>
    <w:rsid w:val="00C93336"/>
    <w:rsid w:val="00C9348F"/>
    <w:rsid w:val="00C948BE"/>
    <w:rsid w:val="00C94CAD"/>
    <w:rsid w:val="00C954B7"/>
    <w:rsid w:val="00C9571C"/>
    <w:rsid w:val="00C9611C"/>
    <w:rsid w:val="00C96710"/>
    <w:rsid w:val="00C97190"/>
    <w:rsid w:val="00C97DA3"/>
    <w:rsid w:val="00C97F29"/>
    <w:rsid w:val="00CA1A50"/>
    <w:rsid w:val="00CA1AAD"/>
    <w:rsid w:val="00CA23F6"/>
    <w:rsid w:val="00CA2B02"/>
    <w:rsid w:val="00CA3315"/>
    <w:rsid w:val="00CA359B"/>
    <w:rsid w:val="00CA3708"/>
    <w:rsid w:val="00CA3748"/>
    <w:rsid w:val="00CA38D0"/>
    <w:rsid w:val="00CA4308"/>
    <w:rsid w:val="00CA43B7"/>
    <w:rsid w:val="00CA4480"/>
    <w:rsid w:val="00CA4AAA"/>
    <w:rsid w:val="00CA58A2"/>
    <w:rsid w:val="00CA58E5"/>
    <w:rsid w:val="00CA5A42"/>
    <w:rsid w:val="00CA5EFD"/>
    <w:rsid w:val="00CA61E2"/>
    <w:rsid w:val="00CA627E"/>
    <w:rsid w:val="00CA7B69"/>
    <w:rsid w:val="00CB12A4"/>
    <w:rsid w:val="00CB14C7"/>
    <w:rsid w:val="00CB17CF"/>
    <w:rsid w:val="00CB24A1"/>
    <w:rsid w:val="00CB3AE2"/>
    <w:rsid w:val="00CB51DB"/>
    <w:rsid w:val="00CB59E8"/>
    <w:rsid w:val="00CC031D"/>
    <w:rsid w:val="00CC056F"/>
    <w:rsid w:val="00CC10D4"/>
    <w:rsid w:val="00CC1688"/>
    <w:rsid w:val="00CC1E75"/>
    <w:rsid w:val="00CC2314"/>
    <w:rsid w:val="00CC24C7"/>
    <w:rsid w:val="00CC252F"/>
    <w:rsid w:val="00CC2FAC"/>
    <w:rsid w:val="00CC33AF"/>
    <w:rsid w:val="00CC3986"/>
    <w:rsid w:val="00CC3CA3"/>
    <w:rsid w:val="00CC3D04"/>
    <w:rsid w:val="00CC5059"/>
    <w:rsid w:val="00CC62D3"/>
    <w:rsid w:val="00CC6759"/>
    <w:rsid w:val="00CC7B58"/>
    <w:rsid w:val="00CC7EC9"/>
    <w:rsid w:val="00CD0196"/>
    <w:rsid w:val="00CD0FAF"/>
    <w:rsid w:val="00CD159F"/>
    <w:rsid w:val="00CD1AC7"/>
    <w:rsid w:val="00CD4D21"/>
    <w:rsid w:val="00CD4D4B"/>
    <w:rsid w:val="00CD5B5D"/>
    <w:rsid w:val="00CD6D40"/>
    <w:rsid w:val="00CD6D7B"/>
    <w:rsid w:val="00CD7A4F"/>
    <w:rsid w:val="00CE009C"/>
    <w:rsid w:val="00CE0BB4"/>
    <w:rsid w:val="00CE105F"/>
    <w:rsid w:val="00CE1245"/>
    <w:rsid w:val="00CE14DA"/>
    <w:rsid w:val="00CE2103"/>
    <w:rsid w:val="00CE2F8B"/>
    <w:rsid w:val="00CE3BD4"/>
    <w:rsid w:val="00CE3EF4"/>
    <w:rsid w:val="00CE4D60"/>
    <w:rsid w:val="00CE661A"/>
    <w:rsid w:val="00CE69EC"/>
    <w:rsid w:val="00CF02AE"/>
    <w:rsid w:val="00CF15D0"/>
    <w:rsid w:val="00CF1B46"/>
    <w:rsid w:val="00CF2E6B"/>
    <w:rsid w:val="00CF4AAF"/>
    <w:rsid w:val="00CF6099"/>
    <w:rsid w:val="00CF64F9"/>
    <w:rsid w:val="00CF711F"/>
    <w:rsid w:val="00CF7522"/>
    <w:rsid w:val="00CF7BCF"/>
    <w:rsid w:val="00D001F1"/>
    <w:rsid w:val="00D00326"/>
    <w:rsid w:val="00D00905"/>
    <w:rsid w:val="00D0132E"/>
    <w:rsid w:val="00D02D3F"/>
    <w:rsid w:val="00D04463"/>
    <w:rsid w:val="00D05E67"/>
    <w:rsid w:val="00D06407"/>
    <w:rsid w:val="00D06880"/>
    <w:rsid w:val="00D113CF"/>
    <w:rsid w:val="00D11DF1"/>
    <w:rsid w:val="00D122D6"/>
    <w:rsid w:val="00D13D30"/>
    <w:rsid w:val="00D13DF5"/>
    <w:rsid w:val="00D143FB"/>
    <w:rsid w:val="00D15325"/>
    <w:rsid w:val="00D15524"/>
    <w:rsid w:val="00D162AE"/>
    <w:rsid w:val="00D17C26"/>
    <w:rsid w:val="00D17C44"/>
    <w:rsid w:val="00D2060C"/>
    <w:rsid w:val="00D2117B"/>
    <w:rsid w:val="00D238B5"/>
    <w:rsid w:val="00D2584C"/>
    <w:rsid w:val="00D258F8"/>
    <w:rsid w:val="00D25FF1"/>
    <w:rsid w:val="00D26F03"/>
    <w:rsid w:val="00D27399"/>
    <w:rsid w:val="00D27A64"/>
    <w:rsid w:val="00D27F82"/>
    <w:rsid w:val="00D31968"/>
    <w:rsid w:val="00D32399"/>
    <w:rsid w:val="00D34C1A"/>
    <w:rsid w:val="00D34F95"/>
    <w:rsid w:val="00D35C9C"/>
    <w:rsid w:val="00D36968"/>
    <w:rsid w:val="00D40E59"/>
    <w:rsid w:val="00D41889"/>
    <w:rsid w:val="00D41D57"/>
    <w:rsid w:val="00D42577"/>
    <w:rsid w:val="00D42D0A"/>
    <w:rsid w:val="00D44746"/>
    <w:rsid w:val="00D44F0C"/>
    <w:rsid w:val="00D45E2F"/>
    <w:rsid w:val="00D4730A"/>
    <w:rsid w:val="00D5111C"/>
    <w:rsid w:val="00D523B2"/>
    <w:rsid w:val="00D52704"/>
    <w:rsid w:val="00D528E4"/>
    <w:rsid w:val="00D543A2"/>
    <w:rsid w:val="00D54989"/>
    <w:rsid w:val="00D54BD1"/>
    <w:rsid w:val="00D56697"/>
    <w:rsid w:val="00D56F27"/>
    <w:rsid w:val="00D574E5"/>
    <w:rsid w:val="00D57633"/>
    <w:rsid w:val="00D57CBA"/>
    <w:rsid w:val="00D607A6"/>
    <w:rsid w:val="00D60A42"/>
    <w:rsid w:val="00D60EA9"/>
    <w:rsid w:val="00D60F9F"/>
    <w:rsid w:val="00D615C3"/>
    <w:rsid w:val="00D61914"/>
    <w:rsid w:val="00D6254E"/>
    <w:rsid w:val="00D62C14"/>
    <w:rsid w:val="00D65455"/>
    <w:rsid w:val="00D66616"/>
    <w:rsid w:val="00D66C1E"/>
    <w:rsid w:val="00D675C0"/>
    <w:rsid w:val="00D7005A"/>
    <w:rsid w:val="00D71C63"/>
    <w:rsid w:val="00D71CDC"/>
    <w:rsid w:val="00D74630"/>
    <w:rsid w:val="00D74677"/>
    <w:rsid w:val="00D75B7D"/>
    <w:rsid w:val="00D76619"/>
    <w:rsid w:val="00D77C3D"/>
    <w:rsid w:val="00D8064D"/>
    <w:rsid w:val="00D820F8"/>
    <w:rsid w:val="00D82ACE"/>
    <w:rsid w:val="00D82E4F"/>
    <w:rsid w:val="00D82F8D"/>
    <w:rsid w:val="00D8503E"/>
    <w:rsid w:val="00D85E8C"/>
    <w:rsid w:val="00D8639A"/>
    <w:rsid w:val="00D86DE9"/>
    <w:rsid w:val="00D86EBC"/>
    <w:rsid w:val="00D907F3"/>
    <w:rsid w:val="00D91AB8"/>
    <w:rsid w:val="00D91B54"/>
    <w:rsid w:val="00D92C33"/>
    <w:rsid w:val="00D95277"/>
    <w:rsid w:val="00D95A45"/>
    <w:rsid w:val="00D97AC0"/>
    <w:rsid w:val="00D97BE8"/>
    <w:rsid w:val="00DA2A44"/>
    <w:rsid w:val="00DA58FC"/>
    <w:rsid w:val="00DA6394"/>
    <w:rsid w:val="00DA6F55"/>
    <w:rsid w:val="00DA6FE0"/>
    <w:rsid w:val="00DB08B7"/>
    <w:rsid w:val="00DB0FD9"/>
    <w:rsid w:val="00DB1253"/>
    <w:rsid w:val="00DB342F"/>
    <w:rsid w:val="00DB3A6D"/>
    <w:rsid w:val="00DB3FD3"/>
    <w:rsid w:val="00DB4A01"/>
    <w:rsid w:val="00DB4EF4"/>
    <w:rsid w:val="00DB5550"/>
    <w:rsid w:val="00DB6734"/>
    <w:rsid w:val="00DB6738"/>
    <w:rsid w:val="00DB6A35"/>
    <w:rsid w:val="00DC02F7"/>
    <w:rsid w:val="00DC0B03"/>
    <w:rsid w:val="00DC0EF7"/>
    <w:rsid w:val="00DC1F05"/>
    <w:rsid w:val="00DC2940"/>
    <w:rsid w:val="00DC3F5B"/>
    <w:rsid w:val="00DC44D4"/>
    <w:rsid w:val="00DC63ED"/>
    <w:rsid w:val="00DC7B4C"/>
    <w:rsid w:val="00DC7C8E"/>
    <w:rsid w:val="00DD1AC4"/>
    <w:rsid w:val="00DD29F2"/>
    <w:rsid w:val="00DD34BB"/>
    <w:rsid w:val="00DD517A"/>
    <w:rsid w:val="00DD5511"/>
    <w:rsid w:val="00DD5870"/>
    <w:rsid w:val="00DD6F6E"/>
    <w:rsid w:val="00DD768D"/>
    <w:rsid w:val="00DD775A"/>
    <w:rsid w:val="00DD7C21"/>
    <w:rsid w:val="00DE0EA3"/>
    <w:rsid w:val="00DE16E0"/>
    <w:rsid w:val="00DE17DC"/>
    <w:rsid w:val="00DE2BFC"/>
    <w:rsid w:val="00DE358F"/>
    <w:rsid w:val="00DE552F"/>
    <w:rsid w:val="00DE5D02"/>
    <w:rsid w:val="00DF1EB0"/>
    <w:rsid w:val="00DF23B7"/>
    <w:rsid w:val="00DF2F73"/>
    <w:rsid w:val="00DF403D"/>
    <w:rsid w:val="00DF51C2"/>
    <w:rsid w:val="00DF63D2"/>
    <w:rsid w:val="00DF73E6"/>
    <w:rsid w:val="00E0070B"/>
    <w:rsid w:val="00E013E8"/>
    <w:rsid w:val="00E019C4"/>
    <w:rsid w:val="00E01A6F"/>
    <w:rsid w:val="00E02F69"/>
    <w:rsid w:val="00E035C7"/>
    <w:rsid w:val="00E04444"/>
    <w:rsid w:val="00E06B1B"/>
    <w:rsid w:val="00E11361"/>
    <w:rsid w:val="00E11CA3"/>
    <w:rsid w:val="00E12539"/>
    <w:rsid w:val="00E12D7C"/>
    <w:rsid w:val="00E13CD2"/>
    <w:rsid w:val="00E155E1"/>
    <w:rsid w:val="00E157BD"/>
    <w:rsid w:val="00E16736"/>
    <w:rsid w:val="00E202CD"/>
    <w:rsid w:val="00E204A5"/>
    <w:rsid w:val="00E20717"/>
    <w:rsid w:val="00E20728"/>
    <w:rsid w:val="00E21E79"/>
    <w:rsid w:val="00E23853"/>
    <w:rsid w:val="00E2433D"/>
    <w:rsid w:val="00E25105"/>
    <w:rsid w:val="00E2558E"/>
    <w:rsid w:val="00E27931"/>
    <w:rsid w:val="00E27CB6"/>
    <w:rsid w:val="00E27F73"/>
    <w:rsid w:val="00E32559"/>
    <w:rsid w:val="00E32605"/>
    <w:rsid w:val="00E34BE4"/>
    <w:rsid w:val="00E3554D"/>
    <w:rsid w:val="00E35ADF"/>
    <w:rsid w:val="00E37858"/>
    <w:rsid w:val="00E433E7"/>
    <w:rsid w:val="00E4509E"/>
    <w:rsid w:val="00E45F4E"/>
    <w:rsid w:val="00E467C7"/>
    <w:rsid w:val="00E47560"/>
    <w:rsid w:val="00E50566"/>
    <w:rsid w:val="00E507A3"/>
    <w:rsid w:val="00E51624"/>
    <w:rsid w:val="00E5385A"/>
    <w:rsid w:val="00E552A2"/>
    <w:rsid w:val="00E55983"/>
    <w:rsid w:val="00E56330"/>
    <w:rsid w:val="00E56BA7"/>
    <w:rsid w:val="00E60175"/>
    <w:rsid w:val="00E60565"/>
    <w:rsid w:val="00E60819"/>
    <w:rsid w:val="00E60977"/>
    <w:rsid w:val="00E61084"/>
    <w:rsid w:val="00E62CB1"/>
    <w:rsid w:val="00E633DF"/>
    <w:rsid w:val="00E63E38"/>
    <w:rsid w:val="00E6677F"/>
    <w:rsid w:val="00E67821"/>
    <w:rsid w:val="00E67C00"/>
    <w:rsid w:val="00E67E3F"/>
    <w:rsid w:val="00E71429"/>
    <w:rsid w:val="00E7280C"/>
    <w:rsid w:val="00E73485"/>
    <w:rsid w:val="00E74150"/>
    <w:rsid w:val="00E74FE2"/>
    <w:rsid w:val="00E77D51"/>
    <w:rsid w:val="00E8247C"/>
    <w:rsid w:val="00E82646"/>
    <w:rsid w:val="00E82793"/>
    <w:rsid w:val="00E82895"/>
    <w:rsid w:val="00E82A92"/>
    <w:rsid w:val="00E83348"/>
    <w:rsid w:val="00E844A9"/>
    <w:rsid w:val="00E84D9A"/>
    <w:rsid w:val="00E8544A"/>
    <w:rsid w:val="00E85A08"/>
    <w:rsid w:val="00E86242"/>
    <w:rsid w:val="00E8632D"/>
    <w:rsid w:val="00E867B2"/>
    <w:rsid w:val="00E876C4"/>
    <w:rsid w:val="00E9032A"/>
    <w:rsid w:val="00E95A0C"/>
    <w:rsid w:val="00E95A1B"/>
    <w:rsid w:val="00E969F9"/>
    <w:rsid w:val="00E970E7"/>
    <w:rsid w:val="00E9727C"/>
    <w:rsid w:val="00EA02E7"/>
    <w:rsid w:val="00EA0C16"/>
    <w:rsid w:val="00EA25F5"/>
    <w:rsid w:val="00EA3599"/>
    <w:rsid w:val="00EA4785"/>
    <w:rsid w:val="00EA4A15"/>
    <w:rsid w:val="00EA571A"/>
    <w:rsid w:val="00EA6760"/>
    <w:rsid w:val="00EB18F6"/>
    <w:rsid w:val="00EB1919"/>
    <w:rsid w:val="00EB1BAB"/>
    <w:rsid w:val="00EB1E4F"/>
    <w:rsid w:val="00EB2C67"/>
    <w:rsid w:val="00EB32C8"/>
    <w:rsid w:val="00EB679D"/>
    <w:rsid w:val="00EB76B4"/>
    <w:rsid w:val="00EC00C7"/>
    <w:rsid w:val="00EC02D4"/>
    <w:rsid w:val="00EC124E"/>
    <w:rsid w:val="00EC18F2"/>
    <w:rsid w:val="00EC2A3A"/>
    <w:rsid w:val="00EC2C8B"/>
    <w:rsid w:val="00EC2E6B"/>
    <w:rsid w:val="00EC322D"/>
    <w:rsid w:val="00EC3FC2"/>
    <w:rsid w:val="00EC699A"/>
    <w:rsid w:val="00EC718D"/>
    <w:rsid w:val="00EC743A"/>
    <w:rsid w:val="00EC79BC"/>
    <w:rsid w:val="00EC7E53"/>
    <w:rsid w:val="00ED269E"/>
    <w:rsid w:val="00ED2D53"/>
    <w:rsid w:val="00ED3C05"/>
    <w:rsid w:val="00ED64B1"/>
    <w:rsid w:val="00ED67E8"/>
    <w:rsid w:val="00ED7F40"/>
    <w:rsid w:val="00EE11B5"/>
    <w:rsid w:val="00EE2FB2"/>
    <w:rsid w:val="00EE3164"/>
    <w:rsid w:val="00EE3DF7"/>
    <w:rsid w:val="00EE506B"/>
    <w:rsid w:val="00EE6159"/>
    <w:rsid w:val="00EE6EFF"/>
    <w:rsid w:val="00EE7772"/>
    <w:rsid w:val="00EF13F6"/>
    <w:rsid w:val="00EF266F"/>
    <w:rsid w:val="00EF36CC"/>
    <w:rsid w:val="00EF48B9"/>
    <w:rsid w:val="00EF57AD"/>
    <w:rsid w:val="00EF5D84"/>
    <w:rsid w:val="00EF7446"/>
    <w:rsid w:val="00EF78B3"/>
    <w:rsid w:val="00F0097E"/>
    <w:rsid w:val="00F01B4E"/>
    <w:rsid w:val="00F03689"/>
    <w:rsid w:val="00F049F9"/>
    <w:rsid w:val="00F04F3D"/>
    <w:rsid w:val="00F04FE8"/>
    <w:rsid w:val="00F05047"/>
    <w:rsid w:val="00F05140"/>
    <w:rsid w:val="00F0742E"/>
    <w:rsid w:val="00F11575"/>
    <w:rsid w:val="00F119D0"/>
    <w:rsid w:val="00F11B8F"/>
    <w:rsid w:val="00F12B1C"/>
    <w:rsid w:val="00F13B83"/>
    <w:rsid w:val="00F14448"/>
    <w:rsid w:val="00F1462E"/>
    <w:rsid w:val="00F15279"/>
    <w:rsid w:val="00F15301"/>
    <w:rsid w:val="00F15B9E"/>
    <w:rsid w:val="00F16468"/>
    <w:rsid w:val="00F1664C"/>
    <w:rsid w:val="00F20A57"/>
    <w:rsid w:val="00F21465"/>
    <w:rsid w:val="00F26EEC"/>
    <w:rsid w:val="00F27231"/>
    <w:rsid w:val="00F27573"/>
    <w:rsid w:val="00F2779E"/>
    <w:rsid w:val="00F309CB"/>
    <w:rsid w:val="00F30B60"/>
    <w:rsid w:val="00F31413"/>
    <w:rsid w:val="00F33238"/>
    <w:rsid w:val="00F350BE"/>
    <w:rsid w:val="00F35FC6"/>
    <w:rsid w:val="00F360B5"/>
    <w:rsid w:val="00F407CD"/>
    <w:rsid w:val="00F41EF8"/>
    <w:rsid w:val="00F428F6"/>
    <w:rsid w:val="00F444C0"/>
    <w:rsid w:val="00F45B2F"/>
    <w:rsid w:val="00F45E40"/>
    <w:rsid w:val="00F4781B"/>
    <w:rsid w:val="00F50100"/>
    <w:rsid w:val="00F5091E"/>
    <w:rsid w:val="00F50CD0"/>
    <w:rsid w:val="00F514CC"/>
    <w:rsid w:val="00F51D99"/>
    <w:rsid w:val="00F534FB"/>
    <w:rsid w:val="00F536C2"/>
    <w:rsid w:val="00F537CB"/>
    <w:rsid w:val="00F5428E"/>
    <w:rsid w:val="00F5473B"/>
    <w:rsid w:val="00F62A0C"/>
    <w:rsid w:val="00F643DD"/>
    <w:rsid w:val="00F64685"/>
    <w:rsid w:val="00F64CB0"/>
    <w:rsid w:val="00F663A7"/>
    <w:rsid w:val="00F67742"/>
    <w:rsid w:val="00F67808"/>
    <w:rsid w:val="00F70611"/>
    <w:rsid w:val="00F70887"/>
    <w:rsid w:val="00F72B0B"/>
    <w:rsid w:val="00F72C84"/>
    <w:rsid w:val="00F72CBC"/>
    <w:rsid w:val="00F72F55"/>
    <w:rsid w:val="00F732EA"/>
    <w:rsid w:val="00F7366D"/>
    <w:rsid w:val="00F73E0D"/>
    <w:rsid w:val="00F758D1"/>
    <w:rsid w:val="00F758F9"/>
    <w:rsid w:val="00F75B90"/>
    <w:rsid w:val="00F75D59"/>
    <w:rsid w:val="00F76668"/>
    <w:rsid w:val="00F76AD4"/>
    <w:rsid w:val="00F774C5"/>
    <w:rsid w:val="00F80669"/>
    <w:rsid w:val="00F806A5"/>
    <w:rsid w:val="00F8185D"/>
    <w:rsid w:val="00F81F20"/>
    <w:rsid w:val="00F83093"/>
    <w:rsid w:val="00F838D8"/>
    <w:rsid w:val="00F83E50"/>
    <w:rsid w:val="00F83E5B"/>
    <w:rsid w:val="00F84E7A"/>
    <w:rsid w:val="00F8765B"/>
    <w:rsid w:val="00F90805"/>
    <w:rsid w:val="00F917AC"/>
    <w:rsid w:val="00F922BB"/>
    <w:rsid w:val="00F9327F"/>
    <w:rsid w:val="00F94B30"/>
    <w:rsid w:val="00F9568B"/>
    <w:rsid w:val="00F96315"/>
    <w:rsid w:val="00F974EB"/>
    <w:rsid w:val="00F97D0B"/>
    <w:rsid w:val="00FA27D5"/>
    <w:rsid w:val="00FA3CEB"/>
    <w:rsid w:val="00FA3E9A"/>
    <w:rsid w:val="00FA524E"/>
    <w:rsid w:val="00FA5263"/>
    <w:rsid w:val="00FA7344"/>
    <w:rsid w:val="00FA7655"/>
    <w:rsid w:val="00FA76E1"/>
    <w:rsid w:val="00FB0DF0"/>
    <w:rsid w:val="00FB0DF9"/>
    <w:rsid w:val="00FB0EF7"/>
    <w:rsid w:val="00FB12BF"/>
    <w:rsid w:val="00FB1798"/>
    <w:rsid w:val="00FB1C95"/>
    <w:rsid w:val="00FB206E"/>
    <w:rsid w:val="00FB3326"/>
    <w:rsid w:val="00FB6754"/>
    <w:rsid w:val="00FB6E59"/>
    <w:rsid w:val="00FB7354"/>
    <w:rsid w:val="00FB7367"/>
    <w:rsid w:val="00FC0F88"/>
    <w:rsid w:val="00FC1087"/>
    <w:rsid w:val="00FC1B96"/>
    <w:rsid w:val="00FC36B4"/>
    <w:rsid w:val="00FC3846"/>
    <w:rsid w:val="00FC445E"/>
    <w:rsid w:val="00FC4C0C"/>
    <w:rsid w:val="00FC536E"/>
    <w:rsid w:val="00FC6C66"/>
    <w:rsid w:val="00FC7083"/>
    <w:rsid w:val="00FC785D"/>
    <w:rsid w:val="00FD0453"/>
    <w:rsid w:val="00FD07AF"/>
    <w:rsid w:val="00FD0A3E"/>
    <w:rsid w:val="00FD1FBA"/>
    <w:rsid w:val="00FD302D"/>
    <w:rsid w:val="00FD357F"/>
    <w:rsid w:val="00FD35F0"/>
    <w:rsid w:val="00FD558E"/>
    <w:rsid w:val="00FD67EC"/>
    <w:rsid w:val="00FE0440"/>
    <w:rsid w:val="00FE0AC9"/>
    <w:rsid w:val="00FE1C53"/>
    <w:rsid w:val="00FE3297"/>
    <w:rsid w:val="00FE4013"/>
    <w:rsid w:val="00FE4755"/>
    <w:rsid w:val="00FE5640"/>
    <w:rsid w:val="00FE6196"/>
    <w:rsid w:val="00FE6BE2"/>
    <w:rsid w:val="00FE7889"/>
    <w:rsid w:val="00FE7B4D"/>
    <w:rsid w:val="00FE7E97"/>
    <w:rsid w:val="00FF1824"/>
    <w:rsid w:val="00FF267F"/>
    <w:rsid w:val="00FF2FFD"/>
    <w:rsid w:val="00FF379C"/>
    <w:rsid w:val="00FF42BF"/>
    <w:rsid w:val="00FF4349"/>
    <w:rsid w:val="00FF4357"/>
    <w:rsid w:val="00FF60F3"/>
    <w:rsid w:val="00FF6835"/>
    <w:rsid w:val="00FF6D4E"/>
    <w:rsid w:val="00FF6DE6"/>
    <w:rsid w:val="00FF718E"/>
    <w:rsid w:val="026BAAA2"/>
    <w:rsid w:val="05737E4F"/>
    <w:rsid w:val="07903C59"/>
    <w:rsid w:val="07A7200D"/>
    <w:rsid w:val="07C7481D"/>
    <w:rsid w:val="08A586BD"/>
    <w:rsid w:val="09618671"/>
    <w:rsid w:val="0A8AD76C"/>
    <w:rsid w:val="1042207B"/>
    <w:rsid w:val="18DA6E2E"/>
    <w:rsid w:val="1EEF71D4"/>
    <w:rsid w:val="240EE394"/>
    <w:rsid w:val="3038C66F"/>
    <w:rsid w:val="385E2523"/>
    <w:rsid w:val="3A15C24C"/>
    <w:rsid w:val="3C13D6AF"/>
    <w:rsid w:val="3E0E91A5"/>
    <w:rsid w:val="49EDE51C"/>
    <w:rsid w:val="4B1214DC"/>
    <w:rsid w:val="4E57807E"/>
    <w:rsid w:val="5BD3FF49"/>
    <w:rsid w:val="5F9428B7"/>
    <w:rsid w:val="5FB6D1FB"/>
    <w:rsid w:val="6B3851ED"/>
    <w:rsid w:val="6B3EA7CD"/>
    <w:rsid w:val="6CDAFE88"/>
    <w:rsid w:val="71267B54"/>
    <w:rsid w:val="72049663"/>
    <w:rsid w:val="747B8E37"/>
    <w:rsid w:val="767F7616"/>
    <w:rsid w:val="7859A307"/>
    <w:rsid w:val="7A3B1B5C"/>
    <w:rsid w:val="7E7A43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BC9539"/>
  <w15:chartTrackingRefBased/>
  <w15:docId w15:val="{5BCD90BE-34CF-3F41-9FC4-1B879E2B7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2A3F"/>
    <w:rPr>
      <w:rFonts w:ascii="Times New Roman" w:eastAsia="Times New Roman" w:hAnsi="Times New Roman" w:cs="Times New Roman"/>
      <w:kern w:val="0"/>
      <w:lang w:eastAsia="ru-RU"/>
      <w14:ligatures w14:val="none"/>
    </w:rPr>
  </w:style>
  <w:style w:type="paragraph" w:styleId="10">
    <w:name w:val="heading 1"/>
    <w:basedOn w:val="a"/>
    <w:next w:val="a"/>
    <w:link w:val="11"/>
    <w:uiPriority w:val="9"/>
    <w:qFormat/>
    <w:rsid w:val="003447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3447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47C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447C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47C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47CF"/>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47CF"/>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47CF"/>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47CF"/>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3447CF"/>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3447CF"/>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47CF"/>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47CF"/>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47CF"/>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47C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47CF"/>
    <w:rPr>
      <w:rFonts w:eastAsiaTheme="majorEastAsia" w:cstheme="majorBidi"/>
      <w:color w:val="595959" w:themeColor="text1" w:themeTint="A6"/>
    </w:rPr>
  </w:style>
  <w:style w:type="character" w:customStyle="1" w:styleId="80">
    <w:name w:val="Заголовок 8 Знак"/>
    <w:basedOn w:val="a0"/>
    <w:link w:val="8"/>
    <w:uiPriority w:val="9"/>
    <w:semiHidden/>
    <w:rsid w:val="003447C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47CF"/>
    <w:rPr>
      <w:rFonts w:eastAsiaTheme="majorEastAsia" w:cstheme="majorBidi"/>
      <w:color w:val="272727" w:themeColor="text1" w:themeTint="D8"/>
    </w:rPr>
  </w:style>
  <w:style w:type="paragraph" w:styleId="a3">
    <w:name w:val="Title"/>
    <w:basedOn w:val="a"/>
    <w:next w:val="a"/>
    <w:link w:val="a4"/>
    <w:uiPriority w:val="10"/>
    <w:qFormat/>
    <w:rsid w:val="003447CF"/>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47C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47CF"/>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47C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47CF"/>
    <w:pPr>
      <w:spacing w:before="160" w:after="160"/>
      <w:jc w:val="center"/>
    </w:pPr>
    <w:rPr>
      <w:i/>
      <w:iCs/>
      <w:color w:val="404040" w:themeColor="text1" w:themeTint="BF"/>
    </w:rPr>
  </w:style>
  <w:style w:type="character" w:customStyle="1" w:styleId="22">
    <w:name w:val="Цитата 2 Знак"/>
    <w:basedOn w:val="a0"/>
    <w:link w:val="21"/>
    <w:uiPriority w:val="29"/>
    <w:rsid w:val="003447CF"/>
    <w:rPr>
      <w:i/>
      <w:iCs/>
      <w:color w:val="404040" w:themeColor="text1" w:themeTint="BF"/>
    </w:rPr>
  </w:style>
  <w:style w:type="paragraph" w:styleId="a7">
    <w:name w:val="List Paragraph"/>
    <w:basedOn w:val="a"/>
    <w:uiPriority w:val="34"/>
    <w:qFormat/>
    <w:rsid w:val="003447CF"/>
    <w:pPr>
      <w:ind w:left="720"/>
      <w:contextualSpacing/>
    </w:pPr>
  </w:style>
  <w:style w:type="character" w:styleId="a8">
    <w:name w:val="Intense Emphasis"/>
    <w:basedOn w:val="a0"/>
    <w:uiPriority w:val="21"/>
    <w:qFormat/>
    <w:rsid w:val="003447CF"/>
    <w:rPr>
      <w:i/>
      <w:iCs/>
      <w:color w:val="2F5496" w:themeColor="accent1" w:themeShade="BF"/>
    </w:rPr>
  </w:style>
  <w:style w:type="paragraph" w:styleId="a9">
    <w:name w:val="Intense Quote"/>
    <w:basedOn w:val="a"/>
    <w:next w:val="a"/>
    <w:link w:val="aa"/>
    <w:uiPriority w:val="30"/>
    <w:qFormat/>
    <w:rsid w:val="003447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47CF"/>
    <w:rPr>
      <w:i/>
      <w:iCs/>
      <w:color w:val="2F5496" w:themeColor="accent1" w:themeShade="BF"/>
    </w:rPr>
  </w:style>
  <w:style w:type="character" w:styleId="ab">
    <w:name w:val="Intense Reference"/>
    <w:basedOn w:val="a0"/>
    <w:uiPriority w:val="32"/>
    <w:qFormat/>
    <w:rsid w:val="003447CF"/>
    <w:rPr>
      <w:b/>
      <w:bCs/>
      <w:smallCaps/>
      <w:color w:val="2F5496" w:themeColor="accent1" w:themeShade="BF"/>
      <w:spacing w:val="5"/>
    </w:rPr>
  </w:style>
  <w:style w:type="paragraph" w:styleId="ac">
    <w:name w:val="footnote text"/>
    <w:basedOn w:val="a"/>
    <w:link w:val="ad"/>
    <w:uiPriority w:val="99"/>
    <w:unhideWhenUsed/>
    <w:rsid w:val="003447CF"/>
    <w:pPr>
      <w:jc w:val="both"/>
    </w:pPr>
    <w:rPr>
      <w:sz w:val="20"/>
      <w:szCs w:val="20"/>
    </w:rPr>
  </w:style>
  <w:style w:type="character" w:customStyle="1" w:styleId="ad">
    <w:name w:val="Текст сноски Знак"/>
    <w:basedOn w:val="a0"/>
    <w:link w:val="ac"/>
    <w:uiPriority w:val="99"/>
    <w:rsid w:val="003447CF"/>
    <w:rPr>
      <w:rFonts w:ascii="Times New Roman" w:eastAsia="Times New Roman" w:hAnsi="Times New Roman" w:cs="Times New Roman"/>
      <w:kern w:val="0"/>
      <w:sz w:val="20"/>
      <w:szCs w:val="20"/>
      <w:lang w:val="en-US" w:eastAsia="ru-RU"/>
      <w14:ligatures w14:val="none"/>
    </w:rPr>
  </w:style>
  <w:style w:type="character" w:styleId="ae">
    <w:name w:val="footnote reference"/>
    <w:basedOn w:val="a0"/>
    <w:uiPriority w:val="99"/>
    <w:semiHidden/>
    <w:unhideWhenUsed/>
    <w:rsid w:val="003447CF"/>
    <w:rPr>
      <w:vertAlign w:val="superscript"/>
    </w:rPr>
  </w:style>
  <w:style w:type="character" w:customStyle="1" w:styleId="apple-converted-space">
    <w:name w:val="apple-converted-space"/>
    <w:basedOn w:val="a0"/>
    <w:rsid w:val="000B6753"/>
  </w:style>
  <w:style w:type="character" w:styleId="af">
    <w:name w:val="Emphasis"/>
    <w:basedOn w:val="a0"/>
    <w:uiPriority w:val="20"/>
    <w:qFormat/>
    <w:rsid w:val="000B6753"/>
    <w:rPr>
      <w:i/>
      <w:iCs/>
    </w:rPr>
  </w:style>
  <w:style w:type="character" w:styleId="af0">
    <w:name w:val="Hyperlink"/>
    <w:basedOn w:val="a0"/>
    <w:uiPriority w:val="99"/>
    <w:unhideWhenUsed/>
    <w:rsid w:val="00F11B8F"/>
    <w:rPr>
      <w:color w:val="0563C1" w:themeColor="hyperlink"/>
      <w:u w:val="single"/>
    </w:rPr>
  </w:style>
  <w:style w:type="character" w:styleId="af1">
    <w:name w:val="Unresolved Mention"/>
    <w:basedOn w:val="a0"/>
    <w:uiPriority w:val="99"/>
    <w:semiHidden/>
    <w:unhideWhenUsed/>
    <w:rsid w:val="00F11B8F"/>
    <w:rPr>
      <w:color w:val="605E5C"/>
      <w:shd w:val="clear" w:color="auto" w:fill="E1DFDD"/>
    </w:rPr>
  </w:style>
  <w:style w:type="character" w:styleId="af2">
    <w:name w:val="FollowedHyperlink"/>
    <w:basedOn w:val="a0"/>
    <w:uiPriority w:val="99"/>
    <w:semiHidden/>
    <w:unhideWhenUsed/>
    <w:rsid w:val="0056227E"/>
    <w:rPr>
      <w:color w:val="954F72" w:themeColor="followedHyperlink"/>
      <w:u w:val="single"/>
    </w:rPr>
  </w:style>
  <w:style w:type="paragraph" w:styleId="af3">
    <w:name w:val="footer"/>
    <w:basedOn w:val="a"/>
    <w:link w:val="af4"/>
    <w:uiPriority w:val="99"/>
    <w:unhideWhenUsed/>
    <w:rsid w:val="005B3265"/>
    <w:pPr>
      <w:tabs>
        <w:tab w:val="center" w:pos="4513"/>
        <w:tab w:val="right" w:pos="9026"/>
      </w:tabs>
    </w:pPr>
  </w:style>
  <w:style w:type="character" w:customStyle="1" w:styleId="af4">
    <w:name w:val="Нижний колонтитул Знак"/>
    <w:basedOn w:val="a0"/>
    <w:link w:val="af3"/>
    <w:uiPriority w:val="99"/>
    <w:rsid w:val="005B3265"/>
    <w:rPr>
      <w:rFonts w:ascii="Times New Roman" w:eastAsia="Times New Roman" w:hAnsi="Times New Roman" w:cs="Times New Roman"/>
      <w:kern w:val="0"/>
      <w:lang w:val="ru-RU" w:eastAsia="ru-RU"/>
      <w14:ligatures w14:val="none"/>
    </w:rPr>
  </w:style>
  <w:style w:type="character" w:styleId="af5">
    <w:name w:val="page number"/>
    <w:basedOn w:val="a0"/>
    <w:uiPriority w:val="99"/>
    <w:semiHidden/>
    <w:unhideWhenUsed/>
    <w:rsid w:val="005B3265"/>
  </w:style>
  <w:style w:type="paragraph" w:styleId="af6">
    <w:name w:val="header"/>
    <w:basedOn w:val="a"/>
    <w:link w:val="af7"/>
    <w:uiPriority w:val="99"/>
    <w:unhideWhenUsed/>
    <w:rsid w:val="00702C56"/>
    <w:pPr>
      <w:tabs>
        <w:tab w:val="center" w:pos="4513"/>
        <w:tab w:val="right" w:pos="9026"/>
      </w:tabs>
    </w:pPr>
  </w:style>
  <w:style w:type="character" w:customStyle="1" w:styleId="af7">
    <w:name w:val="Верхний колонтитул Знак"/>
    <w:basedOn w:val="a0"/>
    <w:link w:val="af6"/>
    <w:uiPriority w:val="99"/>
    <w:rsid w:val="00702C56"/>
    <w:rPr>
      <w:rFonts w:ascii="Times New Roman" w:eastAsia="Times New Roman" w:hAnsi="Times New Roman" w:cs="Times New Roman"/>
      <w:kern w:val="0"/>
      <w:lang w:val="ru-RU" w:eastAsia="ru-RU"/>
      <w14:ligatures w14:val="none"/>
    </w:rPr>
  </w:style>
  <w:style w:type="table" w:styleId="af8">
    <w:name w:val="Table Grid"/>
    <w:basedOn w:val="a1"/>
    <w:uiPriority w:val="59"/>
    <w:rsid w:val="00E7415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Normal (Web)"/>
    <w:basedOn w:val="a"/>
    <w:uiPriority w:val="99"/>
    <w:semiHidden/>
    <w:unhideWhenUsed/>
    <w:rsid w:val="008D6E85"/>
  </w:style>
  <w:style w:type="paragraph" w:styleId="afa">
    <w:name w:val="No Spacing"/>
    <w:uiPriority w:val="1"/>
    <w:qFormat/>
    <w:rsid w:val="00200D8E"/>
    <w:rPr>
      <w:rFonts w:ascii="Times New Roman" w:eastAsia="Times New Roman" w:hAnsi="Times New Roman" w:cs="Times New Roman"/>
      <w:kern w:val="0"/>
      <w:lang w:val="ru-RU" w:eastAsia="ru-RU"/>
      <w14:ligatures w14:val="none"/>
    </w:rPr>
  </w:style>
  <w:style w:type="numbering" w:customStyle="1" w:styleId="1">
    <w:name w:val="Текущий список1"/>
    <w:uiPriority w:val="99"/>
    <w:rsid w:val="001427DC"/>
    <w:pPr>
      <w:numPr>
        <w:numId w:val="6"/>
      </w:numPr>
    </w:pPr>
  </w:style>
  <w:style w:type="character" w:styleId="afb">
    <w:name w:val="Strong"/>
    <w:basedOn w:val="a0"/>
    <w:uiPriority w:val="22"/>
    <w:qFormat/>
    <w:rsid w:val="00E9727C"/>
    <w:rPr>
      <w:b/>
      <w:bCs/>
    </w:rPr>
  </w:style>
  <w:style w:type="character" w:customStyle="1" w:styleId="relative">
    <w:name w:val="relative"/>
    <w:basedOn w:val="a0"/>
    <w:rsid w:val="00A07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8480">
      <w:bodyDiv w:val="1"/>
      <w:marLeft w:val="0"/>
      <w:marRight w:val="0"/>
      <w:marTop w:val="0"/>
      <w:marBottom w:val="0"/>
      <w:divBdr>
        <w:top w:val="none" w:sz="0" w:space="0" w:color="auto"/>
        <w:left w:val="none" w:sz="0" w:space="0" w:color="auto"/>
        <w:bottom w:val="none" w:sz="0" w:space="0" w:color="auto"/>
        <w:right w:val="none" w:sz="0" w:space="0" w:color="auto"/>
      </w:divBdr>
      <w:divsChild>
        <w:div w:id="979382192">
          <w:marLeft w:val="0"/>
          <w:marRight w:val="0"/>
          <w:marTop w:val="0"/>
          <w:marBottom w:val="0"/>
          <w:divBdr>
            <w:top w:val="none" w:sz="0" w:space="0" w:color="auto"/>
            <w:left w:val="none" w:sz="0" w:space="0" w:color="auto"/>
            <w:bottom w:val="none" w:sz="0" w:space="0" w:color="auto"/>
            <w:right w:val="none" w:sz="0" w:space="0" w:color="auto"/>
          </w:divBdr>
          <w:divsChild>
            <w:div w:id="117454956">
              <w:marLeft w:val="0"/>
              <w:marRight w:val="0"/>
              <w:marTop w:val="0"/>
              <w:marBottom w:val="0"/>
              <w:divBdr>
                <w:top w:val="none" w:sz="0" w:space="0" w:color="auto"/>
                <w:left w:val="none" w:sz="0" w:space="0" w:color="auto"/>
                <w:bottom w:val="none" w:sz="0" w:space="0" w:color="auto"/>
                <w:right w:val="none" w:sz="0" w:space="0" w:color="auto"/>
              </w:divBdr>
            </w:div>
            <w:div w:id="4098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55">
      <w:bodyDiv w:val="1"/>
      <w:marLeft w:val="0"/>
      <w:marRight w:val="0"/>
      <w:marTop w:val="0"/>
      <w:marBottom w:val="0"/>
      <w:divBdr>
        <w:top w:val="none" w:sz="0" w:space="0" w:color="auto"/>
        <w:left w:val="none" w:sz="0" w:space="0" w:color="auto"/>
        <w:bottom w:val="none" w:sz="0" w:space="0" w:color="auto"/>
        <w:right w:val="none" w:sz="0" w:space="0" w:color="auto"/>
      </w:divBdr>
    </w:div>
    <w:div w:id="164976551">
      <w:bodyDiv w:val="1"/>
      <w:marLeft w:val="0"/>
      <w:marRight w:val="0"/>
      <w:marTop w:val="0"/>
      <w:marBottom w:val="0"/>
      <w:divBdr>
        <w:top w:val="none" w:sz="0" w:space="0" w:color="auto"/>
        <w:left w:val="none" w:sz="0" w:space="0" w:color="auto"/>
        <w:bottom w:val="none" w:sz="0" w:space="0" w:color="auto"/>
        <w:right w:val="none" w:sz="0" w:space="0" w:color="auto"/>
      </w:divBdr>
    </w:div>
    <w:div w:id="208809922">
      <w:bodyDiv w:val="1"/>
      <w:marLeft w:val="0"/>
      <w:marRight w:val="0"/>
      <w:marTop w:val="0"/>
      <w:marBottom w:val="0"/>
      <w:divBdr>
        <w:top w:val="none" w:sz="0" w:space="0" w:color="auto"/>
        <w:left w:val="none" w:sz="0" w:space="0" w:color="auto"/>
        <w:bottom w:val="none" w:sz="0" w:space="0" w:color="auto"/>
        <w:right w:val="none" w:sz="0" w:space="0" w:color="auto"/>
      </w:divBdr>
    </w:div>
    <w:div w:id="224029422">
      <w:bodyDiv w:val="1"/>
      <w:marLeft w:val="0"/>
      <w:marRight w:val="0"/>
      <w:marTop w:val="0"/>
      <w:marBottom w:val="0"/>
      <w:divBdr>
        <w:top w:val="none" w:sz="0" w:space="0" w:color="auto"/>
        <w:left w:val="none" w:sz="0" w:space="0" w:color="auto"/>
        <w:bottom w:val="none" w:sz="0" w:space="0" w:color="auto"/>
        <w:right w:val="none" w:sz="0" w:space="0" w:color="auto"/>
      </w:divBdr>
    </w:div>
    <w:div w:id="228224209">
      <w:bodyDiv w:val="1"/>
      <w:marLeft w:val="0"/>
      <w:marRight w:val="0"/>
      <w:marTop w:val="0"/>
      <w:marBottom w:val="0"/>
      <w:divBdr>
        <w:top w:val="none" w:sz="0" w:space="0" w:color="auto"/>
        <w:left w:val="none" w:sz="0" w:space="0" w:color="auto"/>
        <w:bottom w:val="none" w:sz="0" w:space="0" w:color="auto"/>
        <w:right w:val="none" w:sz="0" w:space="0" w:color="auto"/>
      </w:divBdr>
    </w:div>
    <w:div w:id="250896357">
      <w:bodyDiv w:val="1"/>
      <w:marLeft w:val="0"/>
      <w:marRight w:val="0"/>
      <w:marTop w:val="0"/>
      <w:marBottom w:val="0"/>
      <w:divBdr>
        <w:top w:val="none" w:sz="0" w:space="0" w:color="auto"/>
        <w:left w:val="none" w:sz="0" w:space="0" w:color="auto"/>
        <w:bottom w:val="none" w:sz="0" w:space="0" w:color="auto"/>
        <w:right w:val="none" w:sz="0" w:space="0" w:color="auto"/>
      </w:divBdr>
    </w:div>
    <w:div w:id="271253524">
      <w:bodyDiv w:val="1"/>
      <w:marLeft w:val="0"/>
      <w:marRight w:val="0"/>
      <w:marTop w:val="0"/>
      <w:marBottom w:val="0"/>
      <w:divBdr>
        <w:top w:val="none" w:sz="0" w:space="0" w:color="auto"/>
        <w:left w:val="none" w:sz="0" w:space="0" w:color="auto"/>
        <w:bottom w:val="none" w:sz="0" w:space="0" w:color="auto"/>
        <w:right w:val="none" w:sz="0" w:space="0" w:color="auto"/>
      </w:divBdr>
    </w:div>
    <w:div w:id="292827028">
      <w:bodyDiv w:val="1"/>
      <w:marLeft w:val="0"/>
      <w:marRight w:val="0"/>
      <w:marTop w:val="0"/>
      <w:marBottom w:val="0"/>
      <w:divBdr>
        <w:top w:val="none" w:sz="0" w:space="0" w:color="auto"/>
        <w:left w:val="none" w:sz="0" w:space="0" w:color="auto"/>
        <w:bottom w:val="none" w:sz="0" w:space="0" w:color="auto"/>
        <w:right w:val="none" w:sz="0" w:space="0" w:color="auto"/>
      </w:divBdr>
    </w:div>
    <w:div w:id="394471236">
      <w:bodyDiv w:val="1"/>
      <w:marLeft w:val="0"/>
      <w:marRight w:val="0"/>
      <w:marTop w:val="0"/>
      <w:marBottom w:val="0"/>
      <w:divBdr>
        <w:top w:val="none" w:sz="0" w:space="0" w:color="auto"/>
        <w:left w:val="none" w:sz="0" w:space="0" w:color="auto"/>
        <w:bottom w:val="none" w:sz="0" w:space="0" w:color="auto"/>
        <w:right w:val="none" w:sz="0" w:space="0" w:color="auto"/>
      </w:divBdr>
    </w:div>
    <w:div w:id="404031245">
      <w:bodyDiv w:val="1"/>
      <w:marLeft w:val="0"/>
      <w:marRight w:val="0"/>
      <w:marTop w:val="0"/>
      <w:marBottom w:val="0"/>
      <w:divBdr>
        <w:top w:val="none" w:sz="0" w:space="0" w:color="auto"/>
        <w:left w:val="none" w:sz="0" w:space="0" w:color="auto"/>
        <w:bottom w:val="none" w:sz="0" w:space="0" w:color="auto"/>
        <w:right w:val="none" w:sz="0" w:space="0" w:color="auto"/>
      </w:divBdr>
    </w:div>
    <w:div w:id="473714137">
      <w:bodyDiv w:val="1"/>
      <w:marLeft w:val="0"/>
      <w:marRight w:val="0"/>
      <w:marTop w:val="0"/>
      <w:marBottom w:val="0"/>
      <w:divBdr>
        <w:top w:val="none" w:sz="0" w:space="0" w:color="auto"/>
        <w:left w:val="none" w:sz="0" w:space="0" w:color="auto"/>
        <w:bottom w:val="none" w:sz="0" w:space="0" w:color="auto"/>
        <w:right w:val="none" w:sz="0" w:space="0" w:color="auto"/>
      </w:divBdr>
    </w:div>
    <w:div w:id="492725570">
      <w:bodyDiv w:val="1"/>
      <w:marLeft w:val="0"/>
      <w:marRight w:val="0"/>
      <w:marTop w:val="0"/>
      <w:marBottom w:val="0"/>
      <w:divBdr>
        <w:top w:val="none" w:sz="0" w:space="0" w:color="auto"/>
        <w:left w:val="none" w:sz="0" w:space="0" w:color="auto"/>
        <w:bottom w:val="none" w:sz="0" w:space="0" w:color="auto"/>
        <w:right w:val="none" w:sz="0" w:space="0" w:color="auto"/>
      </w:divBdr>
    </w:div>
    <w:div w:id="557711696">
      <w:bodyDiv w:val="1"/>
      <w:marLeft w:val="0"/>
      <w:marRight w:val="0"/>
      <w:marTop w:val="0"/>
      <w:marBottom w:val="0"/>
      <w:divBdr>
        <w:top w:val="none" w:sz="0" w:space="0" w:color="auto"/>
        <w:left w:val="none" w:sz="0" w:space="0" w:color="auto"/>
        <w:bottom w:val="none" w:sz="0" w:space="0" w:color="auto"/>
        <w:right w:val="none" w:sz="0" w:space="0" w:color="auto"/>
      </w:divBdr>
    </w:div>
    <w:div w:id="625501922">
      <w:bodyDiv w:val="1"/>
      <w:marLeft w:val="0"/>
      <w:marRight w:val="0"/>
      <w:marTop w:val="0"/>
      <w:marBottom w:val="0"/>
      <w:divBdr>
        <w:top w:val="none" w:sz="0" w:space="0" w:color="auto"/>
        <w:left w:val="none" w:sz="0" w:space="0" w:color="auto"/>
        <w:bottom w:val="none" w:sz="0" w:space="0" w:color="auto"/>
        <w:right w:val="none" w:sz="0" w:space="0" w:color="auto"/>
      </w:divBdr>
      <w:divsChild>
        <w:div w:id="1215118761">
          <w:marLeft w:val="0"/>
          <w:marRight w:val="0"/>
          <w:marTop w:val="0"/>
          <w:marBottom w:val="0"/>
          <w:divBdr>
            <w:top w:val="none" w:sz="0" w:space="0" w:color="auto"/>
            <w:left w:val="none" w:sz="0" w:space="0" w:color="auto"/>
            <w:bottom w:val="none" w:sz="0" w:space="0" w:color="auto"/>
            <w:right w:val="none" w:sz="0" w:space="0" w:color="auto"/>
          </w:divBdr>
          <w:divsChild>
            <w:div w:id="7827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461">
      <w:bodyDiv w:val="1"/>
      <w:marLeft w:val="0"/>
      <w:marRight w:val="0"/>
      <w:marTop w:val="0"/>
      <w:marBottom w:val="0"/>
      <w:divBdr>
        <w:top w:val="none" w:sz="0" w:space="0" w:color="auto"/>
        <w:left w:val="none" w:sz="0" w:space="0" w:color="auto"/>
        <w:bottom w:val="none" w:sz="0" w:space="0" w:color="auto"/>
        <w:right w:val="none" w:sz="0" w:space="0" w:color="auto"/>
      </w:divBdr>
    </w:div>
    <w:div w:id="650208337">
      <w:bodyDiv w:val="1"/>
      <w:marLeft w:val="0"/>
      <w:marRight w:val="0"/>
      <w:marTop w:val="0"/>
      <w:marBottom w:val="0"/>
      <w:divBdr>
        <w:top w:val="none" w:sz="0" w:space="0" w:color="auto"/>
        <w:left w:val="none" w:sz="0" w:space="0" w:color="auto"/>
        <w:bottom w:val="none" w:sz="0" w:space="0" w:color="auto"/>
        <w:right w:val="none" w:sz="0" w:space="0" w:color="auto"/>
      </w:divBdr>
    </w:div>
    <w:div w:id="665087922">
      <w:bodyDiv w:val="1"/>
      <w:marLeft w:val="0"/>
      <w:marRight w:val="0"/>
      <w:marTop w:val="0"/>
      <w:marBottom w:val="0"/>
      <w:divBdr>
        <w:top w:val="none" w:sz="0" w:space="0" w:color="auto"/>
        <w:left w:val="none" w:sz="0" w:space="0" w:color="auto"/>
        <w:bottom w:val="none" w:sz="0" w:space="0" w:color="auto"/>
        <w:right w:val="none" w:sz="0" w:space="0" w:color="auto"/>
      </w:divBdr>
    </w:div>
    <w:div w:id="732390452">
      <w:bodyDiv w:val="1"/>
      <w:marLeft w:val="0"/>
      <w:marRight w:val="0"/>
      <w:marTop w:val="0"/>
      <w:marBottom w:val="0"/>
      <w:divBdr>
        <w:top w:val="none" w:sz="0" w:space="0" w:color="auto"/>
        <w:left w:val="none" w:sz="0" w:space="0" w:color="auto"/>
        <w:bottom w:val="none" w:sz="0" w:space="0" w:color="auto"/>
        <w:right w:val="none" w:sz="0" w:space="0" w:color="auto"/>
      </w:divBdr>
      <w:divsChild>
        <w:div w:id="1765566449">
          <w:marLeft w:val="0"/>
          <w:marRight w:val="0"/>
          <w:marTop w:val="0"/>
          <w:marBottom w:val="0"/>
          <w:divBdr>
            <w:top w:val="none" w:sz="0" w:space="0" w:color="auto"/>
            <w:left w:val="none" w:sz="0" w:space="0" w:color="auto"/>
            <w:bottom w:val="none" w:sz="0" w:space="0" w:color="auto"/>
            <w:right w:val="none" w:sz="0" w:space="0" w:color="auto"/>
          </w:divBdr>
          <w:divsChild>
            <w:div w:id="44623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010">
      <w:bodyDiv w:val="1"/>
      <w:marLeft w:val="0"/>
      <w:marRight w:val="0"/>
      <w:marTop w:val="0"/>
      <w:marBottom w:val="0"/>
      <w:divBdr>
        <w:top w:val="none" w:sz="0" w:space="0" w:color="auto"/>
        <w:left w:val="none" w:sz="0" w:space="0" w:color="auto"/>
        <w:bottom w:val="none" w:sz="0" w:space="0" w:color="auto"/>
        <w:right w:val="none" w:sz="0" w:space="0" w:color="auto"/>
      </w:divBdr>
    </w:div>
    <w:div w:id="786242632">
      <w:bodyDiv w:val="1"/>
      <w:marLeft w:val="0"/>
      <w:marRight w:val="0"/>
      <w:marTop w:val="0"/>
      <w:marBottom w:val="0"/>
      <w:divBdr>
        <w:top w:val="none" w:sz="0" w:space="0" w:color="auto"/>
        <w:left w:val="none" w:sz="0" w:space="0" w:color="auto"/>
        <w:bottom w:val="none" w:sz="0" w:space="0" w:color="auto"/>
        <w:right w:val="none" w:sz="0" w:space="0" w:color="auto"/>
      </w:divBdr>
    </w:div>
    <w:div w:id="834345586">
      <w:bodyDiv w:val="1"/>
      <w:marLeft w:val="0"/>
      <w:marRight w:val="0"/>
      <w:marTop w:val="0"/>
      <w:marBottom w:val="0"/>
      <w:divBdr>
        <w:top w:val="none" w:sz="0" w:space="0" w:color="auto"/>
        <w:left w:val="none" w:sz="0" w:space="0" w:color="auto"/>
        <w:bottom w:val="none" w:sz="0" w:space="0" w:color="auto"/>
        <w:right w:val="none" w:sz="0" w:space="0" w:color="auto"/>
      </w:divBdr>
      <w:divsChild>
        <w:div w:id="1348943190">
          <w:marLeft w:val="0"/>
          <w:marRight w:val="0"/>
          <w:marTop w:val="0"/>
          <w:marBottom w:val="0"/>
          <w:divBdr>
            <w:top w:val="none" w:sz="0" w:space="0" w:color="auto"/>
            <w:left w:val="none" w:sz="0" w:space="0" w:color="auto"/>
            <w:bottom w:val="none" w:sz="0" w:space="0" w:color="auto"/>
            <w:right w:val="none" w:sz="0" w:space="0" w:color="auto"/>
          </w:divBdr>
          <w:divsChild>
            <w:div w:id="6679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550">
      <w:bodyDiv w:val="1"/>
      <w:marLeft w:val="0"/>
      <w:marRight w:val="0"/>
      <w:marTop w:val="0"/>
      <w:marBottom w:val="0"/>
      <w:divBdr>
        <w:top w:val="none" w:sz="0" w:space="0" w:color="auto"/>
        <w:left w:val="none" w:sz="0" w:space="0" w:color="auto"/>
        <w:bottom w:val="none" w:sz="0" w:space="0" w:color="auto"/>
        <w:right w:val="none" w:sz="0" w:space="0" w:color="auto"/>
      </w:divBdr>
    </w:div>
    <w:div w:id="856388899">
      <w:bodyDiv w:val="1"/>
      <w:marLeft w:val="0"/>
      <w:marRight w:val="0"/>
      <w:marTop w:val="0"/>
      <w:marBottom w:val="0"/>
      <w:divBdr>
        <w:top w:val="none" w:sz="0" w:space="0" w:color="auto"/>
        <w:left w:val="none" w:sz="0" w:space="0" w:color="auto"/>
        <w:bottom w:val="none" w:sz="0" w:space="0" w:color="auto"/>
        <w:right w:val="none" w:sz="0" w:space="0" w:color="auto"/>
      </w:divBdr>
    </w:div>
    <w:div w:id="925306978">
      <w:bodyDiv w:val="1"/>
      <w:marLeft w:val="0"/>
      <w:marRight w:val="0"/>
      <w:marTop w:val="0"/>
      <w:marBottom w:val="0"/>
      <w:divBdr>
        <w:top w:val="none" w:sz="0" w:space="0" w:color="auto"/>
        <w:left w:val="none" w:sz="0" w:space="0" w:color="auto"/>
        <w:bottom w:val="none" w:sz="0" w:space="0" w:color="auto"/>
        <w:right w:val="none" w:sz="0" w:space="0" w:color="auto"/>
      </w:divBdr>
    </w:div>
    <w:div w:id="971440254">
      <w:bodyDiv w:val="1"/>
      <w:marLeft w:val="0"/>
      <w:marRight w:val="0"/>
      <w:marTop w:val="0"/>
      <w:marBottom w:val="0"/>
      <w:divBdr>
        <w:top w:val="none" w:sz="0" w:space="0" w:color="auto"/>
        <w:left w:val="none" w:sz="0" w:space="0" w:color="auto"/>
        <w:bottom w:val="none" w:sz="0" w:space="0" w:color="auto"/>
        <w:right w:val="none" w:sz="0" w:space="0" w:color="auto"/>
      </w:divBdr>
    </w:div>
    <w:div w:id="986401927">
      <w:bodyDiv w:val="1"/>
      <w:marLeft w:val="0"/>
      <w:marRight w:val="0"/>
      <w:marTop w:val="0"/>
      <w:marBottom w:val="0"/>
      <w:divBdr>
        <w:top w:val="none" w:sz="0" w:space="0" w:color="auto"/>
        <w:left w:val="none" w:sz="0" w:space="0" w:color="auto"/>
        <w:bottom w:val="none" w:sz="0" w:space="0" w:color="auto"/>
        <w:right w:val="none" w:sz="0" w:space="0" w:color="auto"/>
      </w:divBdr>
    </w:div>
    <w:div w:id="1007253253">
      <w:bodyDiv w:val="1"/>
      <w:marLeft w:val="0"/>
      <w:marRight w:val="0"/>
      <w:marTop w:val="0"/>
      <w:marBottom w:val="0"/>
      <w:divBdr>
        <w:top w:val="none" w:sz="0" w:space="0" w:color="auto"/>
        <w:left w:val="none" w:sz="0" w:space="0" w:color="auto"/>
        <w:bottom w:val="none" w:sz="0" w:space="0" w:color="auto"/>
        <w:right w:val="none" w:sz="0" w:space="0" w:color="auto"/>
      </w:divBdr>
    </w:div>
    <w:div w:id="1008823143">
      <w:bodyDiv w:val="1"/>
      <w:marLeft w:val="0"/>
      <w:marRight w:val="0"/>
      <w:marTop w:val="0"/>
      <w:marBottom w:val="0"/>
      <w:divBdr>
        <w:top w:val="none" w:sz="0" w:space="0" w:color="auto"/>
        <w:left w:val="none" w:sz="0" w:space="0" w:color="auto"/>
        <w:bottom w:val="none" w:sz="0" w:space="0" w:color="auto"/>
        <w:right w:val="none" w:sz="0" w:space="0" w:color="auto"/>
      </w:divBdr>
    </w:div>
    <w:div w:id="1014308354">
      <w:bodyDiv w:val="1"/>
      <w:marLeft w:val="0"/>
      <w:marRight w:val="0"/>
      <w:marTop w:val="0"/>
      <w:marBottom w:val="0"/>
      <w:divBdr>
        <w:top w:val="none" w:sz="0" w:space="0" w:color="auto"/>
        <w:left w:val="none" w:sz="0" w:space="0" w:color="auto"/>
        <w:bottom w:val="none" w:sz="0" w:space="0" w:color="auto"/>
        <w:right w:val="none" w:sz="0" w:space="0" w:color="auto"/>
      </w:divBdr>
    </w:div>
    <w:div w:id="1014647533">
      <w:bodyDiv w:val="1"/>
      <w:marLeft w:val="0"/>
      <w:marRight w:val="0"/>
      <w:marTop w:val="0"/>
      <w:marBottom w:val="0"/>
      <w:divBdr>
        <w:top w:val="none" w:sz="0" w:space="0" w:color="auto"/>
        <w:left w:val="none" w:sz="0" w:space="0" w:color="auto"/>
        <w:bottom w:val="none" w:sz="0" w:space="0" w:color="auto"/>
        <w:right w:val="none" w:sz="0" w:space="0" w:color="auto"/>
      </w:divBdr>
    </w:div>
    <w:div w:id="1032150113">
      <w:bodyDiv w:val="1"/>
      <w:marLeft w:val="0"/>
      <w:marRight w:val="0"/>
      <w:marTop w:val="0"/>
      <w:marBottom w:val="0"/>
      <w:divBdr>
        <w:top w:val="none" w:sz="0" w:space="0" w:color="auto"/>
        <w:left w:val="none" w:sz="0" w:space="0" w:color="auto"/>
        <w:bottom w:val="none" w:sz="0" w:space="0" w:color="auto"/>
        <w:right w:val="none" w:sz="0" w:space="0" w:color="auto"/>
      </w:divBdr>
    </w:div>
    <w:div w:id="1057166143">
      <w:bodyDiv w:val="1"/>
      <w:marLeft w:val="0"/>
      <w:marRight w:val="0"/>
      <w:marTop w:val="0"/>
      <w:marBottom w:val="0"/>
      <w:divBdr>
        <w:top w:val="none" w:sz="0" w:space="0" w:color="auto"/>
        <w:left w:val="none" w:sz="0" w:space="0" w:color="auto"/>
        <w:bottom w:val="none" w:sz="0" w:space="0" w:color="auto"/>
        <w:right w:val="none" w:sz="0" w:space="0" w:color="auto"/>
      </w:divBdr>
    </w:div>
    <w:div w:id="1268344293">
      <w:bodyDiv w:val="1"/>
      <w:marLeft w:val="0"/>
      <w:marRight w:val="0"/>
      <w:marTop w:val="0"/>
      <w:marBottom w:val="0"/>
      <w:divBdr>
        <w:top w:val="none" w:sz="0" w:space="0" w:color="auto"/>
        <w:left w:val="none" w:sz="0" w:space="0" w:color="auto"/>
        <w:bottom w:val="none" w:sz="0" w:space="0" w:color="auto"/>
        <w:right w:val="none" w:sz="0" w:space="0" w:color="auto"/>
      </w:divBdr>
    </w:div>
    <w:div w:id="1298536517">
      <w:bodyDiv w:val="1"/>
      <w:marLeft w:val="0"/>
      <w:marRight w:val="0"/>
      <w:marTop w:val="0"/>
      <w:marBottom w:val="0"/>
      <w:divBdr>
        <w:top w:val="none" w:sz="0" w:space="0" w:color="auto"/>
        <w:left w:val="none" w:sz="0" w:space="0" w:color="auto"/>
        <w:bottom w:val="none" w:sz="0" w:space="0" w:color="auto"/>
        <w:right w:val="none" w:sz="0" w:space="0" w:color="auto"/>
      </w:divBdr>
    </w:div>
    <w:div w:id="1347976411">
      <w:bodyDiv w:val="1"/>
      <w:marLeft w:val="0"/>
      <w:marRight w:val="0"/>
      <w:marTop w:val="0"/>
      <w:marBottom w:val="0"/>
      <w:divBdr>
        <w:top w:val="none" w:sz="0" w:space="0" w:color="auto"/>
        <w:left w:val="none" w:sz="0" w:space="0" w:color="auto"/>
        <w:bottom w:val="none" w:sz="0" w:space="0" w:color="auto"/>
        <w:right w:val="none" w:sz="0" w:space="0" w:color="auto"/>
      </w:divBdr>
    </w:div>
    <w:div w:id="1366296211">
      <w:bodyDiv w:val="1"/>
      <w:marLeft w:val="0"/>
      <w:marRight w:val="0"/>
      <w:marTop w:val="0"/>
      <w:marBottom w:val="0"/>
      <w:divBdr>
        <w:top w:val="none" w:sz="0" w:space="0" w:color="auto"/>
        <w:left w:val="none" w:sz="0" w:space="0" w:color="auto"/>
        <w:bottom w:val="none" w:sz="0" w:space="0" w:color="auto"/>
        <w:right w:val="none" w:sz="0" w:space="0" w:color="auto"/>
      </w:divBdr>
    </w:div>
    <w:div w:id="1371496186">
      <w:bodyDiv w:val="1"/>
      <w:marLeft w:val="0"/>
      <w:marRight w:val="0"/>
      <w:marTop w:val="0"/>
      <w:marBottom w:val="0"/>
      <w:divBdr>
        <w:top w:val="none" w:sz="0" w:space="0" w:color="auto"/>
        <w:left w:val="none" w:sz="0" w:space="0" w:color="auto"/>
        <w:bottom w:val="none" w:sz="0" w:space="0" w:color="auto"/>
        <w:right w:val="none" w:sz="0" w:space="0" w:color="auto"/>
      </w:divBdr>
    </w:div>
    <w:div w:id="1385253052">
      <w:bodyDiv w:val="1"/>
      <w:marLeft w:val="0"/>
      <w:marRight w:val="0"/>
      <w:marTop w:val="0"/>
      <w:marBottom w:val="0"/>
      <w:divBdr>
        <w:top w:val="none" w:sz="0" w:space="0" w:color="auto"/>
        <w:left w:val="none" w:sz="0" w:space="0" w:color="auto"/>
        <w:bottom w:val="none" w:sz="0" w:space="0" w:color="auto"/>
        <w:right w:val="none" w:sz="0" w:space="0" w:color="auto"/>
      </w:divBdr>
    </w:div>
    <w:div w:id="1388646681">
      <w:bodyDiv w:val="1"/>
      <w:marLeft w:val="0"/>
      <w:marRight w:val="0"/>
      <w:marTop w:val="0"/>
      <w:marBottom w:val="0"/>
      <w:divBdr>
        <w:top w:val="none" w:sz="0" w:space="0" w:color="auto"/>
        <w:left w:val="none" w:sz="0" w:space="0" w:color="auto"/>
        <w:bottom w:val="none" w:sz="0" w:space="0" w:color="auto"/>
        <w:right w:val="none" w:sz="0" w:space="0" w:color="auto"/>
      </w:divBdr>
    </w:div>
    <w:div w:id="1457600929">
      <w:bodyDiv w:val="1"/>
      <w:marLeft w:val="0"/>
      <w:marRight w:val="0"/>
      <w:marTop w:val="0"/>
      <w:marBottom w:val="0"/>
      <w:divBdr>
        <w:top w:val="none" w:sz="0" w:space="0" w:color="auto"/>
        <w:left w:val="none" w:sz="0" w:space="0" w:color="auto"/>
        <w:bottom w:val="none" w:sz="0" w:space="0" w:color="auto"/>
        <w:right w:val="none" w:sz="0" w:space="0" w:color="auto"/>
      </w:divBdr>
    </w:div>
    <w:div w:id="1484005268">
      <w:bodyDiv w:val="1"/>
      <w:marLeft w:val="0"/>
      <w:marRight w:val="0"/>
      <w:marTop w:val="0"/>
      <w:marBottom w:val="0"/>
      <w:divBdr>
        <w:top w:val="none" w:sz="0" w:space="0" w:color="auto"/>
        <w:left w:val="none" w:sz="0" w:space="0" w:color="auto"/>
        <w:bottom w:val="none" w:sz="0" w:space="0" w:color="auto"/>
        <w:right w:val="none" w:sz="0" w:space="0" w:color="auto"/>
      </w:divBdr>
    </w:div>
    <w:div w:id="1521699505">
      <w:bodyDiv w:val="1"/>
      <w:marLeft w:val="0"/>
      <w:marRight w:val="0"/>
      <w:marTop w:val="0"/>
      <w:marBottom w:val="0"/>
      <w:divBdr>
        <w:top w:val="none" w:sz="0" w:space="0" w:color="auto"/>
        <w:left w:val="none" w:sz="0" w:space="0" w:color="auto"/>
        <w:bottom w:val="none" w:sz="0" w:space="0" w:color="auto"/>
        <w:right w:val="none" w:sz="0" w:space="0" w:color="auto"/>
      </w:divBdr>
    </w:div>
    <w:div w:id="1522740519">
      <w:bodyDiv w:val="1"/>
      <w:marLeft w:val="0"/>
      <w:marRight w:val="0"/>
      <w:marTop w:val="0"/>
      <w:marBottom w:val="0"/>
      <w:divBdr>
        <w:top w:val="none" w:sz="0" w:space="0" w:color="auto"/>
        <w:left w:val="none" w:sz="0" w:space="0" w:color="auto"/>
        <w:bottom w:val="none" w:sz="0" w:space="0" w:color="auto"/>
        <w:right w:val="none" w:sz="0" w:space="0" w:color="auto"/>
      </w:divBdr>
      <w:divsChild>
        <w:div w:id="2064744139">
          <w:marLeft w:val="0"/>
          <w:marRight w:val="0"/>
          <w:marTop w:val="0"/>
          <w:marBottom w:val="0"/>
          <w:divBdr>
            <w:top w:val="none" w:sz="0" w:space="0" w:color="auto"/>
            <w:left w:val="none" w:sz="0" w:space="0" w:color="auto"/>
            <w:bottom w:val="none" w:sz="0" w:space="0" w:color="auto"/>
            <w:right w:val="none" w:sz="0" w:space="0" w:color="auto"/>
          </w:divBdr>
          <w:divsChild>
            <w:div w:id="18648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8003">
      <w:bodyDiv w:val="1"/>
      <w:marLeft w:val="0"/>
      <w:marRight w:val="0"/>
      <w:marTop w:val="0"/>
      <w:marBottom w:val="0"/>
      <w:divBdr>
        <w:top w:val="none" w:sz="0" w:space="0" w:color="auto"/>
        <w:left w:val="none" w:sz="0" w:space="0" w:color="auto"/>
        <w:bottom w:val="none" w:sz="0" w:space="0" w:color="auto"/>
        <w:right w:val="none" w:sz="0" w:space="0" w:color="auto"/>
      </w:divBdr>
    </w:div>
    <w:div w:id="1656256604">
      <w:bodyDiv w:val="1"/>
      <w:marLeft w:val="0"/>
      <w:marRight w:val="0"/>
      <w:marTop w:val="0"/>
      <w:marBottom w:val="0"/>
      <w:divBdr>
        <w:top w:val="none" w:sz="0" w:space="0" w:color="auto"/>
        <w:left w:val="none" w:sz="0" w:space="0" w:color="auto"/>
        <w:bottom w:val="none" w:sz="0" w:space="0" w:color="auto"/>
        <w:right w:val="none" w:sz="0" w:space="0" w:color="auto"/>
      </w:divBdr>
    </w:div>
    <w:div w:id="1686903201">
      <w:bodyDiv w:val="1"/>
      <w:marLeft w:val="0"/>
      <w:marRight w:val="0"/>
      <w:marTop w:val="0"/>
      <w:marBottom w:val="0"/>
      <w:divBdr>
        <w:top w:val="none" w:sz="0" w:space="0" w:color="auto"/>
        <w:left w:val="none" w:sz="0" w:space="0" w:color="auto"/>
        <w:bottom w:val="none" w:sz="0" w:space="0" w:color="auto"/>
        <w:right w:val="none" w:sz="0" w:space="0" w:color="auto"/>
      </w:divBdr>
    </w:div>
    <w:div w:id="1724670664">
      <w:bodyDiv w:val="1"/>
      <w:marLeft w:val="0"/>
      <w:marRight w:val="0"/>
      <w:marTop w:val="0"/>
      <w:marBottom w:val="0"/>
      <w:divBdr>
        <w:top w:val="none" w:sz="0" w:space="0" w:color="auto"/>
        <w:left w:val="none" w:sz="0" w:space="0" w:color="auto"/>
        <w:bottom w:val="none" w:sz="0" w:space="0" w:color="auto"/>
        <w:right w:val="none" w:sz="0" w:space="0" w:color="auto"/>
      </w:divBdr>
    </w:div>
    <w:div w:id="1731074261">
      <w:bodyDiv w:val="1"/>
      <w:marLeft w:val="0"/>
      <w:marRight w:val="0"/>
      <w:marTop w:val="0"/>
      <w:marBottom w:val="0"/>
      <w:divBdr>
        <w:top w:val="none" w:sz="0" w:space="0" w:color="auto"/>
        <w:left w:val="none" w:sz="0" w:space="0" w:color="auto"/>
        <w:bottom w:val="none" w:sz="0" w:space="0" w:color="auto"/>
        <w:right w:val="none" w:sz="0" w:space="0" w:color="auto"/>
      </w:divBdr>
    </w:div>
    <w:div w:id="1750079144">
      <w:bodyDiv w:val="1"/>
      <w:marLeft w:val="0"/>
      <w:marRight w:val="0"/>
      <w:marTop w:val="0"/>
      <w:marBottom w:val="0"/>
      <w:divBdr>
        <w:top w:val="none" w:sz="0" w:space="0" w:color="auto"/>
        <w:left w:val="none" w:sz="0" w:space="0" w:color="auto"/>
        <w:bottom w:val="none" w:sz="0" w:space="0" w:color="auto"/>
        <w:right w:val="none" w:sz="0" w:space="0" w:color="auto"/>
      </w:divBdr>
    </w:div>
    <w:div w:id="1791775248">
      <w:bodyDiv w:val="1"/>
      <w:marLeft w:val="0"/>
      <w:marRight w:val="0"/>
      <w:marTop w:val="0"/>
      <w:marBottom w:val="0"/>
      <w:divBdr>
        <w:top w:val="none" w:sz="0" w:space="0" w:color="auto"/>
        <w:left w:val="none" w:sz="0" w:space="0" w:color="auto"/>
        <w:bottom w:val="none" w:sz="0" w:space="0" w:color="auto"/>
        <w:right w:val="none" w:sz="0" w:space="0" w:color="auto"/>
      </w:divBdr>
    </w:div>
    <w:div w:id="1798789826">
      <w:bodyDiv w:val="1"/>
      <w:marLeft w:val="0"/>
      <w:marRight w:val="0"/>
      <w:marTop w:val="0"/>
      <w:marBottom w:val="0"/>
      <w:divBdr>
        <w:top w:val="none" w:sz="0" w:space="0" w:color="auto"/>
        <w:left w:val="none" w:sz="0" w:space="0" w:color="auto"/>
        <w:bottom w:val="none" w:sz="0" w:space="0" w:color="auto"/>
        <w:right w:val="none" w:sz="0" w:space="0" w:color="auto"/>
      </w:divBdr>
    </w:div>
    <w:div w:id="1825123868">
      <w:bodyDiv w:val="1"/>
      <w:marLeft w:val="0"/>
      <w:marRight w:val="0"/>
      <w:marTop w:val="0"/>
      <w:marBottom w:val="0"/>
      <w:divBdr>
        <w:top w:val="none" w:sz="0" w:space="0" w:color="auto"/>
        <w:left w:val="none" w:sz="0" w:space="0" w:color="auto"/>
        <w:bottom w:val="none" w:sz="0" w:space="0" w:color="auto"/>
        <w:right w:val="none" w:sz="0" w:space="0" w:color="auto"/>
      </w:divBdr>
    </w:div>
    <w:div w:id="1833326039">
      <w:bodyDiv w:val="1"/>
      <w:marLeft w:val="0"/>
      <w:marRight w:val="0"/>
      <w:marTop w:val="0"/>
      <w:marBottom w:val="0"/>
      <w:divBdr>
        <w:top w:val="none" w:sz="0" w:space="0" w:color="auto"/>
        <w:left w:val="none" w:sz="0" w:space="0" w:color="auto"/>
        <w:bottom w:val="none" w:sz="0" w:space="0" w:color="auto"/>
        <w:right w:val="none" w:sz="0" w:space="0" w:color="auto"/>
      </w:divBdr>
    </w:div>
    <w:div w:id="1857693866">
      <w:bodyDiv w:val="1"/>
      <w:marLeft w:val="0"/>
      <w:marRight w:val="0"/>
      <w:marTop w:val="0"/>
      <w:marBottom w:val="0"/>
      <w:divBdr>
        <w:top w:val="none" w:sz="0" w:space="0" w:color="auto"/>
        <w:left w:val="none" w:sz="0" w:space="0" w:color="auto"/>
        <w:bottom w:val="none" w:sz="0" w:space="0" w:color="auto"/>
        <w:right w:val="none" w:sz="0" w:space="0" w:color="auto"/>
      </w:divBdr>
    </w:div>
    <w:div w:id="1893612728">
      <w:bodyDiv w:val="1"/>
      <w:marLeft w:val="0"/>
      <w:marRight w:val="0"/>
      <w:marTop w:val="0"/>
      <w:marBottom w:val="0"/>
      <w:divBdr>
        <w:top w:val="none" w:sz="0" w:space="0" w:color="auto"/>
        <w:left w:val="none" w:sz="0" w:space="0" w:color="auto"/>
        <w:bottom w:val="none" w:sz="0" w:space="0" w:color="auto"/>
        <w:right w:val="none" w:sz="0" w:space="0" w:color="auto"/>
      </w:divBdr>
    </w:div>
    <w:div w:id="1894386373">
      <w:bodyDiv w:val="1"/>
      <w:marLeft w:val="0"/>
      <w:marRight w:val="0"/>
      <w:marTop w:val="0"/>
      <w:marBottom w:val="0"/>
      <w:divBdr>
        <w:top w:val="none" w:sz="0" w:space="0" w:color="auto"/>
        <w:left w:val="none" w:sz="0" w:space="0" w:color="auto"/>
        <w:bottom w:val="none" w:sz="0" w:space="0" w:color="auto"/>
        <w:right w:val="none" w:sz="0" w:space="0" w:color="auto"/>
      </w:divBdr>
    </w:div>
    <w:div w:id="1904875361">
      <w:bodyDiv w:val="1"/>
      <w:marLeft w:val="0"/>
      <w:marRight w:val="0"/>
      <w:marTop w:val="0"/>
      <w:marBottom w:val="0"/>
      <w:divBdr>
        <w:top w:val="none" w:sz="0" w:space="0" w:color="auto"/>
        <w:left w:val="none" w:sz="0" w:space="0" w:color="auto"/>
        <w:bottom w:val="none" w:sz="0" w:space="0" w:color="auto"/>
        <w:right w:val="none" w:sz="0" w:space="0" w:color="auto"/>
      </w:divBdr>
    </w:div>
    <w:div w:id="1933974398">
      <w:bodyDiv w:val="1"/>
      <w:marLeft w:val="0"/>
      <w:marRight w:val="0"/>
      <w:marTop w:val="0"/>
      <w:marBottom w:val="0"/>
      <w:divBdr>
        <w:top w:val="none" w:sz="0" w:space="0" w:color="auto"/>
        <w:left w:val="none" w:sz="0" w:space="0" w:color="auto"/>
        <w:bottom w:val="none" w:sz="0" w:space="0" w:color="auto"/>
        <w:right w:val="none" w:sz="0" w:space="0" w:color="auto"/>
      </w:divBdr>
    </w:div>
    <w:div w:id="1938515618">
      <w:bodyDiv w:val="1"/>
      <w:marLeft w:val="0"/>
      <w:marRight w:val="0"/>
      <w:marTop w:val="0"/>
      <w:marBottom w:val="0"/>
      <w:divBdr>
        <w:top w:val="none" w:sz="0" w:space="0" w:color="auto"/>
        <w:left w:val="none" w:sz="0" w:space="0" w:color="auto"/>
        <w:bottom w:val="none" w:sz="0" w:space="0" w:color="auto"/>
        <w:right w:val="none" w:sz="0" w:space="0" w:color="auto"/>
      </w:divBdr>
    </w:div>
    <w:div w:id="1962147868">
      <w:bodyDiv w:val="1"/>
      <w:marLeft w:val="0"/>
      <w:marRight w:val="0"/>
      <w:marTop w:val="0"/>
      <w:marBottom w:val="0"/>
      <w:divBdr>
        <w:top w:val="none" w:sz="0" w:space="0" w:color="auto"/>
        <w:left w:val="none" w:sz="0" w:space="0" w:color="auto"/>
        <w:bottom w:val="none" w:sz="0" w:space="0" w:color="auto"/>
        <w:right w:val="none" w:sz="0" w:space="0" w:color="auto"/>
      </w:divBdr>
      <w:divsChild>
        <w:div w:id="119735519">
          <w:marLeft w:val="0"/>
          <w:marRight w:val="0"/>
          <w:marTop w:val="0"/>
          <w:marBottom w:val="0"/>
          <w:divBdr>
            <w:top w:val="none" w:sz="0" w:space="0" w:color="auto"/>
            <w:left w:val="none" w:sz="0" w:space="0" w:color="auto"/>
            <w:bottom w:val="none" w:sz="0" w:space="0" w:color="auto"/>
            <w:right w:val="none" w:sz="0" w:space="0" w:color="auto"/>
          </w:divBdr>
          <w:divsChild>
            <w:div w:id="1653412895">
              <w:marLeft w:val="0"/>
              <w:marRight w:val="0"/>
              <w:marTop w:val="0"/>
              <w:marBottom w:val="0"/>
              <w:divBdr>
                <w:top w:val="none" w:sz="0" w:space="0" w:color="auto"/>
                <w:left w:val="none" w:sz="0" w:space="0" w:color="auto"/>
                <w:bottom w:val="none" w:sz="0" w:space="0" w:color="auto"/>
                <w:right w:val="none" w:sz="0" w:space="0" w:color="auto"/>
              </w:divBdr>
            </w:div>
            <w:div w:id="18425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2366">
      <w:bodyDiv w:val="1"/>
      <w:marLeft w:val="0"/>
      <w:marRight w:val="0"/>
      <w:marTop w:val="0"/>
      <w:marBottom w:val="0"/>
      <w:divBdr>
        <w:top w:val="none" w:sz="0" w:space="0" w:color="auto"/>
        <w:left w:val="none" w:sz="0" w:space="0" w:color="auto"/>
        <w:bottom w:val="none" w:sz="0" w:space="0" w:color="auto"/>
        <w:right w:val="none" w:sz="0" w:space="0" w:color="auto"/>
      </w:divBdr>
    </w:div>
    <w:div w:id="2019888878">
      <w:bodyDiv w:val="1"/>
      <w:marLeft w:val="0"/>
      <w:marRight w:val="0"/>
      <w:marTop w:val="0"/>
      <w:marBottom w:val="0"/>
      <w:divBdr>
        <w:top w:val="none" w:sz="0" w:space="0" w:color="auto"/>
        <w:left w:val="none" w:sz="0" w:space="0" w:color="auto"/>
        <w:bottom w:val="none" w:sz="0" w:space="0" w:color="auto"/>
        <w:right w:val="none" w:sz="0" w:space="0" w:color="auto"/>
      </w:divBdr>
    </w:div>
    <w:div w:id="2022193520">
      <w:bodyDiv w:val="1"/>
      <w:marLeft w:val="0"/>
      <w:marRight w:val="0"/>
      <w:marTop w:val="0"/>
      <w:marBottom w:val="0"/>
      <w:divBdr>
        <w:top w:val="none" w:sz="0" w:space="0" w:color="auto"/>
        <w:left w:val="none" w:sz="0" w:space="0" w:color="auto"/>
        <w:bottom w:val="none" w:sz="0" w:space="0" w:color="auto"/>
        <w:right w:val="none" w:sz="0" w:space="0" w:color="auto"/>
      </w:divBdr>
      <w:divsChild>
        <w:div w:id="2115397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1093/acrefore/9780190277727.013.504" TargetMode="External"/><Relationship Id="rId18" Type="http://schemas.openxmlformats.org/officeDocument/2006/relationships/image" Target="media/image5.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hyperlink" Target="https://www.italkazak.it/wp-content/uploads/2012/06/kazakhst_map.pdf"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doi.org/10.1093/acrefore/9780190277727.013.504"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lamy.it/foto-immagine-fahne-del-kazakistan-bandiera-kazakhstan-85829904.html?imageid=FF467D76-36AA-40AB-A367-70B33451243C&amp;p=248391&amp;pn=1&amp;searchId=61ef190d206dbb226a89ebed76bc1a2a&amp;searchtype=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Astana_International_Financial_Centre?utm_source=chatgpt.com" TargetMode="External"/><Relationship Id="rId2" Type="http://schemas.openxmlformats.org/officeDocument/2006/relationships/hyperlink" Target="https://online.zakon.kz/Document/?doc_id=33590347&amp;pos=6;-106" TargetMode="External"/><Relationship Id="rId1" Type="http://schemas.openxmlformats.org/officeDocument/2006/relationships/hyperlink" Target="https://www.britannica.com/place/Kazakhstan/Independent-Kazakhstan" TargetMode="External"/><Relationship Id="rId5" Type="http://schemas.openxmlformats.org/officeDocument/2006/relationships/hyperlink" Target="https://astanatimes.com/2021/03/peace-through-engagement-the-multi-vector-direction-of-kazakhstans-foreign-policy/" TargetMode="External"/><Relationship Id="rId4" Type="http://schemas.openxmlformats.org/officeDocument/2006/relationships/hyperlink" Target="https://www.akorda.kz/ru/addresses/addresses_of_president/poslanie-prezidenta-respubliki-kazahstan-na-nazarbaeva-narodu-kazahstana-mart-2006-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bai\Downloads\API_KAZ_DS2_en_excel_v2_20111-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NMP % Growth, USSR and Soviet Central Asian Republics, 1960-1981</a:t>
            </a:r>
            <a:endParaRPr lang="ru-RU"/>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ru-RU"/>
        </a:p>
      </c:txPr>
    </c:title>
    <c:autoTitleDeleted val="0"/>
    <c:plotArea>
      <c:layout/>
      <c:lineChart>
        <c:grouping val="standard"/>
        <c:varyColors val="0"/>
        <c:ser>
          <c:idx val="0"/>
          <c:order val="0"/>
          <c:tx>
            <c:strRef>
              <c:f>Лист2!$B$1</c:f>
              <c:strCache>
                <c:ptCount val="1"/>
                <c:pt idx="0">
                  <c:v>USSR</c:v>
                </c:pt>
              </c:strCache>
            </c:strRef>
          </c:tx>
          <c:spPr>
            <a:ln w="31750" cap="rnd">
              <a:solidFill>
                <a:schemeClr val="accent1"/>
              </a:solidFill>
              <a:round/>
            </a:ln>
            <a:effectLst/>
          </c:spPr>
          <c:marker>
            <c:symbol val="none"/>
          </c:marker>
          <c:dLbls>
            <c:delete val="1"/>
          </c:dLbls>
          <c:cat>
            <c:numRef>
              <c:f>Лист2!$A$2:$A$23</c:f>
              <c:numCache>
                <c:formatCode>General</c:formatCode>
                <c:ptCount val="22"/>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numCache>
            </c:numRef>
          </c:cat>
          <c:val>
            <c:numRef>
              <c:f>Лист2!$B$2:$B$23</c:f>
              <c:numCache>
                <c:formatCode>General</c:formatCode>
                <c:ptCount val="22"/>
                <c:pt idx="0">
                  <c:v>0</c:v>
                </c:pt>
                <c:pt idx="1">
                  <c:v>5.6</c:v>
                </c:pt>
                <c:pt idx="2">
                  <c:v>3.4</c:v>
                </c:pt>
                <c:pt idx="3">
                  <c:v>-0.7</c:v>
                </c:pt>
                <c:pt idx="4">
                  <c:v>11.4</c:v>
                </c:pt>
                <c:pt idx="5">
                  <c:v>5.9</c:v>
                </c:pt>
                <c:pt idx="6">
                  <c:v>5.0999999999999996</c:v>
                </c:pt>
                <c:pt idx="7">
                  <c:v>5.3</c:v>
                </c:pt>
                <c:pt idx="8">
                  <c:v>6</c:v>
                </c:pt>
                <c:pt idx="9">
                  <c:v>2.5</c:v>
                </c:pt>
                <c:pt idx="10">
                  <c:v>7.4</c:v>
                </c:pt>
                <c:pt idx="11">
                  <c:v>3.2</c:v>
                </c:pt>
                <c:pt idx="12">
                  <c:v>1.4</c:v>
                </c:pt>
                <c:pt idx="13">
                  <c:v>7.5</c:v>
                </c:pt>
                <c:pt idx="14">
                  <c:v>3.6</c:v>
                </c:pt>
                <c:pt idx="15">
                  <c:v>1.5</c:v>
                </c:pt>
                <c:pt idx="16">
                  <c:v>4.3</c:v>
                </c:pt>
                <c:pt idx="17">
                  <c:v>2.6</c:v>
                </c:pt>
                <c:pt idx="18">
                  <c:v>2.5</c:v>
                </c:pt>
                <c:pt idx="19">
                  <c:v>0.1</c:v>
                </c:pt>
                <c:pt idx="20">
                  <c:v>0.6</c:v>
                </c:pt>
                <c:pt idx="21">
                  <c:v>1.1000000000000001</c:v>
                </c:pt>
              </c:numCache>
            </c:numRef>
          </c:val>
          <c:smooth val="0"/>
          <c:extLst>
            <c:ext xmlns:c16="http://schemas.microsoft.com/office/drawing/2014/chart" uri="{C3380CC4-5D6E-409C-BE32-E72D297353CC}">
              <c16:uniqueId val="{00000000-7AD5-114B-9E4D-1301362F6669}"/>
            </c:ext>
          </c:extLst>
        </c:ser>
        <c:ser>
          <c:idx val="2"/>
          <c:order val="1"/>
          <c:tx>
            <c:strRef>
              <c:f>Лист2!$D$1</c:f>
              <c:strCache>
                <c:ptCount val="1"/>
                <c:pt idx="0">
                  <c:v>Kazakh SSR</c:v>
                </c:pt>
              </c:strCache>
            </c:strRef>
          </c:tx>
          <c:spPr>
            <a:ln w="31750" cap="rnd">
              <a:solidFill>
                <a:schemeClr val="accent3"/>
              </a:solidFill>
              <a:round/>
            </a:ln>
            <a:effectLst/>
          </c:spPr>
          <c:marker>
            <c:symbol val="none"/>
          </c:marker>
          <c:dLbls>
            <c:delete val="1"/>
          </c:dLbls>
          <c:cat>
            <c:numRef>
              <c:f>Лист2!$A$2:$A$23</c:f>
              <c:numCache>
                <c:formatCode>General</c:formatCode>
                <c:ptCount val="22"/>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numCache>
            </c:numRef>
          </c:cat>
          <c:val>
            <c:numRef>
              <c:f>Лист2!$D$2:$D$23</c:f>
              <c:numCache>
                <c:formatCode>General</c:formatCode>
                <c:ptCount val="22"/>
                <c:pt idx="0">
                  <c:v>0</c:v>
                </c:pt>
                <c:pt idx="1">
                  <c:v>4</c:v>
                </c:pt>
                <c:pt idx="2">
                  <c:v>6.2</c:v>
                </c:pt>
                <c:pt idx="3">
                  <c:v>3</c:v>
                </c:pt>
                <c:pt idx="4">
                  <c:v>18.399999999999999</c:v>
                </c:pt>
                <c:pt idx="5">
                  <c:v>-2.5</c:v>
                </c:pt>
                <c:pt idx="6">
                  <c:v>29.2</c:v>
                </c:pt>
                <c:pt idx="7">
                  <c:v>0.8</c:v>
                </c:pt>
                <c:pt idx="8">
                  <c:v>10</c:v>
                </c:pt>
                <c:pt idx="9">
                  <c:v>2.9</c:v>
                </c:pt>
                <c:pt idx="10">
                  <c:v>10.6</c:v>
                </c:pt>
                <c:pt idx="11">
                  <c:v>6.1</c:v>
                </c:pt>
                <c:pt idx="12">
                  <c:v>9.9</c:v>
                </c:pt>
                <c:pt idx="13">
                  <c:v>2.4</c:v>
                </c:pt>
                <c:pt idx="14">
                  <c:v>2.6</c:v>
                </c:pt>
                <c:pt idx="15">
                  <c:v>-0.7</c:v>
                </c:pt>
                <c:pt idx="16">
                  <c:v>8.3000000000000007</c:v>
                </c:pt>
                <c:pt idx="17">
                  <c:v>-2.6</c:v>
                </c:pt>
                <c:pt idx="18">
                  <c:v>11.1</c:v>
                </c:pt>
                <c:pt idx="19">
                  <c:v>2</c:v>
                </c:pt>
                <c:pt idx="20">
                  <c:v>3.7</c:v>
                </c:pt>
                <c:pt idx="21">
                  <c:v>0.7</c:v>
                </c:pt>
              </c:numCache>
            </c:numRef>
          </c:val>
          <c:smooth val="0"/>
          <c:extLst>
            <c:ext xmlns:c16="http://schemas.microsoft.com/office/drawing/2014/chart" uri="{C3380CC4-5D6E-409C-BE32-E72D297353CC}">
              <c16:uniqueId val="{00000001-7AD5-114B-9E4D-1301362F6669}"/>
            </c:ext>
          </c:extLst>
        </c:ser>
        <c:dLbls>
          <c:dLblPos val="ctr"/>
          <c:showLegendKey val="0"/>
          <c:showVal val="1"/>
          <c:showCatName val="0"/>
          <c:showSerName val="0"/>
          <c:showPercent val="0"/>
          <c:showBubbleSize val="0"/>
        </c:dLbls>
        <c:smooth val="0"/>
        <c:axId val="1993888767"/>
        <c:axId val="1993716911"/>
      </c:lineChart>
      <c:catAx>
        <c:axId val="1993888767"/>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KZ"/>
          </a:p>
        </c:txPr>
        <c:crossAx val="1993716911"/>
        <c:crosses val="autoZero"/>
        <c:auto val="1"/>
        <c:lblAlgn val="ctr"/>
        <c:lblOffset val="100"/>
        <c:noMultiLvlLbl val="0"/>
      </c:catAx>
      <c:valAx>
        <c:axId val="1993716911"/>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KZ"/>
          </a:p>
        </c:txPr>
        <c:crossAx val="199388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KZ"/>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KZ"/>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gif"/></Relationships>
</file>

<file path=word/drawings/drawing1.xml><?xml version="1.0" encoding="utf-8"?>
<c:userShapes xmlns:c="http://schemas.openxmlformats.org/drawingml/2006/chart">
  <cdr:relSizeAnchor xmlns:cdr="http://schemas.openxmlformats.org/drawingml/2006/chartDrawing">
    <cdr:from>
      <cdr:x>0</cdr:x>
      <cdr:y>0</cdr:y>
    </cdr:from>
    <cdr:to>
      <cdr:x>0.01636</cdr:x>
      <cdr:y>0.03095</cdr:y>
    </cdr:to>
    <cdr:pic>
      <cdr:nvPicPr>
        <cdr:cNvPr id="3" name="Рисунок 2"/>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88900" cy="88900"/>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5111f49-baec-45da-9413-442303c1723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70DDF6CA6828C41A2AC4510CE7066DA" ma:contentTypeVersion="8" ma:contentTypeDescription="Creare un nuovo documento." ma:contentTypeScope="" ma:versionID="b5b8bff991ccd375d47afa62756bd615">
  <xsd:schema xmlns:xsd="http://www.w3.org/2001/XMLSchema" xmlns:xs="http://www.w3.org/2001/XMLSchema" xmlns:p="http://schemas.microsoft.com/office/2006/metadata/properties" xmlns:ns3="a5111f49-baec-45da-9413-442303c17238" xmlns:ns4="ed74f869-6916-49ef-bac2-ab60c2ef0402" targetNamespace="http://schemas.microsoft.com/office/2006/metadata/properties" ma:root="true" ma:fieldsID="d5f1723aa54c5118d356c120b2f95509" ns3:_="" ns4:_="">
    <xsd:import namespace="a5111f49-baec-45da-9413-442303c17238"/>
    <xsd:import namespace="ed74f869-6916-49ef-bac2-ab60c2ef040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11f49-baec-45da-9413-442303c172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74f869-6916-49ef-bac2-ab60c2ef0402"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SharingHintHash" ma:index="15"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7DFD91-E830-4FDC-8CF6-738F7743E931}">
  <ds:schemaRefs>
    <ds:schemaRef ds:uri="http://schemas.microsoft.com/office/2006/metadata/properties"/>
    <ds:schemaRef ds:uri="http://schemas.microsoft.com/office/infopath/2007/PartnerControls"/>
    <ds:schemaRef ds:uri="a5111f49-baec-45da-9413-442303c17238"/>
  </ds:schemaRefs>
</ds:datastoreItem>
</file>

<file path=customXml/itemProps2.xml><?xml version="1.0" encoding="utf-8"?>
<ds:datastoreItem xmlns:ds="http://schemas.openxmlformats.org/officeDocument/2006/customXml" ds:itemID="{27720D29-730B-4455-ACF2-338218677455}">
  <ds:schemaRefs>
    <ds:schemaRef ds:uri="http://schemas.openxmlformats.org/officeDocument/2006/bibliography"/>
  </ds:schemaRefs>
</ds:datastoreItem>
</file>

<file path=customXml/itemProps3.xml><?xml version="1.0" encoding="utf-8"?>
<ds:datastoreItem xmlns:ds="http://schemas.openxmlformats.org/officeDocument/2006/customXml" ds:itemID="{9F0B94FC-0777-4831-9447-00FCC18214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11f49-baec-45da-9413-442303c17238"/>
    <ds:schemaRef ds:uri="ed74f869-6916-49ef-bac2-ab60c2ef04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0C1DD4-5E89-4A31-B135-E53190B986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8860</Words>
  <Characters>50504</Characters>
  <Application>Microsoft Office Word</Application>
  <DocSecurity>0</DocSecurity>
  <Lines>420</Lines>
  <Paragraphs>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59246</CharactersWithSpaces>
  <SharedDoc>false</SharedDoc>
  <HLinks>
    <vt:vector size="42" baseType="variant">
      <vt:variant>
        <vt:i4>7733368</vt:i4>
      </vt:variant>
      <vt:variant>
        <vt:i4>9</vt:i4>
      </vt:variant>
      <vt:variant>
        <vt:i4>0</vt:i4>
      </vt:variant>
      <vt:variant>
        <vt:i4>5</vt:i4>
      </vt:variant>
      <vt:variant>
        <vt:lpwstr>https://www.alamy.it/foto-immagine-fahne-del-kazakistan-bandiera-kazakhstan-85829904.html?imageid=FF467D76-36AA-40AB-A367-70B33451243C&amp;p=248391&amp;pn=1&amp;searchId=61ef190d206dbb226a89ebed76bc1a2a&amp;searchtype=0</vt:lpwstr>
      </vt:variant>
      <vt:variant>
        <vt:lpwstr/>
      </vt:variant>
      <vt:variant>
        <vt:i4>5505140</vt:i4>
      </vt:variant>
      <vt:variant>
        <vt:i4>6</vt:i4>
      </vt:variant>
      <vt:variant>
        <vt:i4>0</vt:i4>
      </vt:variant>
      <vt:variant>
        <vt:i4>5</vt:i4>
      </vt:variant>
      <vt:variant>
        <vt:lpwstr>https://www.italkazak.it/wp-content/uploads/2012/06/kazakhst_map.pdf</vt:lpwstr>
      </vt:variant>
      <vt:variant>
        <vt:lpwstr/>
      </vt:variant>
      <vt:variant>
        <vt:i4>2293881</vt:i4>
      </vt:variant>
      <vt:variant>
        <vt:i4>3</vt:i4>
      </vt:variant>
      <vt:variant>
        <vt:i4>0</vt:i4>
      </vt:variant>
      <vt:variant>
        <vt:i4>5</vt:i4>
      </vt:variant>
      <vt:variant>
        <vt:lpwstr>https://doi.org/10.1093/acrefore/9780190277727.013.504</vt:lpwstr>
      </vt:variant>
      <vt:variant>
        <vt:lpwstr/>
      </vt:variant>
      <vt:variant>
        <vt:i4>2293881</vt:i4>
      </vt:variant>
      <vt:variant>
        <vt:i4>0</vt:i4>
      </vt:variant>
      <vt:variant>
        <vt:i4>0</vt:i4>
      </vt:variant>
      <vt:variant>
        <vt:i4>5</vt:i4>
      </vt:variant>
      <vt:variant>
        <vt:lpwstr>https://doi.org/10.1093/acrefore/9780190277727.013.504</vt:lpwstr>
      </vt:variant>
      <vt:variant>
        <vt:lpwstr/>
      </vt:variant>
      <vt:variant>
        <vt:i4>5505116</vt:i4>
      </vt:variant>
      <vt:variant>
        <vt:i4>6</vt:i4>
      </vt:variant>
      <vt:variant>
        <vt:i4>0</vt:i4>
      </vt:variant>
      <vt:variant>
        <vt:i4>5</vt:i4>
      </vt:variant>
      <vt:variant>
        <vt:lpwstr>https://en.wikipedia.org/wiki/Astana_International_Financial_Centre?utm_source=chatgpt.com</vt:lpwstr>
      </vt:variant>
      <vt:variant>
        <vt:lpwstr/>
      </vt:variant>
      <vt:variant>
        <vt:i4>786479</vt:i4>
      </vt:variant>
      <vt:variant>
        <vt:i4>3</vt:i4>
      </vt:variant>
      <vt:variant>
        <vt:i4>0</vt:i4>
      </vt:variant>
      <vt:variant>
        <vt:i4>5</vt:i4>
      </vt:variant>
      <vt:variant>
        <vt:lpwstr>https://online.zakon.kz/Document/?doc_id=33590347&amp;pos=6;-106</vt:lpwstr>
      </vt:variant>
      <vt:variant>
        <vt:lpwstr>pos=6;-106</vt:lpwstr>
      </vt:variant>
      <vt:variant>
        <vt:i4>3014769</vt:i4>
      </vt:variant>
      <vt:variant>
        <vt:i4>0</vt:i4>
      </vt:variant>
      <vt:variant>
        <vt:i4>0</vt:i4>
      </vt:variant>
      <vt:variant>
        <vt:i4>5</vt:i4>
      </vt:variant>
      <vt:variant>
        <vt:lpwstr>https://www.britannica.com/place/Kazakhstan/Independent-Kazakhstan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a.karimov@campus.unimib.it</dc:creator>
  <cp:keywords/>
  <dc:description/>
  <cp:lastModifiedBy>a.karimov@campus.unimib.it</cp:lastModifiedBy>
  <cp:revision>2</cp:revision>
  <dcterms:created xsi:type="dcterms:W3CDTF">2025-05-24T10:48:00Z</dcterms:created>
  <dcterms:modified xsi:type="dcterms:W3CDTF">2025-05-24T10:48:00Z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2de1d478af9135dddd7cfe26e4264feb014b3d6e869acb8003ffaea02351131f</vt:lpwstr>
  </property>
  <property fmtid="{D5CDD505-2E9C-101B-9397-08002B2CF9AE}" pid="3" name="ContentTypeId">
    <vt:lpwstr>0x010100970DDF6CA6828C41A2AC4510CE7066DA</vt:lpwstr>
  </property>
</Properties>
</file>