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070" w:rsidRDefault="00235070" w:rsidP="00BE31FB">
      <w:pPr>
        <w:pStyle w:val="Heading1"/>
      </w:pPr>
      <w:r>
        <w:t>&lt;</w:t>
      </w:r>
      <w:proofErr w:type="gramStart"/>
      <w:r>
        <w:t>chapter</w:t>
      </w:r>
      <w:proofErr w:type="gramEnd"/>
      <w:r>
        <w:t>&gt;</w:t>
      </w:r>
    </w:p>
    <w:p w:rsidR="00BE31FB" w:rsidRPr="00C86EFF" w:rsidRDefault="00235070" w:rsidP="00BE31FB">
      <w:pPr>
        <w:pStyle w:val="Heading1"/>
      </w:pPr>
      <w:r>
        <w:t>&lt;</w:t>
      </w:r>
      <w:proofErr w:type="gramStart"/>
      <w:r>
        <w:t>title&gt;</w:t>
      </w:r>
      <w:proofErr w:type="gramEnd"/>
      <w:r w:rsidR="00BE31FB" w:rsidRPr="00C86EFF">
        <w:t>CHAPTER C2</w:t>
      </w:r>
      <w:r w:rsidR="00BE31FB">
        <w:t xml:space="preserve"> - </w:t>
      </w:r>
      <w:r w:rsidR="00BE31FB" w:rsidRPr="00C86EFF">
        <w:t>CARRIERS LAW</w:t>
      </w:r>
      <w:r>
        <w:t>&lt;/title&gt;</w:t>
      </w:r>
    </w:p>
    <w:p w:rsidR="00B7724C" w:rsidRDefault="00B7724C" w:rsidP="00B7724C">
      <w:pPr>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p>
    <w:p w:rsidR="00BE31FB" w:rsidRPr="005F42E7" w:rsidRDefault="00BE31FB" w:rsidP="00BE31FB">
      <w:pPr>
        <w:jc w:val="center"/>
        <w:rPr>
          <w:rFonts w:cs="Andalus"/>
          <w:color w:val="800000"/>
        </w:rPr>
      </w:pPr>
      <w:r w:rsidRPr="005F42E7">
        <w:rPr>
          <w:rFonts w:cs="Andalus"/>
          <w:color w:val="800000"/>
        </w:rPr>
        <w:t>ARRANGEMENT OF SECTIONS</w:t>
      </w:r>
    </w:p>
    <w:p w:rsidR="00BE31FB" w:rsidRPr="005F42E7" w:rsidRDefault="00BE31FB" w:rsidP="00BE31FB">
      <w:pPr>
        <w:jc w:val="left"/>
        <w:rPr>
          <w:rFonts w:cs="Andalus"/>
          <w:color w:val="800000"/>
        </w:rPr>
      </w:pPr>
      <w:r w:rsidRPr="005F42E7">
        <w:rPr>
          <w:rFonts w:cs="Andalus"/>
          <w:color w:val="800000"/>
        </w:rPr>
        <w:t>SECTION</w:t>
      </w:r>
    </w:p>
    <w:p w:rsidR="00BE31FB" w:rsidRPr="005F42E7" w:rsidRDefault="00BE31FB" w:rsidP="00BE31FB">
      <w:pPr>
        <w:jc w:val="left"/>
        <w:rPr>
          <w:rFonts w:cs="Andalus"/>
          <w:color w:val="800000"/>
        </w:rPr>
      </w:pPr>
      <w:r w:rsidRPr="005F42E7">
        <w:rPr>
          <w:rFonts w:cs="Andalus"/>
          <w:color w:val="800000"/>
        </w:rPr>
        <w:t>1.</w:t>
      </w:r>
      <w:r w:rsidRPr="005F42E7">
        <w:rPr>
          <w:rFonts w:cs="Andalus"/>
          <w:color w:val="800000"/>
        </w:rPr>
        <w:tab/>
        <w:t>Liability as a common carrier.</w:t>
      </w:r>
    </w:p>
    <w:p w:rsidR="00BE31FB" w:rsidRPr="005F42E7" w:rsidRDefault="00BE31FB" w:rsidP="00BE31FB">
      <w:pPr>
        <w:jc w:val="left"/>
        <w:rPr>
          <w:rFonts w:cs="Andalus"/>
          <w:color w:val="800000"/>
        </w:rPr>
      </w:pPr>
      <w:r w:rsidRPr="005F42E7">
        <w:rPr>
          <w:rFonts w:cs="Andalus"/>
          <w:color w:val="800000"/>
        </w:rPr>
        <w:t>2.</w:t>
      </w:r>
      <w:r w:rsidRPr="005F42E7">
        <w:rPr>
          <w:rFonts w:cs="Andalus"/>
          <w:color w:val="800000"/>
        </w:rPr>
        <w:tab/>
        <w:t>Obligation to accept goods for carriage and grounds for refusal.</w:t>
      </w:r>
    </w:p>
    <w:p w:rsidR="00BE31FB" w:rsidRPr="005F42E7" w:rsidRDefault="00BE31FB" w:rsidP="00BE31FB">
      <w:pPr>
        <w:jc w:val="left"/>
        <w:rPr>
          <w:rFonts w:cs="Andalus"/>
          <w:color w:val="800000"/>
        </w:rPr>
      </w:pPr>
      <w:r w:rsidRPr="005F42E7">
        <w:rPr>
          <w:rFonts w:cs="Andalus"/>
          <w:color w:val="800000"/>
        </w:rPr>
        <w:t>3.</w:t>
      </w:r>
      <w:r w:rsidRPr="005F42E7">
        <w:rPr>
          <w:rFonts w:cs="Andalus"/>
          <w:color w:val="800000"/>
        </w:rPr>
        <w:tab/>
        <w:t>Common carrier's right to payment.</w:t>
      </w:r>
    </w:p>
    <w:p w:rsidR="00BE31FB" w:rsidRPr="005F42E7" w:rsidRDefault="00BE31FB" w:rsidP="00BE31FB">
      <w:pPr>
        <w:jc w:val="left"/>
        <w:rPr>
          <w:rFonts w:cs="Andalus"/>
          <w:color w:val="800000"/>
        </w:rPr>
      </w:pPr>
      <w:r w:rsidRPr="005F42E7">
        <w:rPr>
          <w:rFonts w:cs="Andalus"/>
          <w:color w:val="800000"/>
        </w:rPr>
        <w:t>4.</w:t>
      </w:r>
      <w:r w:rsidRPr="005F42E7">
        <w:rPr>
          <w:rFonts w:cs="Andalus"/>
          <w:color w:val="800000"/>
        </w:rPr>
        <w:tab/>
        <w:t>Common carrier's duty in emergency.</w:t>
      </w:r>
    </w:p>
    <w:p w:rsidR="00BE31FB" w:rsidRPr="005F42E7" w:rsidRDefault="00BE31FB" w:rsidP="00BE31FB">
      <w:pPr>
        <w:jc w:val="left"/>
        <w:rPr>
          <w:rFonts w:cs="Andalus"/>
          <w:color w:val="800000"/>
        </w:rPr>
      </w:pPr>
      <w:r w:rsidRPr="005F42E7">
        <w:rPr>
          <w:rFonts w:cs="Andalus"/>
          <w:color w:val="800000"/>
        </w:rPr>
        <w:t>5.</w:t>
      </w:r>
      <w:r w:rsidRPr="005F42E7">
        <w:rPr>
          <w:rFonts w:cs="Andalus"/>
          <w:color w:val="800000"/>
        </w:rPr>
        <w:tab/>
        <w:t>Common carrier's duty to deliver within a reasonable time.</w:t>
      </w:r>
    </w:p>
    <w:p w:rsidR="00BE31FB" w:rsidRPr="005F42E7" w:rsidRDefault="00BE31FB" w:rsidP="00BE31FB">
      <w:pPr>
        <w:jc w:val="left"/>
        <w:rPr>
          <w:rFonts w:cs="Andalus"/>
          <w:color w:val="800000"/>
        </w:rPr>
      </w:pPr>
      <w:r w:rsidRPr="005F42E7">
        <w:rPr>
          <w:rFonts w:cs="Andalus"/>
          <w:color w:val="800000"/>
        </w:rPr>
        <w:t>6.</w:t>
      </w:r>
      <w:r w:rsidRPr="005F42E7">
        <w:rPr>
          <w:rFonts w:cs="Andalus"/>
          <w:color w:val="800000"/>
        </w:rPr>
        <w:tab/>
        <w:t>Liability of common carrier.</w:t>
      </w:r>
    </w:p>
    <w:p w:rsidR="00BE31FB" w:rsidRPr="005F42E7" w:rsidRDefault="00BE31FB" w:rsidP="00BE31FB">
      <w:pPr>
        <w:jc w:val="left"/>
        <w:rPr>
          <w:rFonts w:cs="Andalus"/>
          <w:color w:val="800000"/>
        </w:rPr>
      </w:pPr>
      <w:r w:rsidRPr="005F42E7">
        <w:rPr>
          <w:rFonts w:cs="Andalus"/>
          <w:color w:val="800000"/>
        </w:rPr>
        <w:t>7.</w:t>
      </w:r>
      <w:r w:rsidRPr="005F42E7">
        <w:rPr>
          <w:rFonts w:cs="Andalus"/>
          <w:color w:val="800000"/>
        </w:rPr>
        <w:tab/>
        <w:t>Limit of liability of common carrier for loss or damage in certain cases.</w:t>
      </w:r>
    </w:p>
    <w:p w:rsidR="00BE31FB" w:rsidRPr="005F42E7" w:rsidRDefault="00BE31FB" w:rsidP="00BE31FB">
      <w:pPr>
        <w:jc w:val="left"/>
        <w:rPr>
          <w:rFonts w:cs="Andalus"/>
          <w:color w:val="800000"/>
        </w:rPr>
      </w:pPr>
      <w:r w:rsidRPr="005F42E7">
        <w:rPr>
          <w:rFonts w:cs="Andalus"/>
          <w:color w:val="800000"/>
        </w:rPr>
        <w:t>8.</w:t>
      </w:r>
      <w:r w:rsidRPr="005F42E7">
        <w:rPr>
          <w:rFonts w:cs="Andalus"/>
          <w:color w:val="800000"/>
        </w:rPr>
        <w:tab/>
        <w:t>Increased charge may be demanded in certain cases.</w:t>
      </w:r>
    </w:p>
    <w:p w:rsidR="00BE31FB" w:rsidRPr="005F42E7" w:rsidRDefault="00BE31FB" w:rsidP="00BE31FB">
      <w:pPr>
        <w:jc w:val="left"/>
        <w:rPr>
          <w:rFonts w:cs="Andalus"/>
          <w:color w:val="800000"/>
        </w:rPr>
      </w:pPr>
      <w:r w:rsidRPr="005F42E7">
        <w:rPr>
          <w:rFonts w:cs="Andalus"/>
          <w:color w:val="800000"/>
        </w:rPr>
        <w:t>9.</w:t>
      </w:r>
      <w:r w:rsidRPr="005F42E7">
        <w:rPr>
          <w:rFonts w:cs="Andalus"/>
          <w:color w:val="800000"/>
        </w:rPr>
        <w:tab/>
        <w:t>Carriers to give</w:t>
      </w:r>
      <w:r>
        <w:rPr>
          <w:rFonts w:cs="Andalus"/>
          <w:color w:val="800000"/>
        </w:rPr>
        <w:t xml:space="preserve"> receipt for increased charges.</w:t>
      </w:r>
    </w:p>
    <w:p w:rsidR="00BE31FB" w:rsidRPr="005F42E7" w:rsidRDefault="00BE31FB" w:rsidP="00BE31FB">
      <w:pPr>
        <w:jc w:val="left"/>
        <w:rPr>
          <w:rFonts w:cs="Andalus"/>
          <w:color w:val="800000"/>
        </w:rPr>
      </w:pPr>
      <w:r w:rsidRPr="005F42E7">
        <w:rPr>
          <w:rFonts w:cs="Andalus"/>
          <w:color w:val="800000"/>
        </w:rPr>
        <w:t>10.</w:t>
      </w:r>
      <w:r w:rsidRPr="005F42E7">
        <w:rPr>
          <w:rFonts w:cs="Andalus"/>
          <w:color w:val="800000"/>
        </w:rPr>
        <w:tab/>
        <w:t>Common carrier not protected in absence of receipt.</w:t>
      </w:r>
    </w:p>
    <w:p w:rsidR="00BE31FB" w:rsidRPr="005F42E7" w:rsidRDefault="00BE31FB" w:rsidP="00BE31FB">
      <w:pPr>
        <w:jc w:val="left"/>
        <w:rPr>
          <w:rFonts w:cs="Andalus"/>
          <w:color w:val="800000"/>
        </w:rPr>
      </w:pPr>
      <w:r w:rsidRPr="005F42E7">
        <w:rPr>
          <w:rFonts w:cs="Andalus"/>
          <w:color w:val="800000"/>
        </w:rPr>
        <w:t>11.</w:t>
      </w:r>
      <w:r w:rsidRPr="005F42E7">
        <w:rPr>
          <w:rFonts w:cs="Andalus"/>
          <w:color w:val="800000"/>
        </w:rPr>
        <w:tab/>
        <w:t>Parties entitled to damages for loss may also recover increased charge.</w:t>
      </w:r>
    </w:p>
    <w:p w:rsidR="00BE31FB" w:rsidRPr="005F42E7" w:rsidRDefault="00BE31FB" w:rsidP="00BE31FB">
      <w:pPr>
        <w:jc w:val="left"/>
        <w:rPr>
          <w:rFonts w:cs="Andalus"/>
          <w:color w:val="800000"/>
        </w:rPr>
      </w:pPr>
      <w:r w:rsidRPr="005F42E7">
        <w:rPr>
          <w:rFonts w:cs="Andalus"/>
          <w:color w:val="800000"/>
        </w:rPr>
        <w:t>12.</w:t>
      </w:r>
      <w:r w:rsidRPr="005F42E7">
        <w:rPr>
          <w:rFonts w:cs="Andalus"/>
          <w:color w:val="800000"/>
        </w:rPr>
        <w:tab/>
        <w:t>Common carrier liable only to damages proved.</w:t>
      </w:r>
    </w:p>
    <w:p w:rsidR="00BE31FB" w:rsidRPr="005F42E7" w:rsidRDefault="00BE31FB" w:rsidP="00BE31FB">
      <w:pPr>
        <w:jc w:val="left"/>
        <w:rPr>
          <w:rFonts w:cs="Andalus"/>
          <w:color w:val="800000"/>
        </w:rPr>
      </w:pPr>
      <w:r w:rsidRPr="005F42E7">
        <w:rPr>
          <w:rFonts w:cs="Andalus"/>
          <w:color w:val="800000"/>
        </w:rPr>
        <w:t>13.</w:t>
      </w:r>
      <w:r w:rsidRPr="005F42E7">
        <w:rPr>
          <w:rFonts w:cs="Andalus"/>
          <w:color w:val="800000"/>
        </w:rPr>
        <w:tab/>
        <w:t xml:space="preserve">Public notice or declaration not to limit </w:t>
      </w:r>
      <w:proofErr w:type="gramStart"/>
      <w:r w:rsidRPr="005F42E7">
        <w:rPr>
          <w:rFonts w:cs="Andalus"/>
          <w:color w:val="800000"/>
        </w:rPr>
        <w:t>carriers</w:t>
      </w:r>
      <w:proofErr w:type="gramEnd"/>
      <w:r w:rsidRPr="005F42E7">
        <w:rPr>
          <w:rFonts w:cs="Andalus"/>
          <w:color w:val="800000"/>
        </w:rPr>
        <w:t xml:space="preserve"> liability in respect of losses from which he is not protected by this Law</w:t>
      </w:r>
    </w:p>
    <w:p w:rsidR="00BE31FB" w:rsidRPr="005F42E7" w:rsidRDefault="00BE31FB" w:rsidP="00BE31FB">
      <w:pPr>
        <w:jc w:val="left"/>
        <w:rPr>
          <w:rFonts w:cs="Andalus"/>
          <w:color w:val="800000"/>
        </w:rPr>
      </w:pPr>
      <w:r w:rsidRPr="005F42E7">
        <w:rPr>
          <w:rFonts w:cs="Andalus"/>
          <w:color w:val="800000"/>
        </w:rPr>
        <w:t>14.</w:t>
      </w:r>
      <w:r w:rsidRPr="005F42E7">
        <w:rPr>
          <w:rFonts w:cs="Andalus"/>
          <w:color w:val="800000"/>
        </w:rPr>
        <w:tab/>
        <w:t>Special contract not affected.</w:t>
      </w:r>
    </w:p>
    <w:p w:rsidR="00BE31FB" w:rsidRPr="005F42E7" w:rsidRDefault="00BE31FB" w:rsidP="00BE31FB">
      <w:pPr>
        <w:jc w:val="left"/>
        <w:rPr>
          <w:rFonts w:cs="Andalus"/>
          <w:color w:val="800000"/>
        </w:rPr>
      </w:pPr>
      <w:r w:rsidRPr="005F42E7">
        <w:rPr>
          <w:rFonts w:cs="Andalus"/>
          <w:color w:val="800000"/>
        </w:rPr>
        <w:t>15.</w:t>
      </w:r>
      <w:r w:rsidRPr="005F42E7">
        <w:rPr>
          <w:rFonts w:cs="Andalus"/>
          <w:color w:val="800000"/>
        </w:rPr>
        <w:tab/>
        <w:t>Actions not to abate for non-joinder of co-proprietor.</w:t>
      </w:r>
    </w:p>
    <w:p w:rsidR="00BE31FB" w:rsidRPr="005F42E7" w:rsidRDefault="00BE31FB" w:rsidP="00BE31FB">
      <w:pPr>
        <w:jc w:val="left"/>
        <w:rPr>
          <w:rFonts w:cs="Andalus"/>
          <w:color w:val="800000"/>
        </w:rPr>
      </w:pPr>
      <w:r w:rsidRPr="005F42E7">
        <w:rPr>
          <w:rFonts w:cs="Andalus"/>
          <w:color w:val="800000"/>
        </w:rPr>
        <w:t>16.</w:t>
      </w:r>
      <w:r w:rsidRPr="005F42E7">
        <w:rPr>
          <w:rFonts w:cs="Andalus"/>
          <w:color w:val="800000"/>
        </w:rPr>
        <w:tab/>
        <w:t>Exception as to criminal acts, etc.</w:t>
      </w:r>
    </w:p>
    <w:p w:rsidR="00BE31FB" w:rsidRPr="005F42E7" w:rsidRDefault="00BE31FB" w:rsidP="00BE31FB">
      <w:pPr>
        <w:jc w:val="left"/>
        <w:rPr>
          <w:rFonts w:cs="Andalus"/>
          <w:color w:val="800000"/>
        </w:rPr>
      </w:pPr>
      <w:r w:rsidRPr="005F42E7">
        <w:rPr>
          <w:rFonts w:cs="Andalus"/>
          <w:color w:val="800000"/>
        </w:rPr>
        <w:t>17.</w:t>
      </w:r>
      <w:r w:rsidRPr="005F42E7">
        <w:rPr>
          <w:rFonts w:cs="Andalus"/>
          <w:color w:val="800000"/>
        </w:rPr>
        <w:tab/>
        <w:t>Interpretation.</w:t>
      </w:r>
    </w:p>
    <w:p w:rsidR="00BE31FB" w:rsidRPr="005F42E7" w:rsidRDefault="00BE31FB" w:rsidP="00BE31FB">
      <w:pPr>
        <w:jc w:val="left"/>
        <w:rPr>
          <w:rFonts w:cs="Andalus"/>
          <w:color w:val="800000"/>
        </w:rPr>
      </w:pPr>
      <w:r w:rsidRPr="005F42E7">
        <w:rPr>
          <w:rFonts w:cs="Andalus"/>
          <w:color w:val="800000"/>
        </w:rPr>
        <w:t>18.</w:t>
      </w:r>
      <w:r w:rsidRPr="005F42E7">
        <w:rPr>
          <w:rFonts w:cs="Andalus"/>
          <w:color w:val="800000"/>
        </w:rPr>
        <w:tab/>
        <w:t>Citation and application.</w:t>
      </w:r>
    </w:p>
    <w:p w:rsidR="00BE31FB" w:rsidRPr="005F42E7" w:rsidRDefault="00BE31FB" w:rsidP="00BE31FB">
      <w:pPr>
        <w:jc w:val="left"/>
        <w:rPr>
          <w:rFonts w:cs="Andalus"/>
          <w:color w:val="800000"/>
        </w:rPr>
      </w:pPr>
      <w:r>
        <w:rPr>
          <w:rFonts w:cs="Andalus"/>
          <w:color w:val="800000"/>
        </w:rPr>
        <w:t xml:space="preserve">                                   </w:t>
      </w:r>
      <w:r w:rsidRPr="005F42E7">
        <w:rPr>
          <w:rFonts w:cs="Andalus"/>
          <w:color w:val="800000"/>
        </w:rPr>
        <w:t>SCHEDULE</w:t>
      </w:r>
      <w:r w:rsidR="00235070">
        <w:rPr>
          <w:rFonts w:cs="Andalus"/>
          <w:color w:val="800000"/>
        </w:rPr>
        <w:t>&lt;/</w:t>
      </w:r>
      <w:proofErr w:type="spellStart"/>
      <w:r w:rsidR="00235070">
        <w:rPr>
          <w:rFonts w:cs="Andalus"/>
          <w:color w:val="800000"/>
        </w:rPr>
        <w:t>cdata</w:t>
      </w:r>
      <w:proofErr w:type="spellEnd"/>
      <w:r w:rsidR="00235070">
        <w:rPr>
          <w:rFonts w:cs="Andalus"/>
          <w:color w:val="800000"/>
        </w:rPr>
        <w:t>&gt;</w:t>
      </w:r>
    </w:p>
    <w:p w:rsidR="00BE31FB" w:rsidRPr="005F42E7" w:rsidRDefault="00BE31FB" w:rsidP="00BE31FB">
      <w:pPr>
        <w:jc w:val="left"/>
        <w:rPr>
          <w:rFonts w:cs="Andalus"/>
          <w:color w:val="800000"/>
        </w:rPr>
      </w:pPr>
    </w:p>
    <w:p w:rsidR="00BE31FB" w:rsidRPr="005F42E7" w:rsidRDefault="00BE31FB" w:rsidP="00BE31FB">
      <w:pPr>
        <w:jc w:val="left"/>
        <w:rPr>
          <w:rFonts w:cs="Andalus"/>
          <w:color w:val="800000"/>
        </w:rPr>
      </w:pPr>
    </w:p>
    <w:p w:rsidR="00BE31FB" w:rsidRPr="00DB5B90" w:rsidRDefault="00BE31FB" w:rsidP="00BE31FB">
      <w:pPr>
        <w:jc w:val="center"/>
        <w:rPr>
          <w:rFonts w:cs="Andalus"/>
          <w:b/>
          <w:color w:val="800000"/>
        </w:rPr>
      </w:pPr>
      <w:r w:rsidRPr="00DB5B90">
        <w:rPr>
          <w:rFonts w:cs="Andalus"/>
          <w:b/>
          <w:color w:val="800000"/>
        </w:rPr>
        <w:t>CARRIERS LAW</w:t>
      </w:r>
    </w:p>
    <w:p w:rsidR="00BE31FB" w:rsidRPr="00DB5B90" w:rsidRDefault="00BE31FB" w:rsidP="00BE31FB">
      <w:pPr>
        <w:jc w:val="center"/>
        <w:rPr>
          <w:rFonts w:cs="Andalus"/>
          <w:b/>
          <w:color w:val="800000"/>
        </w:rPr>
      </w:pPr>
      <w:r w:rsidRPr="00DB5B90">
        <w:rPr>
          <w:rFonts w:cs="Andalus"/>
          <w:b/>
          <w:color w:val="800000"/>
        </w:rPr>
        <w:t>A Law to regulate the relationship of carriers and</w:t>
      </w:r>
      <w:r>
        <w:rPr>
          <w:rFonts w:cs="Andalus"/>
          <w:b/>
          <w:color w:val="800000"/>
        </w:rPr>
        <w:t xml:space="preserve"> persons entrusting to them cer</w:t>
      </w:r>
      <w:r w:rsidRPr="00DB5B90">
        <w:rPr>
          <w:rFonts w:cs="Andalus"/>
          <w:b/>
          <w:color w:val="800000"/>
        </w:rPr>
        <w:t>tain parcels and packages for conveyance.</w:t>
      </w:r>
    </w:p>
    <w:p w:rsidR="00BE31FB" w:rsidRPr="005F42E7" w:rsidRDefault="00BE31FB" w:rsidP="00BE31FB">
      <w:pPr>
        <w:jc w:val="left"/>
        <w:rPr>
          <w:rFonts w:cs="Andalus"/>
          <w:color w:val="800000"/>
        </w:rPr>
      </w:pPr>
      <w:r>
        <w:rPr>
          <w:rFonts w:cs="Andalus"/>
          <w:color w:val="800000"/>
        </w:rPr>
        <w:t xml:space="preserve">                                          </w:t>
      </w:r>
      <w:r w:rsidR="00235070">
        <w:rPr>
          <w:rFonts w:cs="Andalus"/>
          <w:color w:val="800000"/>
        </w:rPr>
        <w:t>&lt;</w:t>
      </w:r>
      <w:proofErr w:type="spellStart"/>
      <w:proofErr w:type="gramStart"/>
      <w:r w:rsidR="00235070">
        <w:rPr>
          <w:rFonts w:cs="Andalus"/>
          <w:color w:val="800000"/>
        </w:rPr>
        <w:t>lawnumber</w:t>
      </w:r>
      <w:proofErr w:type="spellEnd"/>
      <w:proofErr w:type="gramEnd"/>
      <w:r w:rsidR="00235070">
        <w:rPr>
          <w:rFonts w:cs="Andalus"/>
          <w:color w:val="800000"/>
        </w:rPr>
        <w:t>&gt;</w:t>
      </w:r>
      <w:r>
        <w:rPr>
          <w:rFonts w:cs="Andalus"/>
          <w:color w:val="800000"/>
        </w:rPr>
        <w:t xml:space="preserve">  </w:t>
      </w:r>
      <w:r w:rsidRPr="005F42E7">
        <w:rPr>
          <w:rFonts w:cs="Andalus"/>
          <w:color w:val="800000"/>
        </w:rPr>
        <w:t>[KWS 20 of 1991, No. 4 of 2006.]</w:t>
      </w:r>
      <w:r w:rsidR="00235070">
        <w:rPr>
          <w:rFonts w:cs="Andalus"/>
          <w:color w:val="800000"/>
        </w:rPr>
        <w:t>&lt;/</w:t>
      </w:r>
      <w:proofErr w:type="spellStart"/>
      <w:r w:rsidR="00235070">
        <w:rPr>
          <w:rFonts w:cs="Andalus"/>
          <w:color w:val="800000"/>
        </w:rPr>
        <w:t>lawnumber</w:t>
      </w:r>
      <w:proofErr w:type="spellEnd"/>
      <w:r w:rsidR="00235070">
        <w:rPr>
          <w:rFonts w:cs="Andalus"/>
          <w:color w:val="800000"/>
        </w:rPr>
        <w:t>&gt;</w:t>
      </w:r>
    </w:p>
    <w:p w:rsidR="00BE31FB" w:rsidRPr="005F42E7" w:rsidRDefault="00BE31FB" w:rsidP="00BE31FB">
      <w:pPr>
        <w:jc w:val="left"/>
        <w:rPr>
          <w:rFonts w:cs="Andalus"/>
          <w:color w:val="800000"/>
        </w:rPr>
      </w:pPr>
      <w:r>
        <w:rPr>
          <w:rFonts w:cs="Andalus"/>
          <w:color w:val="800000"/>
        </w:rPr>
        <w:t xml:space="preserve">                                                  </w:t>
      </w:r>
      <w:r w:rsidR="00235070">
        <w:rPr>
          <w:rFonts w:cs="Andalus"/>
          <w:color w:val="800000"/>
        </w:rPr>
        <w:t>&lt;</w:t>
      </w:r>
      <w:proofErr w:type="spellStart"/>
      <w:proofErr w:type="gramStart"/>
      <w:r w:rsidR="00235070">
        <w:rPr>
          <w:rFonts w:cs="Andalus"/>
          <w:color w:val="800000"/>
        </w:rPr>
        <w:t>lawdate</w:t>
      </w:r>
      <w:proofErr w:type="spellEnd"/>
      <w:proofErr w:type="gramEnd"/>
      <w:r w:rsidR="00235070">
        <w:rPr>
          <w:rFonts w:cs="Andalus"/>
          <w:color w:val="800000"/>
        </w:rPr>
        <w:t>&gt;</w:t>
      </w:r>
      <w:r>
        <w:rPr>
          <w:rFonts w:cs="Andalus"/>
          <w:color w:val="800000"/>
        </w:rPr>
        <w:t xml:space="preserve"> </w:t>
      </w:r>
      <w:r w:rsidRPr="005F42E7">
        <w:rPr>
          <w:rFonts w:cs="Andalus"/>
          <w:color w:val="800000"/>
        </w:rPr>
        <w:t>[Date of commencement: 15th August, 1991]</w:t>
      </w:r>
      <w:r w:rsidR="00235070">
        <w:rPr>
          <w:rFonts w:cs="Andalus"/>
          <w:color w:val="800000"/>
        </w:rPr>
        <w:t>&lt;/</w:t>
      </w:r>
      <w:proofErr w:type="spellStart"/>
      <w:r w:rsidR="00235070">
        <w:rPr>
          <w:rFonts w:cs="Andalus"/>
          <w:color w:val="800000"/>
        </w:rPr>
        <w:t>lawdate</w:t>
      </w:r>
      <w:proofErr w:type="spellEnd"/>
      <w:r w:rsidR="00235070">
        <w:rPr>
          <w:rFonts w:cs="Andalus"/>
          <w:color w:val="800000"/>
        </w:rPr>
        <w:t>&gt;</w:t>
      </w:r>
    </w:p>
    <w:p w:rsidR="00BE31FB" w:rsidRDefault="00235070" w:rsidP="00BE31FB">
      <w:pPr>
        <w:jc w:val="left"/>
        <w:rPr>
          <w:rFonts w:cs="Andalus"/>
          <w:color w:val="800000"/>
        </w:rPr>
      </w:pPr>
      <w:r>
        <w:rPr>
          <w:rFonts w:cs="Andalus"/>
          <w:color w:val="800000"/>
        </w:rPr>
        <w:t>&lt;</w:t>
      </w:r>
      <w:proofErr w:type="gramStart"/>
      <w:r>
        <w:rPr>
          <w:rFonts w:cs="Andalus"/>
          <w:color w:val="800000"/>
        </w:rPr>
        <w:t>sections</w:t>
      </w:r>
      <w:proofErr w:type="gramEnd"/>
      <w:r>
        <w:rPr>
          <w:rFonts w:cs="Andalus"/>
          <w:color w:val="800000"/>
        </w:rPr>
        <w:t>&gt;</w:t>
      </w:r>
    </w:p>
    <w:p w:rsidR="00BE31FB" w:rsidRPr="00DB5B90" w:rsidRDefault="00235070"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 &lt;heading&gt;</w:t>
      </w:r>
      <w:r w:rsidR="00BE31FB" w:rsidRPr="00DB5B90">
        <w:rPr>
          <w:rFonts w:cs="Andalus"/>
          <w:b/>
          <w:color w:val="800000"/>
        </w:rPr>
        <w:t>1. Liability as a common carrier</w:t>
      </w:r>
      <w:r>
        <w:rPr>
          <w:rFonts w:cs="Andalus"/>
          <w:b/>
          <w:color w:val="800000"/>
        </w:rPr>
        <w:t>&lt;/heading&gt;</w:t>
      </w:r>
    </w:p>
    <w:p w:rsidR="00BE31FB" w:rsidRPr="005F42E7" w:rsidRDefault="00BE31FB" w:rsidP="00BE31FB">
      <w:pPr>
        <w:jc w:val="left"/>
        <w:rPr>
          <w:rFonts w:cs="Andalus"/>
          <w:color w:val="800000"/>
        </w:rPr>
      </w:pPr>
      <w:r>
        <w:rPr>
          <w:rFonts w:cs="Andalus"/>
          <w:color w:val="800000"/>
        </w:rPr>
        <w:t xml:space="preserve"> </w:t>
      </w:r>
      <w:r w:rsidR="00235070">
        <w:rPr>
          <w:rFonts w:cs="Andalus"/>
          <w:color w:val="800000"/>
        </w:rPr>
        <w:t>&lt;body&gt;</w:t>
      </w:r>
      <w:r>
        <w:rPr>
          <w:rFonts w:cs="Andalus"/>
          <w:color w:val="800000"/>
        </w:rPr>
        <w:t xml:space="preserve"> </w:t>
      </w:r>
      <w:r w:rsidRPr="005F42E7">
        <w:rPr>
          <w:rFonts w:cs="Andalus"/>
          <w:color w:val="800000"/>
        </w:rPr>
        <w:t xml:space="preserve">A person shall be liable as a common carrier of goods where he holds himself out, either expressly or by a course of conduct, as willing to carry for reward, so long as he has </w:t>
      </w:r>
      <w:r w:rsidRPr="005F42E7">
        <w:rPr>
          <w:rFonts w:cs="Andalus"/>
          <w:color w:val="800000"/>
        </w:rPr>
        <w:lastRenderedPageBreak/>
        <w:t>room, the goods, of all persons who entrust such goods to him to be carried</w:t>
      </w:r>
      <w:r>
        <w:rPr>
          <w:rFonts w:cs="Andalus"/>
          <w:color w:val="800000"/>
        </w:rPr>
        <w:t xml:space="preserve"> at a rea</w:t>
      </w:r>
      <w:r w:rsidRPr="005F42E7">
        <w:rPr>
          <w:rFonts w:cs="Andalus"/>
          <w:color w:val="800000"/>
        </w:rPr>
        <w:t>sonable price.</w:t>
      </w:r>
      <w:r w:rsidR="00235070">
        <w:rPr>
          <w:rFonts w:cs="Andalus"/>
          <w:color w:val="800000"/>
        </w:rPr>
        <w:t>&lt;/body&gt;</w:t>
      </w:r>
      <w:r w:rsidR="00B64239">
        <w:rPr>
          <w:rFonts w:cs="Andalus"/>
          <w:color w:val="800000"/>
        </w:rPr>
        <w:t>&lt;/section&gt;</w:t>
      </w:r>
    </w:p>
    <w:p w:rsidR="00BE31FB" w:rsidRPr="005F42E7" w:rsidRDefault="00BE31FB" w:rsidP="00BE31FB">
      <w:pPr>
        <w:jc w:val="left"/>
        <w:rPr>
          <w:rFonts w:cs="Andalus"/>
          <w:color w:val="800000"/>
        </w:rPr>
      </w:pPr>
      <w:r w:rsidRPr="005F42E7">
        <w:rPr>
          <w:rFonts w:cs="Andalus"/>
          <w:color w:val="800000"/>
        </w:rPr>
        <w:t xml:space="preserve"> </w:t>
      </w:r>
    </w:p>
    <w:p w:rsidR="00BE31FB" w:rsidRPr="00610D69" w:rsidRDefault="00B64239"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 xml:space="preserve">&gt; </w:t>
      </w:r>
      <w:r w:rsidR="00235070">
        <w:rPr>
          <w:rFonts w:cs="Andalus"/>
          <w:b/>
          <w:color w:val="800000"/>
        </w:rPr>
        <w:t>&lt;heading&gt;</w:t>
      </w:r>
      <w:r w:rsidR="00BE31FB" w:rsidRPr="00610D69">
        <w:rPr>
          <w:rFonts w:cs="Andalus"/>
          <w:b/>
          <w:color w:val="800000"/>
        </w:rPr>
        <w:t>2.</w:t>
      </w:r>
      <w:r w:rsidR="00BE31FB" w:rsidRPr="00610D69">
        <w:rPr>
          <w:rFonts w:cs="Andalus"/>
          <w:b/>
          <w:color w:val="800000"/>
        </w:rPr>
        <w:tab/>
        <w:t>Obligation to accept goods for carriage and grounds for refusal</w:t>
      </w:r>
      <w:r w:rsidR="00235070">
        <w:rPr>
          <w:rFonts w:cs="Andalus"/>
          <w:b/>
          <w:color w:val="800000"/>
        </w:rPr>
        <w:t>&lt;/heading&gt;</w:t>
      </w:r>
    </w:p>
    <w:p w:rsidR="00BE31FB" w:rsidRDefault="00BE31FB" w:rsidP="00BE31FB">
      <w:pPr>
        <w:jc w:val="left"/>
        <w:rPr>
          <w:rFonts w:cs="Andalus"/>
          <w:color w:val="800000"/>
        </w:rPr>
      </w:pPr>
    </w:p>
    <w:p w:rsidR="00BE31FB" w:rsidRPr="005F42E7" w:rsidRDefault="00235070" w:rsidP="00BE31FB">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BE31FB" w:rsidRPr="005F42E7">
        <w:rPr>
          <w:rFonts w:cs="Andalus"/>
          <w:color w:val="800000"/>
        </w:rPr>
        <w:t>(1)</w:t>
      </w:r>
      <w:r w:rsidR="00BE31FB" w:rsidRPr="005F42E7">
        <w:rPr>
          <w:rFonts w:cs="Andalus"/>
          <w:color w:val="800000"/>
        </w:rPr>
        <w:tab/>
        <w:t>A common carrier shall accept goods which are offered to him for carriage according to his profession unless he has lawful ground for refusal.</w:t>
      </w:r>
    </w:p>
    <w:p w:rsidR="00BE31FB" w:rsidRPr="005F42E7" w:rsidRDefault="00BE31FB" w:rsidP="00BE31FB">
      <w:pPr>
        <w:jc w:val="left"/>
        <w:rPr>
          <w:rFonts w:cs="Andalus"/>
          <w:color w:val="800000"/>
        </w:rPr>
      </w:pPr>
      <w:r w:rsidRPr="005F42E7">
        <w:rPr>
          <w:rFonts w:cs="Andalus"/>
          <w:color w:val="800000"/>
        </w:rPr>
        <w:t>(2)</w:t>
      </w:r>
      <w:r w:rsidRPr="005F42E7">
        <w:rPr>
          <w:rFonts w:cs="Andalus"/>
          <w:color w:val="800000"/>
        </w:rPr>
        <w:tab/>
        <w:t>The grounds on which the common carrier may refuse to accept and carry goods include, but are not limited to, the following—</w:t>
      </w:r>
    </w:p>
    <w:p w:rsidR="00BE31FB" w:rsidRPr="005F42E7" w:rsidRDefault="00BE31FB" w:rsidP="00BE31FB">
      <w:pPr>
        <w:jc w:val="left"/>
        <w:rPr>
          <w:rFonts w:cs="Andalus"/>
          <w:color w:val="800000"/>
        </w:rPr>
      </w:pPr>
      <w:r w:rsidRPr="005F42E7">
        <w:rPr>
          <w:rFonts w:cs="Andalus"/>
          <w:color w:val="800000"/>
        </w:rPr>
        <w:t xml:space="preserve">(a)     </w:t>
      </w:r>
      <w:proofErr w:type="gramStart"/>
      <w:r w:rsidRPr="005F42E7">
        <w:rPr>
          <w:rFonts w:cs="Andalus"/>
          <w:color w:val="800000"/>
        </w:rPr>
        <w:t>if</w:t>
      </w:r>
      <w:proofErr w:type="gramEnd"/>
      <w:r w:rsidRPr="005F42E7">
        <w:rPr>
          <w:rFonts w:cs="Andalus"/>
          <w:color w:val="800000"/>
        </w:rPr>
        <w:t xml:space="preserve"> he does not hold himself out to carry the particular kind of goods offered; or</w:t>
      </w:r>
    </w:p>
    <w:p w:rsidR="00BE31FB" w:rsidRPr="005F42E7" w:rsidRDefault="00BE31FB" w:rsidP="00BE31FB">
      <w:pPr>
        <w:jc w:val="left"/>
        <w:rPr>
          <w:rFonts w:cs="Andalus"/>
          <w:color w:val="800000"/>
        </w:rPr>
      </w:pPr>
      <w:r w:rsidRPr="005F42E7">
        <w:rPr>
          <w:rFonts w:cs="Andalus"/>
          <w:color w:val="800000"/>
        </w:rPr>
        <w:t xml:space="preserve">(6)    </w:t>
      </w:r>
      <w:r>
        <w:rPr>
          <w:rFonts w:cs="Andalus"/>
          <w:color w:val="800000"/>
        </w:rPr>
        <w:t xml:space="preserve"> </w:t>
      </w:r>
      <w:proofErr w:type="gramStart"/>
      <w:r w:rsidRPr="005F42E7">
        <w:rPr>
          <w:rFonts w:cs="Andalus"/>
          <w:color w:val="800000"/>
        </w:rPr>
        <w:t>if</w:t>
      </w:r>
      <w:proofErr w:type="gramEnd"/>
      <w:r w:rsidRPr="005F42E7">
        <w:rPr>
          <w:rFonts w:cs="Andalus"/>
          <w:color w:val="800000"/>
        </w:rPr>
        <w:t xml:space="preserve"> his operation does not extend to proposed destination; or</w:t>
      </w:r>
    </w:p>
    <w:p w:rsidR="00BE31FB" w:rsidRPr="005F42E7" w:rsidRDefault="00BE31FB" w:rsidP="00BE31FB">
      <w:pPr>
        <w:jc w:val="left"/>
        <w:rPr>
          <w:rFonts w:cs="Andalus"/>
          <w:color w:val="800000"/>
        </w:rPr>
      </w:pPr>
      <w:r w:rsidRPr="005F42E7">
        <w:rPr>
          <w:rFonts w:cs="Andalus"/>
          <w:color w:val="800000"/>
        </w:rPr>
        <w:t>(c)</w:t>
      </w:r>
      <w:r w:rsidRPr="005F42E7">
        <w:rPr>
          <w:rFonts w:cs="Andalus"/>
          <w:color w:val="800000"/>
        </w:rPr>
        <w:tab/>
      </w:r>
      <w:proofErr w:type="gramStart"/>
      <w:r w:rsidRPr="005F42E7">
        <w:rPr>
          <w:rFonts w:cs="Andalus"/>
          <w:color w:val="800000"/>
        </w:rPr>
        <w:t>where</w:t>
      </w:r>
      <w:proofErr w:type="gramEnd"/>
      <w:r w:rsidRPr="005F42E7">
        <w:rPr>
          <w:rFonts w:cs="Andalus"/>
          <w:color w:val="800000"/>
        </w:rPr>
        <w:t xml:space="preserve"> he has not been paid the full and proper price for carriage; or</w:t>
      </w:r>
    </w:p>
    <w:p w:rsidR="00BE31FB" w:rsidRPr="005F42E7" w:rsidRDefault="00BE31FB" w:rsidP="00BE31FB">
      <w:pPr>
        <w:jc w:val="left"/>
        <w:rPr>
          <w:rFonts w:cs="Andalus"/>
          <w:color w:val="800000"/>
        </w:rPr>
      </w:pPr>
      <w:r w:rsidRPr="005F42E7">
        <w:rPr>
          <w:rFonts w:cs="Andalus"/>
          <w:color w:val="800000"/>
        </w:rPr>
        <w:t>(d)</w:t>
      </w:r>
      <w:r w:rsidRPr="005F42E7">
        <w:rPr>
          <w:rFonts w:cs="Andalus"/>
          <w:color w:val="800000"/>
        </w:rPr>
        <w:tab/>
      </w:r>
      <w:proofErr w:type="gramStart"/>
      <w:r w:rsidRPr="005F42E7">
        <w:rPr>
          <w:rFonts w:cs="Andalus"/>
          <w:color w:val="800000"/>
        </w:rPr>
        <w:t>if</w:t>
      </w:r>
      <w:proofErr w:type="gramEnd"/>
      <w:r w:rsidRPr="005F42E7">
        <w:rPr>
          <w:rFonts w:cs="Andalus"/>
          <w:color w:val="800000"/>
        </w:rPr>
        <w:t xml:space="preserve"> he has no room in his vehicle; or no conveyance for carrying the goods safely; or</w:t>
      </w:r>
    </w:p>
    <w:p w:rsidR="00BE31FB" w:rsidRPr="005F42E7" w:rsidRDefault="00BE31FB" w:rsidP="00BE31FB">
      <w:pPr>
        <w:jc w:val="left"/>
        <w:rPr>
          <w:rFonts w:cs="Andalus"/>
          <w:color w:val="800000"/>
        </w:rPr>
      </w:pPr>
      <w:r w:rsidRPr="005F42E7">
        <w:rPr>
          <w:rFonts w:cs="Andalus"/>
          <w:color w:val="800000"/>
        </w:rPr>
        <w:t>(e)</w:t>
      </w:r>
      <w:r w:rsidRPr="005F42E7">
        <w:rPr>
          <w:rFonts w:cs="Andalus"/>
          <w:color w:val="800000"/>
        </w:rPr>
        <w:tab/>
      </w:r>
      <w:proofErr w:type="gramStart"/>
      <w:r w:rsidRPr="005F42E7">
        <w:rPr>
          <w:rFonts w:cs="Andalus"/>
          <w:color w:val="800000"/>
        </w:rPr>
        <w:t>if</w:t>
      </w:r>
      <w:proofErr w:type="gramEnd"/>
      <w:r w:rsidRPr="005F42E7">
        <w:rPr>
          <w:rFonts w:cs="Andalus"/>
          <w:color w:val="800000"/>
        </w:rPr>
        <w:t xml:space="preserve"> the goods are not tendered at a reasonable time; or</w:t>
      </w:r>
    </w:p>
    <w:p w:rsidR="00BE31FB" w:rsidRPr="005F42E7" w:rsidRDefault="00BE31FB" w:rsidP="00BE31FB">
      <w:pPr>
        <w:jc w:val="left"/>
        <w:rPr>
          <w:rFonts w:cs="Andalus"/>
          <w:color w:val="800000"/>
        </w:rPr>
      </w:pPr>
      <w:r>
        <w:rPr>
          <w:rFonts w:cs="Andalus"/>
          <w:color w:val="800000"/>
        </w:rPr>
        <w:t>(f</w:t>
      </w:r>
      <w:r w:rsidRPr="005F42E7">
        <w:rPr>
          <w:rFonts w:cs="Andalus"/>
          <w:color w:val="800000"/>
        </w:rPr>
        <w:t xml:space="preserve">)     </w:t>
      </w:r>
      <w:proofErr w:type="gramStart"/>
      <w:r w:rsidRPr="005F42E7">
        <w:rPr>
          <w:rFonts w:cs="Andalus"/>
          <w:color w:val="800000"/>
        </w:rPr>
        <w:t>if</w:t>
      </w:r>
      <w:proofErr w:type="gramEnd"/>
      <w:r w:rsidRPr="005F42E7">
        <w:rPr>
          <w:rFonts w:cs="Andalus"/>
          <w:color w:val="800000"/>
        </w:rPr>
        <w:t xml:space="preserve"> for any reason the goods cannot be reasonably carried in safety to the destination.</w:t>
      </w:r>
      <w:r w:rsidR="00235070">
        <w:rPr>
          <w:rFonts w:cs="Andalus"/>
          <w:color w:val="800000"/>
        </w:rPr>
        <w:t>&lt;/body&gt;&lt;/section&gt;</w:t>
      </w:r>
    </w:p>
    <w:p w:rsidR="00BE31FB" w:rsidRDefault="00BE31FB" w:rsidP="00BE31FB">
      <w:pPr>
        <w:jc w:val="left"/>
        <w:rPr>
          <w:rFonts w:cs="Andalus"/>
          <w:color w:val="800000"/>
        </w:rPr>
      </w:pPr>
    </w:p>
    <w:p w:rsidR="00BE31FB" w:rsidRPr="00EA2276" w:rsidRDefault="00235070"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 &lt;heading&gt;</w:t>
      </w:r>
      <w:r w:rsidR="00BE31FB" w:rsidRPr="00EA2276">
        <w:rPr>
          <w:rFonts w:cs="Andalus"/>
          <w:b/>
          <w:color w:val="800000"/>
        </w:rPr>
        <w:t>3.</w:t>
      </w:r>
      <w:r w:rsidR="00BE31FB" w:rsidRPr="00EA2276">
        <w:rPr>
          <w:rFonts w:cs="Andalus"/>
          <w:b/>
          <w:color w:val="800000"/>
        </w:rPr>
        <w:tab/>
        <w:t>Common carrier's right to payment</w:t>
      </w:r>
    </w:p>
    <w:p w:rsidR="00BE31FB" w:rsidRPr="005F42E7" w:rsidRDefault="00BE31FB" w:rsidP="00BE31FB">
      <w:pPr>
        <w:jc w:val="left"/>
        <w:rPr>
          <w:rFonts w:cs="Andalus"/>
          <w:color w:val="800000"/>
        </w:rPr>
      </w:pPr>
      <w:r>
        <w:rPr>
          <w:rFonts w:cs="Andalus"/>
          <w:color w:val="800000"/>
        </w:rPr>
        <w:t xml:space="preserve">       </w:t>
      </w:r>
      <w:r w:rsidR="00B64239">
        <w:rPr>
          <w:rFonts w:cs="Andalus"/>
          <w:color w:val="800000"/>
        </w:rPr>
        <w:t>&lt;body&gt;</w:t>
      </w:r>
      <w:r w:rsidRPr="005F42E7">
        <w:rPr>
          <w:rFonts w:cs="Andalus"/>
          <w:color w:val="800000"/>
        </w:rPr>
        <w:t>When goods are offered to a common carrier for carriage, he is entitled to demand and to be paid in advance the full price of carriage, and if he accepts the goods without making such a demand, he may not sue for the freight until the carriage is completed.</w:t>
      </w:r>
      <w:r w:rsidR="00B64239">
        <w:rPr>
          <w:rFonts w:cs="Andalus"/>
          <w:color w:val="800000"/>
        </w:rPr>
        <w:t>&lt;/body&gt;&lt;/section&gt;</w:t>
      </w:r>
    </w:p>
    <w:p w:rsidR="00BE31FB" w:rsidRDefault="00BE31FB" w:rsidP="00BE31FB">
      <w:pPr>
        <w:jc w:val="left"/>
        <w:rPr>
          <w:rFonts w:cs="Andalus"/>
          <w:color w:val="800000"/>
        </w:rPr>
      </w:pPr>
    </w:p>
    <w:p w:rsidR="00B64239" w:rsidRDefault="00B64239"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 xml:space="preserve">&gt; </w:t>
      </w:r>
    </w:p>
    <w:p w:rsidR="00BE31FB" w:rsidRPr="00EA2276" w:rsidRDefault="00B64239" w:rsidP="00BE31FB">
      <w:pPr>
        <w:jc w:val="left"/>
        <w:rPr>
          <w:rFonts w:cs="Andalus"/>
          <w:b/>
          <w:color w:val="800000"/>
        </w:rPr>
      </w:pPr>
      <w:r>
        <w:rPr>
          <w:rFonts w:cs="Andalus"/>
          <w:b/>
          <w:color w:val="800000"/>
        </w:rPr>
        <w:t xml:space="preserve">&lt;heading&gt; </w:t>
      </w:r>
      <w:r w:rsidR="00BE31FB" w:rsidRPr="00EA2276">
        <w:rPr>
          <w:rFonts w:cs="Andalus"/>
          <w:b/>
          <w:color w:val="800000"/>
        </w:rPr>
        <w:t>4.</w:t>
      </w:r>
      <w:r w:rsidR="00BE31FB" w:rsidRPr="00EA2276">
        <w:rPr>
          <w:rFonts w:cs="Andalus"/>
          <w:b/>
          <w:color w:val="800000"/>
        </w:rPr>
        <w:tab/>
        <w:t>Common carrier's duty in emergency</w:t>
      </w:r>
      <w:r>
        <w:rPr>
          <w:rFonts w:cs="Andalus"/>
          <w:b/>
          <w:color w:val="800000"/>
        </w:rPr>
        <w:t>&lt;/heading&gt;</w:t>
      </w:r>
    </w:p>
    <w:p w:rsidR="00BE31FB" w:rsidRPr="005F42E7" w:rsidRDefault="00BE31FB" w:rsidP="00BE31FB">
      <w:pPr>
        <w:jc w:val="left"/>
        <w:rPr>
          <w:rFonts w:cs="Andalus"/>
          <w:color w:val="800000"/>
        </w:rPr>
      </w:pPr>
    </w:p>
    <w:p w:rsidR="00BE31FB" w:rsidRPr="005F42E7" w:rsidRDefault="00B64239" w:rsidP="00BE31FB">
      <w:pPr>
        <w:jc w:val="left"/>
        <w:rPr>
          <w:rFonts w:cs="Andalus"/>
          <w:color w:val="800000"/>
        </w:rPr>
      </w:pPr>
      <w:r>
        <w:rPr>
          <w:rFonts w:cs="Andalus"/>
          <w:color w:val="800000"/>
        </w:rPr>
        <w:t xml:space="preserve">&lt;body&gt; </w:t>
      </w:r>
      <w:r w:rsidR="00BE31FB" w:rsidRPr="005F42E7">
        <w:rPr>
          <w:rFonts w:cs="Andalus"/>
          <w:color w:val="800000"/>
        </w:rPr>
        <w:t>(1)</w:t>
      </w:r>
      <w:r w:rsidR="00BE31FB" w:rsidRPr="005F42E7">
        <w:rPr>
          <w:rFonts w:cs="Andalus"/>
          <w:color w:val="800000"/>
        </w:rPr>
        <w:tab/>
        <w:t>If, in order to preserve the goods in an emergency, the common carrier is put to expenses not contemplated by the parties when he undertook the carriage, he shall incur that expense, but may recover it from the owner.</w:t>
      </w:r>
    </w:p>
    <w:p w:rsidR="00BE31FB" w:rsidRDefault="00BE31FB" w:rsidP="00BE31FB">
      <w:pPr>
        <w:jc w:val="left"/>
        <w:rPr>
          <w:rFonts w:cs="Andalus"/>
          <w:color w:val="800000"/>
        </w:rPr>
      </w:pPr>
    </w:p>
    <w:p w:rsidR="00BE31FB" w:rsidRPr="005F42E7" w:rsidRDefault="00BE31FB" w:rsidP="00BE31FB">
      <w:pPr>
        <w:jc w:val="left"/>
        <w:rPr>
          <w:rFonts w:cs="Andalus"/>
          <w:color w:val="800000"/>
        </w:rPr>
      </w:pPr>
      <w:r w:rsidRPr="005F42E7">
        <w:rPr>
          <w:rFonts w:cs="Andalus"/>
          <w:color w:val="800000"/>
        </w:rPr>
        <w:t>(2)</w:t>
      </w:r>
      <w:r w:rsidRPr="005F42E7">
        <w:rPr>
          <w:rFonts w:cs="Andalus"/>
          <w:color w:val="800000"/>
        </w:rPr>
        <w:tab/>
        <w:t>Where goods carried by a common carrier get into such a condition that it is impossible for them to be safely carried to their destination,</w:t>
      </w:r>
      <w:r>
        <w:rPr>
          <w:rFonts w:cs="Andalus"/>
          <w:color w:val="800000"/>
        </w:rPr>
        <w:t xml:space="preserve"> then if the carrier has reason</w:t>
      </w:r>
      <w:r w:rsidRPr="005F42E7">
        <w:rPr>
          <w:rFonts w:cs="Andalus"/>
          <w:color w:val="800000"/>
        </w:rPr>
        <w:t>able grounds to believe that—</w:t>
      </w:r>
    </w:p>
    <w:p w:rsidR="00BE31FB" w:rsidRPr="005F42E7" w:rsidRDefault="00BE31FB" w:rsidP="00BE31FB">
      <w:pPr>
        <w:jc w:val="left"/>
        <w:rPr>
          <w:rFonts w:cs="Andalus"/>
          <w:color w:val="800000"/>
        </w:rPr>
      </w:pPr>
    </w:p>
    <w:p w:rsidR="00BE31FB" w:rsidRPr="005F42E7" w:rsidRDefault="00BE31FB" w:rsidP="00BE31FB">
      <w:pPr>
        <w:jc w:val="left"/>
        <w:rPr>
          <w:rFonts w:cs="Andalus"/>
          <w:color w:val="800000"/>
        </w:rPr>
      </w:pPr>
      <w:r w:rsidRPr="005F42E7">
        <w:rPr>
          <w:rFonts w:cs="Andalus"/>
          <w:color w:val="800000"/>
        </w:rPr>
        <w:t>(a)</w:t>
      </w:r>
      <w:r w:rsidRPr="005F42E7">
        <w:rPr>
          <w:rFonts w:cs="Andalus"/>
          <w:color w:val="800000"/>
        </w:rPr>
        <w:tab/>
      </w:r>
      <w:proofErr w:type="gramStart"/>
      <w:r w:rsidRPr="005F42E7">
        <w:rPr>
          <w:rFonts w:cs="Andalus"/>
          <w:color w:val="800000"/>
        </w:rPr>
        <w:t>a</w:t>
      </w:r>
      <w:proofErr w:type="gramEnd"/>
      <w:r w:rsidRPr="005F42E7">
        <w:rPr>
          <w:rFonts w:cs="Andalus"/>
          <w:color w:val="800000"/>
        </w:rPr>
        <w:t xml:space="preserve"> real necessity exists for the sale of the goods; and</w:t>
      </w:r>
    </w:p>
    <w:p w:rsidR="00BE31FB" w:rsidRPr="005F42E7" w:rsidRDefault="00BE31FB" w:rsidP="00BE31FB">
      <w:pPr>
        <w:jc w:val="left"/>
        <w:rPr>
          <w:rFonts w:cs="Andalus"/>
          <w:color w:val="800000"/>
        </w:rPr>
      </w:pPr>
      <w:r w:rsidRPr="005F42E7">
        <w:rPr>
          <w:rFonts w:cs="Andalus"/>
          <w:color w:val="800000"/>
        </w:rPr>
        <w:t>(b)</w:t>
      </w:r>
      <w:r w:rsidRPr="005F42E7">
        <w:rPr>
          <w:rFonts w:cs="Andalus"/>
          <w:color w:val="800000"/>
        </w:rPr>
        <w:tab/>
      </w:r>
      <w:proofErr w:type="gramStart"/>
      <w:r w:rsidRPr="005F42E7">
        <w:rPr>
          <w:rFonts w:cs="Andalus"/>
          <w:color w:val="800000"/>
        </w:rPr>
        <w:t>it</w:t>
      </w:r>
      <w:proofErr w:type="gramEnd"/>
      <w:r w:rsidRPr="005F42E7">
        <w:rPr>
          <w:rFonts w:cs="Andalus"/>
          <w:color w:val="800000"/>
        </w:rPr>
        <w:t xml:space="preserve"> is, for practical purposes, impossible to obtain instructions from the owner of the goods,</w:t>
      </w:r>
    </w:p>
    <w:p w:rsidR="00BE31FB" w:rsidRPr="005F42E7" w:rsidRDefault="00BE31FB" w:rsidP="00BE31FB">
      <w:pPr>
        <w:jc w:val="left"/>
        <w:rPr>
          <w:rFonts w:cs="Andalus"/>
          <w:color w:val="800000"/>
        </w:rPr>
      </w:pPr>
      <w:proofErr w:type="gramStart"/>
      <w:r w:rsidRPr="005F42E7">
        <w:rPr>
          <w:rFonts w:cs="Andalus"/>
          <w:color w:val="800000"/>
        </w:rPr>
        <w:lastRenderedPageBreak/>
        <w:t>he</w:t>
      </w:r>
      <w:proofErr w:type="gramEnd"/>
      <w:r w:rsidRPr="005F42E7">
        <w:rPr>
          <w:rFonts w:cs="Andalus"/>
          <w:color w:val="800000"/>
        </w:rPr>
        <w:t xml:space="preserve"> shall forthwith sell the goods and in such a case he shall not be liable for damages for breach of contract for failure to deliver the goods.</w:t>
      </w:r>
      <w:r w:rsidR="00B64239">
        <w:rPr>
          <w:rFonts w:cs="Andalus"/>
          <w:color w:val="800000"/>
        </w:rPr>
        <w:t>&lt;/body&gt; &lt;/section&gt;</w:t>
      </w:r>
    </w:p>
    <w:p w:rsidR="00BE31FB" w:rsidRDefault="00BE31FB" w:rsidP="00BE31FB">
      <w:pPr>
        <w:jc w:val="left"/>
        <w:rPr>
          <w:rFonts w:cs="Andalus"/>
          <w:color w:val="800000"/>
        </w:rPr>
      </w:pPr>
    </w:p>
    <w:p w:rsidR="00B64239" w:rsidRDefault="00B64239"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E31FB" w:rsidRPr="00EA2276" w:rsidRDefault="00B64239" w:rsidP="00BE31FB">
      <w:pPr>
        <w:jc w:val="left"/>
        <w:rPr>
          <w:rFonts w:cs="Andalus"/>
          <w:b/>
          <w:color w:val="800000"/>
        </w:rPr>
      </w:pPr>
      <w:r>
        <w:rPr>
          <w:rFonts w:cs="Andalus"/>
          <w:b/>
          <w:color w:val="800000"/>
        </w:rPr>
        <w:t>&lt;</w:t>
      </w:r>
      <w:proofErr w:type="gramStart"/>
      <w:r>
        <w:rPr>
          <w:rFonts w:cs="Andalus"/>
          <w:b/>
          <w:color w:val="800000"/>
        </w:rPr>
        <w:t>heading&gt;</w:t>
      </w:r>
      <w:proofErr w:type="gramEnd"/>
      <w:r w:rsidR="00BE31FB" w:rsidRPr="00EA2276">
        <w:rPr>
          <w:rFonts w:cs="Andalus"/>
          <w:b/>
          <w:color w:val="800000"/>
        </w:rPr>
        <w:t>5.</w:t>
      </w:r>
      <w:r w:rsidR="00BE31FB" w:rsidRPr="00EA2276">
        <w:rPr>
          <w:rFonts w:cs="Andalus"/>
          <w:b/>
          <w:color w:val="800000"/>
        </w:rPr>
        <w:tab/>
        <w:t>Common carrier's duty to deliver within a reasonable time</w:t>
      </w:r>
      <w:r>
        <w:rPr>
          <w:rFonts w:cs="Andalus"/>
          <w:b/>
          <w:color w:val="800000"/>
        </w:rPr>
        <w:t>&lt;/heading&gt;</w:t>
      </w:r>
    </w:p>
    <w:p w:rsidR="00BE31FB" w:rsidRPr="005F42E7" w:rsidRDefault="00BE31FB" w:rsidP="00BE31FB">
      <w:pPr>
        <w:jc w:val="left"/>
        <w:rPr>
          <w:rFonts w:cs="Andalus"/>
          <w:color w:val="800000"/>
        </w:rPr>
      </w:pPr>
      <w:r>
        <w:rPr>
          <w:rFonts w:cs="Andalus"/>
          <w:color w:val="800000"/>
        </w:rPr>
        <w:t xml:space="preserve">     </w:t>
      </w:r>
      <w:r w:rsidR="00B64239">
        <w:rPr>
          <w:rFonts w:cs="Andalus"/>
          <w:color w:val="800000"/>
        </w:rPr>
        <w:t>&lt;</w:t>
      </w:r>
      <w:proofErr w:type="gramStart"/>
      <w:r w:rsidR="00B64239">
        <w:rPr>
          <w:rFonts w:cs="Andalus"/>
          <w:color w:val="800000"/>
        </w:rPr>
        <w:t>body</w:t>
      </w:r>
      <w:proofErr w:type="gramEnd"/>
      <w:r w:rsidR="00B64239">
        <w:rPr>
          <w:rFonts w:cs="Andalus"/>
          <w:color w:val="800000"/>
        </w:rPr>
        <w:t>&gt;</w:t>
      </w:r>
      <w:r>
        <w:rPr>
          <w:rFonts w:cs="Andalus"/>
          <w:color w:val="800000"/>
        </w:rPr>
        <w:t xml:space="preserve">   </w:t>
      </w:r>
      <w:r w:rsidRPr="005F42E7">
        <w:rPr>
          <w:rFonts w:cs="Andalus"/>
          <w:color w:val="800000"/>
        </w:rPr>
        <w:t>A common carrier is only bound to deliver the goods within a reasonable time unless otherwise expressly agreed.</w:t>
      </w:r>
      <w:r w:rsidR="00B64239">
        <w:rPr>
          <w:rFonts w:cs="Andalus"/>
          <w:color w:val="800000"/>
        </w:rPr>
        <w:t>&lt;/body&gt; &lt;</w:t>
      </w:r>
      <w:r w:rsidR="00375799">
        <w:rPr>
          <w:rFonts w:cs="Andalus"/>
          <w:color w:val="800000"/>
        </w:rPr>
        <w:t>/</w:t>
      </w:r>
      <w:r w:rsidR="00B64239">
        <w:rPr>
          <w:rFonts w:cs="Andalus"/>
          <w:color w:val="800000"/>
        </w:rPr>
        <w:t>section&gt;</w:t>
      </w:r>
    </w:p>
    <w:p w:rsidR="00BE31FB" w:rsidRDefault="00BE31FB" w:rsidP="00BE31FB">
      <w:pPr>
        <w:jc w:val="left"/>
        <w:rPr>
          <w:rFonts w:cs="Andalus"/>
          <w:color w:val="800000"/>
        </w:rPr>
      </w:pPr>
    </w:p>
    <w:p w:rsidR="00B64239" w:rsidRDefault="00B64239" w:rsidP="00BE31FB">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E31FB" w:rsidRPr="00EA2276" w:rsidRDefault="00B64239" w:rsidP="00BE31FB">
      <w:pPr>
        <w:jc w:val="left"/>
        <w:rPr>
          <w:rFonts w:cs="Andalus"/>
          <w:b/>
          <w:color w:val="800000"/>
        </w:rPr>
      </w:pPr>
      <w:r>
        <w:rPr>
          <w:rFonts w:cs="Andalus"/>
          <w:b/>
          <w:color w:val="800000"/>
        </w:rPr>
        <w:t>&lt;</w:t>
      </w:r>
      <w:proofErr w:type="gramStart"/>
      <w:r>
        <w:rPr>
          <w:rFonts w:cs="Andalus"/>
          <w:b/>
          <w:color w:val="800000"/>
        </w:rPr>
        <w:t>heading&gt;</w:t>
      </w:r>
      <w:proofErr w:type="gramEnd"/>
      <w:r w:rsidR="00BE31FB" w:rsidRPr="00EA2276">
        <w:rPr>
          <w:rFonts w:cs="Andalus"/>
          <w:b/>
          <w:color w:val="800000"/>
        </w:rPr>
        <w:t>6.</w:t>
      </w:r>
      <w:r w:rsidR="00BE31FB" w:rsidRPr="00EA2276">
        <w:rPr>
          <w:rFonts w:cs="Andalus"/>
          <w:b/>
          <w:color w:val="800000"/>
        </w:rPr>
        <w:tab/>
        <w:t>Liability of common carrier</w:t>
      </w:r>
      <w:r>
        <w:rPr>
          <w:rFonts w:cs="Andalus"/>
          <w:b/>
          <w:color w:val="800000"/>
        </w:rPr>
        <w:t>&lt;/heading&gt;</w:t>
      </w:r>
    </w:p>
    <w:p w:rsidR="00BE31FB" w:rsidRPr="005F42E7" w:rsidRDefault="00B64239" w:rsidP="00BE31FB">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BE31FB" w:rsidRPr="005F42E7">
        <w:rPr>
          <w:rFonts w:cs="Andalus"/>
          <w:color w:val="800000"/>
        </w:rPr>
        <w:t>(1) Subject as hereinafter provided, a common carrier is absolutely responsible for the safety of goods entrusted to him for carriage except where loss or damage results from the following risks—</w:t>
      </w:r>
    </w:p>
    <w:p w:rsidR="00BE31FB" w:rsidRDefault="00BE31FB" w:rsidP="00BE31FB">
      <w:pPr>
        <w:jc w:val="left"/>
        <w:rPr>
          <w:rFonts w:cs="Andalus"/>
          <w:color w:val="800000"/>
        </w:rPr>
      </w:pPr>
    </w:p>
    <w:p w:rsidR="00BE31FB" w:rsidRPr="005F42E7" w:rsidRDefault="00BE31FB" w:rsidP="00BE31FB">
      <w:pPr>
        <w:jc w:val="left"/>
        <w:rPr>
          <w:rFonts w:cs="Andalus"/>
          <w:color w:val="800000"/>
        </w:rPr>
      </w:pPr>
      <w:r w:rsidRPr="005F42E7">
        <w:rPr>
          <w:rFonts w:cs="Andalus"/>
          <w:color w:val="800000"/>
        </w:rPr>
        <w:t xml:space="preserve">(a)     </w:t>
      </w:r>
      <w:proofErr w:type="gramStart"/>
      <w:r w:rsidRPr="005F42E7">
        <w:rPr>
          <w:rFonts w:cs="Andalus"/>
          <w:color w:val="800000"/>
        </w:rPr>
        <w:t>an</w:t>
      </w:r>
      <w:proofErr w:type="gramEnd"/>
      <w:r w:rsidRPr="005F42E7">
        <w:rPr>
          <w:rFonts w:cs="Andalus"/>
          <w:color w:val="800000"/>
        </w:rPr>
        <w:t xml:space="preserve"> act of God;</w:t>
      </w:r>
    </w:p>
    <w:p w:rsidR="00BE31FB" w:rsidRPr="005F42E7" w:rsidRDefault="00BE31FB" w:rsidP="00BE31FB">
      <w:pPr>
        <w:jc w:val="left"/>
        <w:rPr>
          <w:rFonts w:cs="Andalus"/>
          <w:color w:val="800000"/>
        </w:rPr>
      </w:pPr>
      <w:r w:rsidRPr="005F42E7">
        <w:rPr>
          <w:rFonts w:cs="Andalus"/>
          <w:color w:val="800000"/>
        </w:rPr>
        <w:t>(b)</w:t>
      </w:r>
      <w:r w:rsidRPr="005F42E7">
        <w:rPr>
          <w:rFonts w:cs="Andalus"/>
          <w:color w:val="800000"/>
        </w:rPr>
        <w:tab/>
      </w:r>
      <w:proofErr w:type="gramStart"/>
      <w:r w:rsidRPr="005F42E7">
        <w:rPr>
          <w:rFonts w:cs="Andalus"/>
          <w:color w:val="800000"/>
        </w:rPr>
        <w:t>an</w:t>
      </w:r>
      <w:proofErr w:type="gramEnd"/>
      <w:r w:rsidRPr="005F42E7">
        <w:rPr>
          <w:rFonts w:cs="Andalus"/>
          <w:color w:val="800000"/>
        </w:rPr>
        <w:t xml:space="preserve"> act of war or disturbance against the State; and</w:t>
      </w:r>
    </w:p>
    <w:p w:rsidR="00BE31FB" w:rsidRPr="005F42E7" w:rsidRDefault="00BE31FB" w:rsidP="00BE31FB">
      <w:pPr>
        <w:jc w:val="left"/>
        <w:rPr>
          <w:rFonts w:cs="Andalus"/>
          <w:color w:val="800000"/>
        </w:rPr>
      </w:pPr>
      <w:r w:rsidRPr="005F42E7">
        <w:rPr>
          <w:rFonts w:cs="Andalus"/>
          <w:color w:val="800000"/>
        </w:rPr>
        <w:t>(c)</w:t>
      </w:r>
      <w:r w:rsidRPr="005F42E7">
        <w:rPr>
          <w:rFonts w:cs="Andalus"/>
          <w:color w:val="800000"/>
        </w:rPr>
        <w:tab/>
      </w:r>
      <w:proofErr w:type="gramStart"/>
      <w:r w:rsidRPr="005F42E7">
        <w:rPr>
          <w:rFonts w:cs="Andalus"/>
          <w:color w:val="800000"/>
        </w:rPr>
        <w:t>inherent</w:t>
      </w:r>
      <w:proofErr w:type="gramEnd"/>
      <w:r w:rsidRPr="005F42E7">
        <w:rPr>
          <w:rFonts w:cs="Andalus"/>
          <w:color w:val="800000"/>
        </w:rPr>
        <w:t xml:space="preserve"> vice in the goods themselves.</w:t>
      </w:r>
    </w:p>
    <w:p w:rsidR="00BE31FB" w:rsidRPr="005F42E7" w:rsidRDefault="00BE31FB" w:rsidP="00BE31FB">
      <w:pPr>
        <w:jc w:val="left"/>
        <w:rPr>
          <w:rFonts w:cs="Andalus"/>
          <w:color w:val="800000"/>
        </w:rPr>
      </w:pPr>
    </w:p>
    <w:p w:rsidR="00BE31FB" w:rsidRPr="005F42E7" w:rsidRDefault="00BE31FB" w:rsidP="00BE31FB">
      <w:pPr>
        <w:jc w:val="left"/>
        <w:rPr>
          <w:rFonts w:cs="Andalus"/>
          <w:color w:val="800000"/>
        </w:rPr>
      </w:pPr>
      <w:r w:rsidRPr="005F42E7">
        <w:rPr>
          <w:rFonts w:cs="Andalus"/>
          <w:color w:val="800000"/>
        </w:rPr>
        <w:t>(2)</w:t>
      </w:r>
      <w:r w:rsidRPr="005F42E7">
        <w:rPr>
          <w:rFonts w:cs="Andalus"/>
          <w:color w:val="800000"/>
        </w:rPr>
        <w:tab/>
        <w:t>A common carrier shall use all reasonable care, skill and diligence to avoid the consequences of the excepted risks mentioned in paragraphs (a) to (c) of subsection (1).</w:t>
      </w:r>
    </w:p>
    <w:p w:rsidR="00BE31FB" w:rsidRPr="005F42E7" w:rsidRDefault="00BE31FB" w:rsidP="00BE31FB">
      <w:pPr>
        <w:jc w:val="left"/>
        <w:rPr>
          <w:rFonts w:cs="Andalus"/>
          <w:color w:val="800000"/>
        </w:rPr>
      </w:pPr>
      <w:r w:rsidRPr="005F42E7">
        <w:rPr>
          <w:rFonts w:cs="Andalus"/>
          <w:color w:val="800000"/>
        </w:rPr>
        <w:t>(3)</w:t>
      </w:r>
      <w:r w:rsidRPr="005F42E7">
        <w:rPr>
          <w:rFonts w:cs="Andalus"/>
          <w:color w:val="800000"/>
        </w:rPr>
        <w:tab/>
        <w:t>The duties and liability of a carrier begin only when he has accepted the goods for carriage.</w:t>
      </w:r>
    </w:p>
    <w:p w:rsidR="00BE31FB" w:rsidRPr="005F42E7" w:rsidRDefault="00BE31FB" w:rsidP="00BE31FB">
      <w:pPr>
        <w:jc w:val="left"/>
        <w:rPr>
          <w:rFonts w:cs="Andalus"/>
          <w:color w:val="800000"/>
        </w:rPr>
      </w:pPr>
      <w:r w:rsidRPr="005F42E7">
        <w:rPr>
          <w:rFonts w:cs="Andalus"/>
          <w:color w:val="800000"/>
        </w:rPr>
        <w:t>(4)</w:t>
      </w:r>
      <w:r w:rsidRPr="005F42E7">
        <w:rPr>
          <w:rFonts w:cs="Andalus"/>
          <w:color w:val="800000"/>
        </w:rPr>
        <w:tab/>
        <w:t>A carrier who has accepted goods for carriage shall carry them safely and deliver them safely at the agreed destination and to the right person.</w:t>
      </w:r>
    </w:p>
    <w:p w:rsidR="00BE31FB" w:rsidRPr="005F42E7" w:rsidRDefault="00BE31FB" w:rsidP="00BE31FB">
      <w:pPr>
        <w:jc w:val="left"/>
        <w:rPr>
          <w:rFonts w:cs="Andalus"/>
          <w:color w:val="800000"/>
        </w:rPr>
      </w:pPr>
      <w:r w:rsidRPr="005F42E7">
        <w:rPr>
          <w:rFonts w:cs="Andalus"/>
          <w:color w:val="800000"/>
        </w:rPr>
        <w:t>(5)</w:t>
      </w:r>
      <w:r w:rsidRPr="005F42E7">
        <w:rPr>
          <w:rFonts w:cs="Andalus"/>
          <w:color w:val="800000"/>
        </w:rPr>
        <w:tab/>
        <w:t>The liability of a common carrier as an insurer of the safety of goods ceases if the consignee is not to be found at the address given by the consignor, or if the goods are tendered to the consignee and refused by him; and thereafter the liability of the common carrier becomes that of a warehouseman to take reasonable and proper care of the goods and to adopt reasonable means of protecting them from such risks as fire and theft</w:t>
      </w:r>
      <w:proofErr w:type="gramStart"/>
      <w:r w:rsidRPr="005F42E7">
        <w:rPr>
          <w:rFonts w:cs="Andalus"/>
          <w:color w:val="800000"/>
        </w:rPr>
        <w:t>.</w:t>
      </w:r>
      <w:r w:rsidR="00B64239">
        <w:rPr>
          <w:rFonts w:cs="Andalus"/>
          <w:color w:val="800000"/>
        </w:rPr>
        <w:t>&lt;</w:t>
      </w:r>
      <w:proofErr w:type="gramEnd"/>
      <w:r w:rsidR="00B64239">
        <w:rPr>
          <w:rFonts w:cs="Andalus"/>
          <w:color w:val="800000"/>
        </w:rPr>
        <w:t>/body&gt; &lt;</w:t>
      </w:r>
      <w:r w:rsidR="00375799">
        <w:rPr>
          <w:rFonts w:cs="Andalus"/>
          <w:color w:val="800000"/>
        </w:rPr>
        <w:t>/</w:t>
      </w:r>
      <w:r w:rsidR="00B64239">
        <w:rPr>
          <w:rFonts w:cs="Andalus"/>
          <w:color w:val="800000"/>
        </w:rPr>
        <w:t>section&gt;</w:t>
      </w:r>
    </w:p>
    <w:p w:rsidR="00BE31FB" w:rsidRPr="00EA2276" w:rsidRDefault="00BE31FB" w:rsidP="00BE31FB">
      <w:pPr>
        <w:jc w:val="left"/>
        <w:rPr>
          <w:rFonts w:cs="Andalus"/>
          <w:b/>
          <w:color w:val="800000"/>
        </w:rPr>
      </w:pPr>
    </w:p>
    <w:p w:rsidR="00BE31FB" w:rsidRPr="00EA2276" w:rsidRDefault="00B64239" w:rsidP="00BE31FB">
      <w:pPr>
        <w:jc w:val="left"/>
        <w:rPr>
          <w:rFonts w:cs="Andalus"/>
          <w:b/>
          <w:color w:val="800000"/>
        </w:rPr>
      </w:pPr>
      <w:r>
        <w:rPr>
          <w:rFonts w:cs="Andalus"/>
          <w:b/>
          <w:color w:val="800000"/>
        </w:rPr>
        <w:t>&lt;</w:t>
      </w:r>
      <w:proofErr w:type="gramStart"/>
      <w:r w:rsidR="00B7724C">
        <w:rPr>
          <w:rFonts w:cs="Andalus"/>
          <w:b/>
          <w:color w:val="800000"/>
        </w:rPr>
        <w:t>section</w:t>
      </w:r>
      <w:proofErr w:type="gramEnd"/>
      <w:r w:rsidR="00B7724C">
        <w:rPr>
          <w:rFonts w:cs="Andalus"/>
          <w:b/>
          <w:color w:val="800000"/>
        </w:rPr>
        <w:t>&gt; &lt;heading&gt;</w:t>
      </w:r>
      <w:r w:rsidR="00BE31FB" w:rsidRPr="00EA2276">
        <w:rPr>
          <w:rFonts w:cs="Andalus"/>
          <w:b/>
          <w:color w:val="800000"/>
        </w:rPr>
        <w:t>7.</w:t>
      </w:r>
      <w:r w:rsidR="00BE31FB" w:rsidRPr="00EA2276">
        <w:rPr>
          <w:rFonts w:cs="Andalus"/>
          <w:b/>
          <w:color w:val="800000"/>
        </w:rPr>
        <w:tab/>
        <w:t>Limit of liability of common carrier for loss or damage in certain cases</w:t>
      </w:r>
    </w:p>
    <w:p w:rsidR="00BE31FB" w:rsidRPr="005F42E7" w:rsidRDefault="00BE31FB" w:rsidP="00BE31FB">
      <w:pPr>
        <w:jc w:val="left"/>
        <w:rPr>
          <w:rFonts w:cs="Andalus"/>
          <w:color w:val="800000"/>
        </w:rPr>
      </w:pPr>
      <w:r>
        <w:rPr>
          <w:rFonts w:cs="Andalus"/>
          <w:color w:val="800000"/>
        </w:rPr>
        <w:t xml:space="preserve">    </w:t>
      </w:r>
      <w:r w:rsidR="00B7724C">
        <w:rPr>
          <w:rFonts w:cs="Andalus"/>
          <w:color w:val="800000"/>
        </w:rPr>
        <w:t>&lt;body&gt;</w:t>
      </w:r>
      <w:r w:rsidRPr="005F42E7">
        <w:rPr>
          <w:rFonts w:cs="Andalus"/>
          <w:color w:val="800000"/>
        </w:rPr>
        <w:t>Where any article or property of the description set out in the Schedule and contained in any parcel or package which has been delivered either to be carried for hire or to accompany a passenger in any public conveyance is lost or damaged, the common carrier shall not be liable for more than the sum of five hundred na</w:t>
      </w:r>
      <w:r>
        <w:rPr>
          <w:rFonts w:cs="Andalus"/>
          <w:color w:val="800000"/>
        </w:rPr>
        <w:t>ira in respect of any such arti</w:t>
      </w:r>
      <w:r w:rsidRPr="005F42E7">
        <w:rPr>
          <w:rFonts w:cs="Andalus"/>
          <w:color w:val="800000"/>
        </w:rPr>
        <w:t xml:space="preserve">cle or property unless at the time of the delivery of the parcel or package to the </w:t>
      </w:r>
      <w:r w:rsidRPr="005F42E7">
        <w:rPr>
          <w:rFonts w:cs="Andalus"/>
          <w:color w:val="800000"/>
        </w:rPr>
        <w:lastRenderedPageBreak/>
        <w:t>common carrier or his agent or servant for the purpose of being carried or of accompanying the passenger—</w:t>
      </w:r>
    </w:p>
    <w:p w:rsidR="00BE31FB" w:rsidRPr="005F42E7" w:rsidRDefault="00BE31FB" w:rsidP="00BE31FB">
      <w:pPr>
        <w:jc w:val="left"/>
        <w:rPr>
          <w:rFonts w:cs="Andalus"/>
          <w:color w:val="800000"/>
        </w:rPr>
      </w:pPr>
      <w:r w:rsidRPr="005F42E7">
        <w:rPr>
          <w:rFonts w:cs="Andalus"/>
          <w:color w:val="800000"/>
        </w:rPr>
        <w:t>(a)</w:t>
      </w:r>
      <w:r w:rsidRPr="005F42E7">
        <w:rPr>
          <w:rFonts w:cs="Andalus"/>
          <w:color w:val="800000"/>
        </w:rPr>
        <w:tab/>
      </w:r>
      <w:proofErr w:type="gramStart"/>
      <w:r w:rsidRPr="005F42E7">
        <w:rPr>
          <w:rFonts w:cs="Andalus"/>
          <w:color w:val="800000"/>
        </w:rPr>
        <w:t>the</w:t>
      </w:r>
      <w:proofErr w:type="gramEnd"/>
      <w:r w:rsidRPr="005F42E7">
        <w:rPr>
          <w:rFonts w:cs="Andalus"/>
          <w:color w:val="800000"/>
        </w:rPr>
        <w:t xml:space="preserve"> value and nature of the article or proper</w:t>
      </w:r>
      <w:r>
        <w:rPr>
          <w:rFonts w:cs="Andalus"/>
          <w:color w:val="800000"/>
        </w:rPr>
        <w:t>ty has been declared by the per</w:t>
      </w:r>
      <w:r w:rsidRPr="005F42E7">
        <w:rPr>
          <w:rFonts w:cs="Andalus"/>
          <w:color w:val="800000"/>
        </w:rPr>
        <w:t>son sending or delivering the same; and</w:t>
      </w:r>
    </w:p>
    <w:p w:rsidR="00BE31FB" w:rsidRPr="005F42E7" w:rsidRDefault="00BE31FB" w:rsidP="00BE31FB">
      <w:pPr>
        <w:jc w:val="left"/>
        <w:rPr>
          <w:rFonts w:cs="Andalus"/>
          <w:color w:val="800000"/>
        </w:rPr>
      </w:pPr>
      <w:r w:rsidRPr="005F42E7">
        <w:rPr>
          <w:rFonts w:cs="Andalus"/>
          <w:color w:val="800000"/>
        </w:rPr>
        <w:t>(b)</w:t>
      </w:r>
      <w:r w:rsidRPr="005F42E7">
        <w:rPr>
          <w:rFonts w:cs="Andalus"/>
          <w:color w:val="800000"/>
        </w:rPr>
        <w:tab/>
      </w:r>
      <w:proofErr w:type="gramStart"/>
      <w:r w:rsidRPr="005F42E7">
        <w:rPr>
          <w:rFonts w:cs="Andalus"/>
          <w:color w:val="800000"/>
        </w:rPr>
        <w:t>such</w:t>
      </w:r>
      <w:proofErr w:type="gramEnd"/>
      <w:r w:rsidRPr="005F42E7">
        <w:rPr>
          <w:rFonts w:cs="Andalus"/>
          <w:color w:val="800000"/>
        </w:rPr>
        <w:t xml:space="preserve"> increased charge as is hereinafter provided or an undertaking to pay the same is accepted by the person receiving such parcel or package; and</w:t>
      </w:r>
    </w:p>
    <w:p w:rsidR="00BE31FB" w:rsidRPr="005F42E7" w:rsidRDefault="00BE31FB" w:rsidP="00BE31FB">
      <w:pPr>
        <w:jc w:val="left"/>
        <w:rPr>
          <w:rFonts w:cs="Andalus"/>
          <w:color w:val="800000"/>
        </w:rPr>
      </w:pPr>
      <w:r w:rsidRPr="005F42E7">
        <w:rPr>
          <w:rFonts w:cs="Andalus"/>
          <w:color w:val="800000"/>
        </w:rPr>
        <w:t>(c)</w:t>
      </w:r>
      <w:r w:rsidRPr="005F42E7">
        <w:rPr>
          <w:rFonts w:cs="Andalus"/>
          <w:color w:val="800000"/>
        </w:rPr>
        <w:tab/>
      </w:r>
      <w:proofErr w:type="gramStart"/>
      <w:r w:rsidRPr="005F42E7">
        <w:rPr>
          <w:rFonts w:cs="Andalus"/>
          <w:color w:val="800000"/>
        </w:rPr>
        <w:t>the</w:t>
      </w:r>
      <w:proofErr w:type="gramEnd"/>
      <w:r w:rsidRPr="005F42E7">
        <w:rPr>
          <w:rFonts w:cs="Andalus"/>
          <w:color w:val="800000"/>
        </w:rPr>
        <w:t xml:space="preserve"> person receiving the parcel or package had been afforded a reasonable opportunity of inspecting the article or property.</w:t>
      </w:r>
    </w:p>
    <w:p w:rsidR="00BE31FB" w:rsidRPr="005F42E7" w:rsidRDefault="00BE31FB" w:rsidP="00BE31FB">
      <w:pPr>
        <w:jc w:val="left"/>
        <w:rPr>
          <w:rFonts w:cs="Andalus"/>
          <w:color w:val="800000"/>
        </w:rPr>
      </w:pPr>
      <w:r>
        <w:rPr>
          <w:rFonts w:cs="Andalus"/>
          <w:color w:val="800000"/>
        </w:rPr>
        <w:t xml:space="preserve">                                       </w:t>
      </w:r>
      <w:r w:rsidRPr="005F42E7">
        <w:rPr>
          <w:rFonts w:cs="Andalus"/>
          <w:color w:val="800000"/>
        </w:rPr>
        <w:t>[Schedule.]</w:t>
      </w:r>
      <w:r w:rsidR="00B7724C">
        <w:rPr>
          <w:rFonts w:cs="Andalus"/>
          <w:color w:val="800000"/>
        </w:rPr>
        <w:t>&lt;/body&gt;&lt;/section&gt;</w:t>
      </w:r>
    </w:p>
    <w:p w:rsidR="00BE31FB" w:rsidRPr="00856EF4" w:rsidRDefault="00B7724C"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 &lt;heading&gt;</w:t>
      </w:r>
      <w:r w:rsidR="00BE31FB" w:rsidRPr="00856EF4">
        <w:rPr>
          <w:rFonts w:cs="Andalus"/>
          <w:b/>
          <w:color w:val="800000"/>
        </w:rPr>
        <w:t>8.</w:t>
      </w:r>
      <w:r w:rsidR="00BE31FB" w:rsidRPr="00856EF4">
        <w:rPr>
          <w:rFonts w:cs="Andalus"/>
          <w:b/>
          <w:color w:val="800000"/>
        </w:rPr>
        <w:tab/>
        <w:t>Increased charge may be demanded in certain cases</w:t>
      </w:r>
      <w:r w:rsidR="00C74E55">
        <w:rPr>
          <w:rFonts w:cs="Andalus"/>
          <w:b/>
          <w:color w:val="800000"/>
        </w:rPr>
        <w:t>&lt;/heading&gt;</w:t>
      </w:r>
    </w:p>
    <w:p w:rsidR="00BE31FB" w:rsidRPr="005F42E7" w:rsidRDefault="00BE31FB" w:rsidP="00BE31FB">
      <w:pPr>
        <w:jc w:val="left"/>
        <w:rPr>
          <w:rFonts w:cs="Andalus"/>
          <w:color w:val="800000"/>
        </w:rPr>
      </w:pPr>
    </w:p>
    <w:p w:rsidR="00BE31FB" w:rsidRPr="005F42E7" w:rsidRDefault="00B7724C" w:rsidP="00BE31FB">
      <w:pPr>
        <w:jc w:val="left"/>
        <w:rPr>
          <w:rFonts w:cs="Andalus"/>
          <w:color w:val="800000"/>
        </w:rPr>
      </w:pPr>
      <w:r>
        <w:rPr>
          <w:rFonts w:cs="Andalus"/>
          <w:color w:val="800000"/>
        </w:rPr>
        <w:t>&lt;body&gt;</w:t>
      </w:r>
      <w:r w:rsidR="00BE31FB" w:rsidRPr="005F42E7">
        <w:rPr>
          <w:rFonts w:cs="Andalus"/>
          <w:color w:val="800000"/>
        </w:rPr>
        <w:t>(1)</w:t>
      </w:r>
      <w:r w:rsidR="00BE31FB" w:rsidRPr="005F42E7">
        <w:rPr>
          <w:rFonts w:cs="Andalus"/>
          <w:color w:val="800000"/>
        </w:rPr>
        <w:tab/>
        <w:t>When any parcel or package containing any of the articles or property specified in the Schedule is delivered and its value and contents declared as aforesaid and such value exceeds the sum of five hundred naira, it shall be lawful for any such common carrier to demand and receive an increased rate of charge to be notified by some notice affixed in legible characters in some public and conspicuous part of the receiving office, where such parcels or packages are received by such common carrier for the purpose of conveyance.</w:t>
      </w:r>
    </w:p>
    <w:p w:rsidR="00BE31FB" w:rsidRPr="005F42E7" w:rsidRDefault="00BE31FB" w:rsidP="00BE31FB">
      <w:pPr>
        <w:jc w:val="left"/>
        <w:rPr>
          <w:rFonts w:cs="Andalus"/>
          <w:color w:val="800000"/>
        </w:rPr>
      </w:pPr>
      <w:r>
        <w:rPr>
          <w:rFonts w:cs="Andalus"/>
          <w:color w:val="800000"/>
        </w:rPr>
        <w:t xml:space="preserve">                                           </w:t>
      </w:r>
      <w:r w:rsidRPr="005F42E7">
        <w:rPr>
          <w:rFonts w:cs="Andalus"/>
          <w:color w:val="800000"/>
        </w:rPr>
        <w:t>[Schedule.]</w:t>
      </w:r>
    </w:p>
    <w:p w:rsidR="00BE31FB" w:rsidRPr="005F42E7" w:rsidRDefault="00BE31FB" w:rsidP="00BE31FB">
      <w:pPr>
        <w:jc w:val="left"/>
        <w:rPr>
          <w:rFonts w:cs="Andalus"/>
          <w:color w:val="800000"/>
        </w:rPr>
      </w:pPr>
      <w:r w:rsidRPr="005F42E7">
        <w:rPr>
          <w:rFonts w:cs="Andalus"/>
          <w:color w:val="800000"/>
        </w:rPr>
        <w:t>(2)</w:t>
      </w:r>
      <w:r w:rsidRPr="005F42E7">
        <w:rPr>
          <w:rFonts w:cs="Andalus"/>
          <w:color w:val="800000"/>
        </w:rPr>
        <w:tab/>
        <w:t>The notice shall be written in the English langu</w:t>
      </w:r>
      <w:r>
        <w:rPr>
          <w:rFonts w:cs="Andalus"/>
          <w:color w:val="800000"/>
        </w:rPr>
        <w:t>age and in another Nigerian lan</w:t>
      </w:r>
      <w:r w:rsidRPr="005F42E7">
        <w:rPr>
          <w:rFonts w:cs="Andalus"/>
          <w:color w:val="800000"/>
        </w:rPr>
        <w:t>guage widely spoken in the area, and shall state the increased rates of charge required to be paid over and above the ordinary rates of carriage as a compensation for the greater risk and care to be taken for the safe conveyance of such valuable articles.</w:t>
      </w:r>
    </w:p>
    <w:p w:rsidR="00BE31FB" w:rsidRPr="005F42E7" w:rsidRDefault="00BE31FB" w:rsidP="00BE31FB">
      <w:pPr>
        <w:jc w:val="left"/>
        <w:rPr>
          <w:rFonts w:cs="Andalus"/>
          <w:color w:val="800000"/>
        </w:rPr>
      </w:pPr>
      <w:r w:rsidRPr="005F42E7">
        <w:rPr>
          <w:rFonts w:cs="Andalus"/>
          <w:color w:val="800000"/>
        </w:rPr>
        <w:t xml:space="preserve"> </w:t>
      </w:r>
    </w:p>
    <w:p w:rsidR="00BE31FB" w:rsidRPr="005F42E7" w:rsidRDefault="00BE31FB" w:rsidP="00BE31FB">
      <w:pPr>
        <w:jc w:val="left"/>
        <w:rPr>
          <w:rFonts w:cs="Andalus"/>
          <w:color w:val="800000"/>
        </w:rPr>
      </w:pPr>
      <w:r w:rsidRPr="005F42E7">
        <w:rPr>
          <w:rFonts w:cs="Andalus"/>
          <w:color w:val="800000"/>
        </w:rPr>
        <w:t xml:space="preserve"> (3) All persons sending or delivering parcels or packages containing such valuable articles as aforesaid at such receiving office shall be bound by such notice without further proof of the same having come to their knowledge.</w:t>
      </w:r>
      <w:r w:rsidR="00B7724C">
        <w:rPr>
          <w:rFonts w:cs="Andalus"/>
          <w:color w:val="800000"/>
        </w:rPr>
        <w:t>&lt;</w:t>
      </w:r>
      <w:r w:rsidR="00C74E55">
        <w:rPr>
          <w:rFonts w:cs="Andalus"/>
          <w:color w:val="800000"/>
        </w:rPr>
        <w:t>/</w:t>
      </w:r>
      <w:r w:rsidR="00B7724C">
        <w:rPr>
          <w:rFonts w:cs="Andalus"/>
          <w:color w:val="800000"/>
        </w:rPr>
        <w:t>body&gt;&lt;/section&gt;</w:t>
      </w:r>
    </w:p>
    <w:p w:rsidR="00BE31FB" w:rsidRDefault="00BE31FB" w:rsidP="00BE31FB">
      <w:pPr>
        <w:jc w:val="left"/>
        <w:rPr>
          <w:rFonts w:cs="Andalus"/>
          <w:color w:val="800000"/>
        </w:rPr>
      </w:pPr>
    </w:p>
    <w:p w:rsidR="00BE31FB" w:rsidRPr="008535B1" w:rsidRDefault="00C74E55"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BE31FB">
        <w:rPr>
          <w:rFonts w:cs="Andalus"/>
          <w:b/>
          <w:color w:val="800000"/>
        </w:rPr>
        <w:t xml:space="preserve"> </w:t>
      </w:r>
      <w:r w:rsidR="00BE31FB" w:rsidRPr="008535B1">
        <w:rPr>
          <w:rFonts w:cs="Andalus"/>
          <w:b/>
          <w:color w:val="800000"/>
        </w:rPr>
        <w:t>9.  Carriers to give receipt for increased charges</w:t>
      </w:r>
      <w:r>
        <w:rPr>
          <w:rFonts w:cs="Andalus"/>
          <w:b/>
          <w:color w:val="800000"/>
        </w:rPr>
        <w:t>&lt;/heading&gt;</w:t>
      </w:r>
    </w:p>
    <w:p w:rsidR="00BE31FB" w:rsidRDefault="00BE31FB" w:rsidP="00BE31FB">
      <w:pPr>
        <w:jc w:val="left"/>
        <w:rPr>
          <w:rFonts w:cs="Andalus"/>
          <w:color w:val="800000"/>
        </w:rPr>
      </w:pPr>
    </w:p>
    <w:p w:rsidR="00BE31FB" w:rsidRPr="005F42E7" w:rsidRDefault="00C74E55" w:rsidP="00BE31FB">
      <w:pPr>
        <w:jc w:val="left"/>
        <w:rPr>
          <w:rFonts w:cs="Andalus"/>
          <w:color w:val="800000"/>
        </w:rPr>
      </w:pPr>
      <w:r>
        <w:rPr>
          <w:rFonts w:cs="Andalus"/>
          <w:color w:val="800000"/>
        </w:rPr>
        <w:t>&lt;body&gt;</w:t>
      </w:r>
      <w:r w:rsidR="00BE31FB">
        <w:rPr>
          <w:rFonts w:cs="Andalus"/>
          <w:color w:val="800000"/>
        </w:rPr>
        <w:t xml:space="preserve">    </w:t>
      </w:r>
      <w:r w:rsidR="00BE31FB" w:rsidRPr="005F42E7">
        <w:rPr>
          <w:rFonts w:cs="Andalus"/>
          <w:color w:val="800000"/>
        </w:rPr>
        <w:t>When the value has been so declared as aforesaid and the increased rate of charge paid or an undertaking to pay the same has been accepted as hereinbefore provided, the person receiving such increased rate or accepting such engagement shall, if so required, sign a receipt for the package or parcel acknowledging the same to have been insured.</w:t>
      </w:r>
      <w:r w:rsidR="00375799">
        <w:rPr>
          <w:rFonts w:cs="Andalus"/>
          <w:color w:val="800000"/>
        </w:rPr>
        <w:t>&lt;/body&gt;&lt;/section&gt;</w:t>
      </w:r>
    </w:p>
    <w:p w:rsidR="00BE31FB" w:rsidRDefault="00BE31FB" w:rsidP="00BE31FB">
      <w:pPr>
        <w:jc w:val="left"/>
        <w:rPr>
          <w:rFonts w:cs="Andalus"/>
          <w:color w:val="800000"/>
        </w:rPr>
      </w:pPr>
    </w:p>
    <w:p w:rsidR="00BE31FB" w:rsidRPr="008535B1" w:rsidRDefault="00375799" w:rsidP="00BE31FB">
      <w:pPr>
        <w:jc w:val="left"/>
        <w:rPr>
          <w:rFonts w:cs="Andalus"/>
          <w:b/>
          <w:color w:val="800000"/>
        </w:rPr>
      </w:pPr>
      <w:r>
        <w:rPr>
          <w:rFonts w:cs="Andalus"/>
          <w:color w:val="800000"/>
        </w:rPr>
        <w:t>&lt;</w:t>
      </w:r>
      <w:proofErr w:type="gramStart"/>
      <w:r>
        <w:rPr>
          <w:rFonts w:cs="Andalus"/>
          <w:color w:val="800000"/>
        </w:rPr>
        <w:t>section</w:t>
      </w:r>
      <w:proofErr w:type="gramEnd"/>
      <w:r>
        <w:rPr>
          <w:rFonts w:cs="Andalus"/>
          <w:color w:val="800000"/>
        </w:rPr>
        <w:t>&gt;&lt;heading&gt;</w:t>
      </w:r>
      <w:r w:rsidR="00BE31FB" w:rsidRPr="008535B1">
        <w:rPr>
          <w:rFonts w:cs="Andalus"/>
          <w:b/>
          <w:color w:val="800000"/>
        </w:rPr>
        <w:t>10.</w:t>
      </w:r>
      <w:r w:rsidR="00BE31FB" w:rsidRPr="008535B1">
        <w:rPr>
          <w:rFonts w:cs="Andalus"/>
          <w:b/>
          <w:color w:val="800000"/>
        </w:rPr>
        <w:tab/>
        <w:t xml:space="preserve">Common carrier not protected in absence of </w:t>
      </w:r>
      <w:r w:rsidR="00BE31FB" w:rsidRPr="008535B1">
        <w:rPr>
          <w:rFonts w:cs="Andalus"/>
          <w:b/>
          <w:color w:val="800000"/>
        </w:rPr>
        <w:lastRenderedPageBreak/>
        <w:t>receipt</w:t>
      </w:r>
      <w:r>
        <w:rPr>
          <w:rFonts w:cs="Andalus"/>
          <w:b/>
          <w:color w:val="800000"/>
        </w:rPr>
        <w:t>&lt;/heading&gt;</w:t>
      </w:r>
    </w:p>
    <w:p w:rsidR="00BE31FB" w:rsidRDefault="00BE31FB" w:rsidP="00BE31FB">
      <w:pPr>
        <w:jc w:val="left"/>
        <w:rPr>
          <w:rFonts w:cs="Andalus"/>
          <w:color w:val="800000"/>
        </w:rPr>
      </w:pPr>
      <w:r>
        <w:rPr>
          <w:rFonts w:cs="Andalus"/>
          <w:color w:val="800000"/>
        </w:rPr>
        <w:t xml:space="preserve">     </w:t>
      </w:r>
    </w:p>
    <w:p w:rsidR="00BE31FB" w:rsidRPr="005F42E7" w:rsidRDefault="00BE31FB" w:rsidP="00BE31FB">
      <w:pPr>
        <w:jc w:val="left"/>
        <w:rPr>
          <w:rFonts w:cs="Andalus"/>
          <w:color w:val="800000"/>
        </w:rPr>
      </w:pPr>
      <w:r>
        <w:rPr>
          <w:rFonts w:cs="Andalus"/>
          <w:color w:val="800000"/>
        </w:rPr>
        <w:t xml:space="preserve">  </w:t>
      </w:r>
      <w:r w:rsidR="00375799">
        <w:rPr>
          <w:rFonts w:cs="Andalus"/>
          <w:color w:val="800000"/>
        </w:rPr>
        <w:t>&lt;body</w:t>
      </w:r>
      <w:proofErr w:type="gramStart"/>
      <w:r w:rsidR="00375799">
        <w:rPr>
          <w:rFonts w:cs="Andalus"/>
          <w:color w:val="800000"/>
        </w:rPr>
        <w:t>&gt;</w:t>
      </w:r>
      <w:r>
        <w:rPr>
          <w:rFonts w:cs="Andalus"/>
          <w:color w:val="800000"/>
        </w:rPr>
        <w:t xml:space="preserve">  </w:t>
      </w:r>
      <w:r w:rsidRPr="005F42E7">
        <w:rPr>
          <w:rFonts w:cs="Andalus"/>
          <w:color w:val="800000"/>
        </w:rPr>
        <w:t>If</w:t>
      </w:r>
      <w:proofErr w:type="gramEnd"/>
      <w:r w:rsidRPr="005F42E7">
        <w:rPr>
          <w:rFonts w:cs="Andalus"/>
          <w:color w:val="800000"/>
        </w:rPr>
        <w:t xml:space="preserve"> such receipt as aforesaid is not given when required or such notice as aforesaid is not affixed in the manner aforesaid, the common carrier sh</w:t>
      </w:r>
      <w:r>
        <w:rPr>
          <w:rFonts w:cs="Andalus"/>
          <w:color w:val="800000"/>
        </w:rPr>
        <w:t>all not be entitled to any bene</w:t>
      </w:r>
      <w:r w:rsidRPr="005F42E7">
        <w:rPr>
          <w:rFonts w:cs="Andalus"/>
          <w:color w:val="800000"/>
        </w:rPr>
        <w:t>fit or advantage under this Law but shall be liable and responsible as provided in section 6 and be liable to refund the increased rate of charge.</w:t>
      </w:r>
      <w:r w:rsidR="00375799">
        <w:rPr>
          <w:rFonts w:cs="Andalus"/>
          <w:color w:val="800000"/>
        </w:rPr>
        <w:t>&lt;/body&gt;&lt;/section&gt;</w:t>
      </w:r>
    </w:p>
    <w:p w:rsidR="00BE31FB" w:rsidRDefault="00BE31FB" w:rsidP="00BE31FB">
      <w:pPr>
        <w:jc w:val="left"/>
        <w:rPr>
          <w:rFonts w:cs="Andalus"/>
          <w:color w:val="800000"/>
        </w:rPr>
      </w:pPr>
    </w:p>
    <w:p w:rsidR="00BE31FB" w:rsidRPr="008535B1" w:rsidRDefault="00375799"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BE31FB" w:rsidRPr="008535B1">
        <w:rPr>
          <w:rFonts w:cs="Andalus"/>
          <w:b/>
          <w:color w:val="800000"/>
        </w:rPr>
        <w:t>11.</w:t>
      </w:r>
      <w:r w:rsidR="00BE31FB" w:rsidRPr="008535B1">
        <w:rPr>
          <w:rFonts w:cs="Andalus"/>
          <w:b/>
          <w:color w:val="800000"/>
        </w:rPr>
        <w:tab/>
        <w:t>Parties entitled to damages for loss may also recover increased charge</w:t>
      </w:r>
      <w:r>
        <w:rPr>
          <w:rFonts w:cs="Andalus"/>
          <w:b/>
          <w:color w:val="800000"/>
        </w:rPr>
        <w:t>&lt;/heading&gt;</w:t>
      </w:r>
    </w:p>
    <w:p w:rsidR="00BE31FB" w:rsidRDefault="00BE31FB" w:rsidP="00BE31FB">
      <w:pPr>
        <w:jc w:val="left"/>
        <w:rPr>
          <w:rFonts w:cs="Andalus"/>
          <w:color w:val="800000"/>
        </w:rPr>
      </w:pPr>
      <w:r>
        <w:rPr>
          <w:rFonts w:cs="Andalus"/>
          <w:color w:val="800000"/>
        </w:rPr>
        <w:t xml:space="preserve">    </w:t>
      </w:r>
    </w:p>
    <w:p w:rsidR="00BE31FB" w:rsidRPr="005F42E7" w:rsidRDefault="00BE31FB" w:rsidP="00BE31FB">
      <w:pPr>
        <w:jc w:val="left"/>
        <w:rPr>
          <w:rFonts w:cs="Andalus"/>
          <w:color w:val="800000"/>
        </w:rPr>
      </w:pPr>
      <w:r>
        <w:rPr>
          <w:rFonts w:cs="Andalus"/>
          <w:color w:val="800000"/>
        </w:rPr>
        <w:t xml:space="preserve">  </w:t>
      </w:r>
      <w:r w:rsidR="00375799">
        <w:rPr>
          <w:rFonts w:cs="Andalus"/>
          <w:color w:val="800000"/>
        </w:rPr>
        <w:t>&lt;body</w:t>
      </w:r>
      <w:proofErr w:type="gramStart"/>
      <w:r w:rsidR="00375799">
        <w:rPr>
          <w:rFonts w:cs="Andalus"/>
          <w:color w:val="800000"/>
        </w:rPr>
        <w:t>&gt;</w:t>
      </w:r>
      <w:r>
        <w:rPr>
          <w:rFonts w:cs="Andalus"/>
          <w:color w:val="800000"/>
        </w:rPr>
        <w:t xml:space="preserve">  </w:t>
      </w:r>
      <w:r w:rsidRPr="005F42E7">
        <w:rPr>
          <w:rFonts w:cs="Andalus"/>
          <w:color w:val="800000"/>
        </w:rPr>
        <w:t>Where</w:t>
      </w:r>
      <w:proofErr w:type="gramEnd"/>
      <w:r w:rsidRPr="005F42E7">
        <w:rPr>
          <w:rFonts w:cs="Andalus"/>
          <w:color w:val="800000"/>
        </w:rPr>
        <w:t xml:space="preserve"> any parcel or package has been delivered at an</w:t>
      </w:r>
      <w:r>
        <w:rPr>
          <w:rFonts w:cs="Andalus"/>
          <w:color w:val="800000"/>
        </w:rPr>
        <w:t>y receiving office, and the val</w:t>
      </w:r>
      <w:r w:rsidRPr="005F42E7">
        <w:rPr>
          <w:rFonts w:cs="Andalus"/>
          <w:color w:val="800000"/>
        </w:rPr>
        <w:t>ues and contents declared as aforesaid, and the increased rate of charges has been paid, and such parcel or package has been lost or damaged, th</w:t>
      </w:r>
      <w:r>
        <w:rPr>
          <w:rFonts w:cs="Andalus"/>
          <w:color w:val="800000"/>
        </w:rPr>
        <w:t>e party entitled to recover dam</w:t>
      </w:r>
      <w:r w:rsidRPr="005F42E7">
        <w:rPr>
          <w:rFonts w:cs="Andalus"/>
          <w:color w:val="800000"/>
        </w:rPr>
        <w:t>ages in respect of such loss or damage shall also be entitled to recover such increased charges so paid as aforesaid in addition to the value of such parcel or package.</w:t>
      </w:r>
      <w:r w:rsidR="00375799">
        <w:rPr>
          <w:rFonts w:cs="Andalus"/>
          <w:color w:val="800000"/>
        </w:rPr>
        <w:t>&lt;/body&gt;&lt;/section&gt;</w:t>
      </w:r>
    </w:p>
    <w:p w:rsidR="00BE31FB" w:rsidRDefault="00BE31FB" w:rsidP="00BE31FB">
      <w:pPr>
        <w:jc w:val="left"/>
        <w:rPr>
          <w:rFonts w:cs="Andalus"/>
          <w:color w:val="800000"/>
        </w:rPr>
      </w:pPr>
    </w:p>
    <w:p w:rsidR="00BE31FB" w:rsidRPr="008535B1" w:rsidRDefault="00375799"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BE31FB" w:rsidRPr="008535B1">
        <w:rPr>
          <w:rFonts w:cs="Andalus"/>
          <w:b/>
          <w:color w:val="800000"/>
        </w:rPr>
        <w:t>12.</w:t>
      </w:r>
      <w:r w:rsidR="00BE31FB" w:rsidRPr="008535B1">
        <w:rPr>
          <w:rFonts w:cs="Andalus"/>
          <w:b/>
          <w:color w:val="800000"/>
        </w:rPr>
        <w:tab/>
        <w:t>Common carrier liable only to damages proved</w:t>
      </w:r>
      <w:r>
        <w:rPr>
          <w:rFonts w:cs="Andalus"/>
          <w:b/>
          <w:color w:val="800000"/>
        </w:rPr>
        <w:t>&lt;/heading&gt;</w:t>
      </w:r>
    </w:p>
    <w:p w:rsidR="00BE31FB" w:rsidRDefault="00BE31FB" w:rsidP="00BE31FB">
      <w:pPr>
        <w:jc w:val="left"/>
        <w:rPr>
          <w:rFonts w:cs="Andalus"/>
          <w:color w:val="800000"/>
        </w:rPr>
      </w:pPr>
    </w:p>
    <w:p w:rsidR="00BE31FB" w:rsidRPr="005F42E7" w:rsidRDefault="00375799" w:rsidP="00BE31FB">
      <w:pPr>
        <w:jc w:val="left"/>
        <w:rPr>
          <w:rFonts w:cs="Andalus"/>
          <w:color w:val="800000"/>
        </w:rPr>
      </w:pPr>
      <w:r>
        <w:rPr>
          <w:rFonts w:cs="Andalus"/>
          <w:color w:val="800000"/>
        </w:rPr>
        <w:t>&lt;body</w:t>
      </w:r>
      <w:proofErr w:type="gramStart"/>
      <w:r>
        <w:rPr>
          <w:rFonts w:cs="Andalus"/>
          <w:color w:val="800000"/>
        </w:rPr>
        <w:t>&gt;</w:t>
      </w:r>
      <w:r w:rsidR="00BE31FB">
        <w:rPr>
          <w:rFonts w:cs="Andalus"/>
          <w:color w:val="800000"/>
        </w:rPr>
        <w:t xml:space="preserve">  </w:t>
      </w:r>
      <w:r w:rsidR="00BE31FB" w:rsidRPr="005F42E7">
        <w:rPr>
          <w:rFonts w:cs="Andalus"/>
          <w:color w:val="800000"/>
        </w:rPr>
        <w:t>A</w:t>
      </w:r>
      <w:proofErr w:type="gramEnd"/>
      <w:r w:rsidR="00BE31FB" w:rsidRPr="005F42E7">
        <w:rPr>
          <w:rFonts w:cs="Andalus"/>
          <w:color w:val="800000"/>
        </w:rPr>
        <w:t xml:space="preserve"> common carrier shall not be bound as to the value of any parcel or package by the value declared as aforesaid but shall in all cases be entitled to require from the party suing in respect of any loss or injury proof of the actual value of the contents by the ordinary legal evidence, and shall be liable to such damages only as shall be so proved, not exceeding the declared value, together with the increased charges as hereinbefore provided.</w:t>
      </w:r>
      <w:r>
        <w:rPr>
          <w:rFonts w:cs="Andalus"/>
          <w:color w:val="800000"/>
        </w:rPr>
        <w:t>&lt;/body&gt;&lt;/section&gt;</w:t>
      </w:r>
    </w:p>
    <w:p w:rsidR="00BE31FB" w:rsidRDefault="00BE31FB" w:rsidP="00BE31FB">
      <w:pPr>
        <w:jc w:val="left"/>
        <w:rPr>
          <w:rFonts w:cs="Andalus"/>
          <w:color w:val="800000"/>
        </w:rPr>
      </w:pPr>
    </w:p>
    <w:p w:rsidR="00BE31FB" w:rsidRPr="008535B1" w:rsidRDefault="00375799"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BE31FB" w:rsidRPr="008535B1">
        <w:rPr>
          <w:rFonts w:cs="Andalus"/>
          <w:b/>
          <w:color w:val="800000"/>
        </w:rPr>
        <w:t>13.</w:t>
      </w:r>
      <w:r w:rsidR="00BE31FB" w:rsidRPr="008535B1">
        <w:rPr>
          <w:rFonts w:cs="Andalus"/>
          <w:b/>
          <w:color w:val="800000"/>
        </w:rPr>
        <w:tab/>
        <w:t>Public notice or declaration not to limit carriers liability in respect of losses from which he is not protected by this Law</w:t>
      </w:r>
      <w:r>
        <w:rPr>
          <w:rFonts w:cs="Andalus"/>
          <w:b/>
          <w:color w:val="800000"/>
        </w:rPr>
        <w:t>&lt;</w:t>
      </w:r>
      <w:r w:rsidR="007F4A6C">
        <w:rPr>
          <w:rFonts w:cs="Andalus"/>
          <w:b/>
          <w:color w:val="800000"/>
        </w:rPr>
        <w:t>/</w:t>
      </w:r>
      <w:r>
        <w:rPr>
          <w:rFonts w:cs="Andalus"/>
          <w:b/>
          <w:color w:val="800000"/>
        </w:rPr>
        <w:t>heading&gt;</w:t>
      </w:r>
    </w:p>
    <w:p w:rsidR="00BE31FB" w:rsidRPr="005F42E7" w:rsidRDefault="00375799" w:rsidP="00BE31FB">
      <w:pPr>
        <w:jc w:val="left"/>
        <w:rPr>
          <w:rFonts w:cs="Andalus"/>
          <w:color w:val="800000"/>
        </w:rPr>
      </w:pPr>
      <w:r>
        <w:rPr>
          <w:rFonts w:cs="Andalus"/>
          <w:color w:val="800000"/>
        </w:rPr>
        <w:t>&lt;body&gt;</w:t>
      </w:r>
      <w:r w:rsidR="00BE31FB" w:rsidRPr="005F42E7">
        <w:rPr>
          <w:rFonts w:cs="Andalus"/>
          <w:color w:val="800000"/>
        </w:rPr>
        <w:t xml:space="preserve">Every common carrier shall be liable to answer for the loss of or any injury to any articles or goods in respect of which he is not entitled to </w:t>
      </w:r>
      <w:r w:rsidR="00BE31FB">
        <w:rPr>
          <w:rFonts w:cs="Andalus"/>
          <w:color w:val="800000"/>
        </w:rPr>
        <w:t>the benefit of this Law notwith</w:t>
      </w:r>
      <w:r w:rsidR="00BE31FB" w:rsidRPr="005F42E7">
        <w:rPr>
          <w:rFonts w:cs="Andalus"/>
          <w:color w:val="800000"/>
        </w:rPr>
        <w:t>standing any public notice or declaration given or made by him to the contrary or in any way limiting such liability.</w:t>
      </w:r>
      <w:r w:rsidR="007F4A6C">
        <w:rPr>
          <w:rFonts w:cs="Andalus"/>
          <w:color w:val="800000"/>
        </w:rPr>
        <w:t>&lt;/body&gt;&lt;/section&gt;</w:t>
      </w:r>
    </w:p>
    <w:p w:rsidR="00BE31FB" w:rsidRDefault="00BE31FB" w:rsidP="00BE31FB">
      <w:pPr>
        <w:jc w:val="left"/>
        <w:rPr>
          <w:rFonts w:cs="Andalus"/>
          <w:color w:val="800000"/>
        </w:rPr>
      </w:pPr>
    </w:p>
    <w:p w:rsidR="00BE31FB" w:rsidRPr="008535B1" w:rsidRDefault="007F4A6C"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BE31FB" w:rsidRPr="008535B1">
        <w:rPr>
          <w:rFonts w:cs="Andalus"/>
          <w:b/>
          <w:color w:val="800000"/>
        </w:rPr>
        <w:t>14.</w:t>
      </w:r>
      <w:r w:rsidR="00BE31FB" w:rsidRPr="008535B1">
        <w:rPr>
          <w:rFonts w:cs="Andalus"/>
          <w:b/>
          <w:color w:val="800000"/>
        </w:rPr>
        <w:tab/>
        <w:t>Special contract not affected</w:t>
      </w:r>
      <w:r>
        <w:rPr>
          <w:rFonts w:cs="Andalus"/>
          <w:b/>
          <w:color w:val="800000"/>
        </w:rPr>
        <w:t>&lt;/heading&gt;</w:t>
      </w:r>
    </w:p>
    <w:p w:rsidR="00BE31FB" w:rsidRPr="005F42E7" w:rsidRDefault="00BE31FB" w:rsidP="00BE31FB">
      <w:pPr>
        <w:jc w:val="left"/>
        <w:rPr>
          <w:rFonts w:cs="Andalus"/>
          <w:color w:val="800000"/>
        </w:rPr>
      </w:pPr>
      <w:r>
        <w:rPr>
          <w:rFonts w:cs="Andalus"/>
          <w:color w:val="800000"/>
        </w:rPr>
        <w:t xml:space="preserve">  </w:t>
      </w:r>
      <w:r w:rsidR="007F4A6C">
        <w:rPr>
          <w:rFonts w:cs="Andalus"/>
          <w:color w:val="800000"/>
        </w:rPr>
        <w:t>&lt;body&gt;</w:t>
      </w:r>
      <w:r>
        <w:rPr>
          <w:rFonts w:cs="Andalus"/>
          <w:color w:val="800000"/>
        </w:rPr>
        <w:t xml:space="preserve">  </w:t>
      </w:r>
      <w:r w:rsidRPr="005F42E7">
        <w:rPr>
          <w:rFonts w:cs="Andalus"/>
          <w:color w:val="800000"/>
        </w:rPr>
        <w:t>Nothing in this Law shall extend or be construed to annul or in any way affect any special contract between a common carrier and any other person for the conveyance of goods and merchandise.</w:t>
      </w:r>
      <w:r w:rsidR="005D1105">
        <w:rPr>
          <w:rFonts w:cs="Andalus"/>
          <w:color w:val="800000"/>
        </w:rPr>
        <w:t>&lt;/body&gt;&lt;/section</w:t>
      </w:r>
      <w:r w:rsidR="007F4A6C">
        <w:rPr>
          <w:rFonts w:cs="Andalus"/>
          <w:color w:val="800000"/>
        </w:rPr>
        <w:t>&gt;</w:t>
      </w:r>
    </w:p>
    <w:p w:rsidR="00BE31FB" w:rsidRDefault="00BE31FB" w:rsidP="00BE31FB">
      <w:pPr>
        <w:jc w:val="left"/>
        <w:rPr>
          <w:rFonts w:cs="Andalus"/>
          <w:color w:val="800000"/>
        </w:rPr>
      </w:pPr>
    </w:p>
    <w:p w:rsidR="00BE31FB" w:rsidRPr="008535B1" w:rsidRDefault="007F4A6C"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BE31FB" w:rsidRPr="008535B1">
        <w:rPr>
          <w:rFonts w:cs="Andalus"/>
          <w:b/>
          <w:color w:val="800000"/>
        </w:rPr>
        <w:t>15.</w:t>
      </w:r>
      <w:r w:rsidR="00BE31FB" w:rsidRPr="008535B1">
        <w:rPr>
          <w:rFonts w:cs="Andalus"/>
          <w:b/>
          <w:color w:val="800000"/>
        </w:rPr>
        <w:tab/>
        <w:t>Actions not to abate for non-joinder of co-</w:t>
      </w:r>
      <w:r w:rsidR="00BE31FB" w:rsidRPr="008535B1">
        <w:rPr>
          <w:rFonts w:cs="Andalus"/>
          <w:b/>
          <w:color w:val="800000"/>
        </w:rPr>
        <w:lastRenderedPageBreak/>
        <w:t>proprietor</w:t>
      </w:r>
      <w:r>
        <w:rPr>
          <w:rFonts w:cs="Andalus"/>
          <w:b/>
          <w:color w:val="800000"/>
        </w:rPr>
        <w:t>&lt;/heading&gt;</w:t>
      </w:r>
    </w:p>
    <w:p w:rsidR="00BE31FB" w:rsidRPr="005F42E7" w:rsidRDefault="007F4A6C" w:rsidP="00BE31FB">
      <w:pPr>
        <w:jc w:val="left"/>
        <w:rPr>
          <w:rFonts w:cs="Andalus"/>
          <w:color w:val="800000"/>
        </w:rPr>
      </w:pPr>
      <w:r>
        <w:rPr>
          <w:rFonts w:cs="Andalus"/>
          <w:color w:val="800000"/>
        </w:rPr>
        <w:t>&lt;body&gt;</w:t>
      </w:r>
      <w:r w:rsidR="00BE31FB">
        <w:rPr>
          <w:rFonts w:cs="Andalus"/>
          <w:color w:val="800000"/>
        </w:rPr>
        <w:t xml:space="preserve">     </w:t>
      </w:r>
      <w:r w:rsidR="00BE31FB" w:rsidRPr="005F42E7">
        <w:rPr>
          <w:rFonts w:cs="Andalus"/>
          <w:color w:val="800000"/>
        </w:rPr>
        <w:t>Where two or more persons engaging in the business of a common carrier are the co-proprietors or co-partners in any public conveyance, any one or more of such persons</w:t>
      </w:r>
    </w:p>
    <w:p w:rsidR="00BE31FB" w:rsidRPr="005F42E7" w:rsidRDefault="00BE31FB" w:rsidP="00BE31FB">
      <w:pPr>
        <w:jc w:val="left"/>
        <w:rPr>
          <w:rFonts w:cs="Andalus"/>
          <w:color w:val="800000"/>
        </w:rPr>
      </w:pPr>
      <w:r w:rsidRPr="005F42E7">
        <w:rPr>
          <w:rFonts w:cs="Andalus"/>
          <w:color w:val="800000"/>
        </w:rPr>
        <w:t>may be sued in his or their own name or names only and no action commenced to recover damages for loss of or injury to any parcels, packages or person shall abate for the want of joining any co-proprietor or co-partner in such public conveyance.</w:t>
      </w:r>
      <w:r w:rsidR="007F4A6C">
        <w:rPr>
          <w:rFonts w:cs="Andalus"/>
          <w:color w:val="800000"/>
        </w:rPr>
        <w:t>&lt;/body&gt;&lt;/section&gt;</w:t>
      </w:r>
    </w:p>
    <w:p w:rsidR="00BE31FB" w:rsidRDefault="00BE31FB" w:rsidP="00BE31FB">
      <w:pPr>
        <w:jc w:val="left"/>
        <w:rPr>
          <w:rFonts w:cs="Andalus"/>
          <w:color w:val="800000"/>
        </w:rPr>
      </w:pPr>
    </w:p>
    <w:p w:rsidR="00BE31FB" w:rsidRPr="008535B1" w:rsidRDefault="007F4A6C"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BE31FB" w:rsidRPr="008535B1">
        <w:rPr>
          <w:rFonts w:cs="Andalus"/>
          <w:b/>
          <w:color w:val="800000"/>
        </w:rPr>
        <w:t>16.</w:t>
      </w:r>
      <w:r w:rsidR="00BE31FB" w:rsidRPr="008535B1">
        <w:rPr>
          <w:rFonts w:cs="Andalus"/>
          <w:b/>
          <w:color w:val="800000"/>
        </w:rPr>
        <w:tab/>
        <w:t>Exception as to criminal acts, etc</w:t>
      </w:r>
      <w:proofErr w:type="gramStart"/>
      <w:r w:rsidR="00BE31FB" w:rsidRPr="008535B1">
        <w:rPr>
          <w:rFonts w:cs="Andalus"/>
          <w:b/>
          <w:color w:val="800000"/>
        </w:rPr>
        <w:t>.</w:t>
      </w:r>
      <w:r>
        <w:rPr>
          <w:rFonts w:cs="Andalus"/>
          <w:b/>
          <w:color w:val="800000"/>
        </w:rPr>
        <w:t>&lt;</w:t>
      </w:r>
      <w:proofErr w:type="gramEnd"/>
      <w:r>
        <w:rPr>
          <w:rFonts w:cs="Andalus"/>
          <w:b/>
          <w:color w:val="800000"/>
        </w:rPr>
        <w:t>/heading&gt;</w:t>
      </w:r>
    </w:p>
    <w:p w:rsidR="00BE31FB" w:rsidRPr="005F42E7" w:rsidRDefault="00BE31FB" w:rsidP="00BE31FB">
      <w:pPr>
        <w:jc w:val="left"/>
        <w:rPr>
          <w:rFonts w:cs="Andalus"/>
          <w:color w:val="800000"/>
        </w:rPr>
      </w:pPr>
      <w:r>
        <w:rPr>
          <w:rFonts w:cs="Andalus"/>
          <w:color w:val="800000"/>
        </w:rPr>
        <w:t xml:space="preserve"> </w:t>
      </w:r>
      <w:r w:rsidR="007F4A6C">
        <w:rPr>
          <w:rFonts w:cs="Andalus"/>
          <w:color w:val="800000"/>
        </w:rPr>
        <w:t>&lt;body</w:t>
      </w:r>
      <w:proofErr w:type="gramStart"/>
      <w:r w:rsidR="007F4A6C">
        <w:rPr>
          <w:rFonts w:cs="Andalus"/>
          <w:color w:val="800000"/>
        </w:rPr>
        <w:t>&gt;</w:t>
      </w:r>
      <w:r>
        <w:rPr>
          <w:rFonts w:cs="Andalus"/>
          <w:color w:val="800000"/>
        </w:rPr>
        <w:t xml:space="preserve">  </w:t>
      </w:r>
      <w:r w:rsidRPr="005F42E7">
        <w:rPr>
          <w:rFonts w:cs="Andalus"/>
          <w:color w:val="800000"/>
        </w:rPr>
        <w:t>Nothing</w:t>
      </w:r>
      <w:proofErr w:type="gramEnd"/>
      <w:r w:rsidRPr="005F42E7">
        <w:rPr>
          <w:rFonts w:cs="Andalus"/>
          <w:color w:val="800000"/>
        </w:rPr>
        <w:t xml:space="preserve"> in this Law shall be deemed to protect any common carrier for hire from liability to answer for loss of or injury to any goods or articles whatsoever arising from the criminal acts of any servant in his employ nor to prote</w:t>
      </w:r>
      <w:r>
        <w:rPr>
          <w:rFonts w:cs="Andalus"/>
          <w:color w:val="800000"/>
        </w:rPr>
        <w:t>ct any such servant from liabil</w:t>
      </w:r>
      <w:r w:rsidRPr="005F42E7">
        <w:rPr>
          <w:rFonts w:cs="Andalus"/>
          <w:color w:val="800000"/>
        </w:rPr>
        <w:t>ity for any loss or injury occasioned by his own personal neglect or misconduct.</w:t>
      </w:r>
      <w:r w:rsidR="007F4A6C">
        <w:rPr>
          <w:rFonts w:cs="Andalus"/>
          <w:color w:val="800000"/>
        </w:rPr>
        <w:t>&lt;/body&gt;&lt;/section&gt;</w:t>
      </w:r>
    </w:p>
    <w:p w:rsidR="00BE31FB" w:rsidRDefault="00BE31FB" w:rsidP="00BE31FB">
      <w:pPr>
        <w:jc w:val="left"/>
        <w:rPr>
          <w:rFonts w:cs="Andalus"/>
          <w:color w:val="800000"/>
        </w:rPr>
      </w:pPr>
    </w:p>
    <w:p w:rsidR="00BE31FB" w:rsidRPr="008535B1" w:rsidRDefault="007F4A6C"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BE31FB" w:rsidRPr="008535B1">
        <w:rPr>
          <w:rFonts w:cs="Andalus"/>
          <w:b/>
          <w:color w:val="800000"/>
        </w:rPr>
        <w:t>17.</w:t>
      </w:r>
      <w:r w:rsidR="00BE31FB" w:rsidRPr="008535B1">
        <w:rPr>
          <w:rFonts w:cs="Andalus"/>
          <w:b/>
          <w:color w:val="800000"/>
        </w:rPr>
        <w:tab/>
        <w:t>Interpretation</w:t>
      </w:r>
      <w:r>
        <w:rPr>
          <w:rFonts w:cs="Andalus"/>
          <w:b/>
          <w:color w:val="800000"/>
        </w:rPr>
        <w:t>&lt;/heading&gt;</w:t>
      </w:r>
    </w:p>
    <w:p w:rsidR="00BE31FB" w:rsidRPr="005F42E7" w:rsidRDefault="007F4A6C" w:rsidP="00BE31FB">
      <w:pPr>
        <w:jc w:val="left"/>
        <w:rPr>
          <w:rFonts w:cs="Andalus"/>
          <w:color w:val="800000"/>
        </w:rPr>
      </w:pPr>
      <w:r>
        <w:rPr>
          <w:rFonts w:cs="Andalus"/>
          <w:color w:val="800000"/>
        </w:rPr>
        <w:t>&lt;</w:t>
      </w:r>
      <w:proofErr w:type="gramStart"/>
      <w:r>
        <w:rPr>
          <w:rFonts w:cs="Andalus"/>
          <w:color w:val="800000"/>
        </w:rPr>
        <w:t>body&gt;</w:t>
      </w:r>
      <w:proofErr w:type="gramEnd"/>
      <w:r w:rsidR="00BE31FB" w:rsidRPr="005F42E7">
        <w:rPr>
          <w:rFonts w:cs="Andalus"/>
          <w:color w:val="800000"/>
        </w:rPr>
        <w:t>In this Law—</w:t>
      </w:r>
    </w:p>
    <w:p w:rsidR="00BE31FB" w:rsidRPr="005F42E7" w:rsidRDefault="00BE31FB" w:rsidP="00BE31FB">
      <w:pPr>
        <w:jc w:val="left"/>
        <w:rPr>
          <w:rFonts w:cs="Andalus"/>
          <w:color w:val="800000"/>
        </w:rPr>
      </w:pPr>
      <w:r w:rsidRPr="008535B1">
        <w:rPr>
          <w:rFonts w:cs="Andalus"/>
          <w:b/>
          <w:color w:val="800000"/>
        </w:rPr>
        <w:t>"common carrier"</w:t>
      </w:r>
      <w:r w:rsidRPr="005F42E7">
        <w:rPr>
          <w:rFonts w:cs="Andalus"/>
          <w:color w:val="800000"/>
        </w:rPr>
        <w:t xml:space="preserve"> means a person who exercises the p</w:t>
      </w:r>
      <w:r>
        <w:rPr>
          <w:rFonts w:cs="Andalus"/>
          <w:color w:val="800000"/>
        </w:rPr>
        <w:t>ublic profession of carry</w:t>
      </w:r>
      <w:r w:rsidRPr="005F42E7">
        <w:rPr>
          <w:rFonts w:cs="Andalus"/>
          <w:color w:val="800000"/>
        </w:rPr>
        <w:t>ing the goods of all persons wishing to use his services by land or water; and as regards every such common carrier, this Law shall apply to carriage by water in the same manner as it applies to carriage by land;</w:t>
      </w:r>
    </w:p>
    <w:p w:rsidR="00BE31FB" w:rsidRPr="005F42E7" w:rsidRDefault="00BE31FB" w:rsidP="00BE31FB">
      <w:pPr>
        <w:jc w:val="left"/>
        <w:rPr>
          <w:rFonts w:cs="Andalus"/>
          <w:color w:val="800000"/>
        </w:rPr>
      </w:pPr>
      <w:r w:rsidRPr="008535B1">
        <w:rPr>
          <w:rFonts w:cs="Andalus"/>
          <w:b/>
          <w:color w:val="800000"/>
        </w:rPr>
        <w:t>"</w:t>
      </w:r>
      <w:proofErr w:type="gramStart"/>
      <w:r w:rsidRPr="008535B1">
        <w:rPr>
          <w:rFonts w:cs="Andalus"/>
          <w:b/>
          <w:color w:val="800000"/>
        </w:rPr>
        <w:t>public</w:t>
      </w:r>
      <w:proofErr w:type="gramEnd"/>
      <w:r w:rsidRPr="008535B1">
        <w:rPr>
          <w:rFonts w:cs="Andalus"/>
          <w:b/>
          <w:color w:val="800000"/>
        </w:rPr>
        <w:t xml:space="preserve"> conveyance"</w:t>
      </w:r>
      <w:r w:rsidRPr="005F42E7">
        <w:rPr>
          <w:rFonts w:cs="Andalus"/>
          <w:color w:val="800000"/>
        </w:rPr>
        <w:t xml:space="preserve"> means any vehicle, vessel</w:t>
      </w:r>
      <w:r>
        <w:rPr>
          <w:rFonts w:cs="Andalus"/>
          <w:color w:val="800000"/>
        </w:rPr>
        <w:t xml:space="preserve"> or contraption in which passen</w:t>
      </w:r>
      <w:r w:rsidRPr="005F42E7">
        <w:rPr>
          <w:rFonts w:cs="Andalus"/>
          <w:color w:val="800000"/>
        </w:rPr>
        <w:t>gers, parcels or packages are conveyed by a common carrier;</w:t>
      </w:r>
    </w:p>
    <w:p w:rsidR="00BE31FB" w:rsidRPr="005F42E7" w:rsidRDefault="00BE31FB" w:rsidP="00BE31FB">
      <w:pPr>
        <w:jc w:val="left"/>
        <w:rPr>
          <w:rFonts w:cs="Andalus"/>
          <w:color w:val="800000"/>
        </w:rPr>
      </w:pPr>
      <w:r w:rsidRPr="005F42E7">
        <w:rPr>
          <w:rFonts w:cs="Andalus"/>
          <w:color w:val="800000"/>
        </w:rPr>
        <w:t>"receiving office" means any office, warehouse or other place which is used or appointed by a common carrier for the receiving of parcel</w:t>
      </w:r>
      <w:r>
        <w:rPr>
          <w:rFonts w:cs="Andalus"/>
          <w:color w:val="800000"/>
        </w:rPr>
        <w:t>s or packages to be con</w:t>
      </w:r>
      <w:r w:rsidRPr="005F42E7">
        <w:rPr>
          <w:rFonts w:cs="Andalus"/>
          <w:color w:val="800000"/>
        </w:rPr>
        <w:t>veyed and, where there is no such place, includes the vehicle, vessel or contraption in which such parcels or packages are to be conveyed.</w:t>
      </w:r>
      <w:r w:rsidR="007F4A6C">
        <w:rPr>
          <w:rFonts w:cs="Andalus"/>
          <w:color w:val="800000"/>
        </w:rPr>
        <w:t>&lt;/body&gt;&lt;/section&gt;</w:t>
      </w:r>
    </w:p>
    <w:p w:rsidR="00BE31FB" w:rsidRDefault="00BE31FB" w:rsidP="00BE31FB">
      <w:pPr>
        <w:jc w:val="left"/>
        <w:rPr>
          <w:rFonts w:cs="Andalus"/>
          <w:color w:val="800000"/>
        </w:rPr>
      </w:pPr>
    </w:p>
    <w:p w:rsidR="00BE31FB" w:rsidRPr="008535B1" w:rsidRDefault="007F4A6C" w:rsidP="00BE31F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BE31FB" w:rsidRPr="008535B1">
        <w:rPr>
          <w:rFonts w:cs="Andalus"/>
          <w:b/>
          <w:color w:val="800000"/>
        </w:rPr>
        <w:t>18.</w:t>
      </w:r>
      <w:r w:rsidR="00BE31FB" w:rsidRPr="008535B1">
        <w:rPr>
          <w:rFonts w:cs="Andalus"/>
          <w:b/>
          <w:color w:val="800000"/>
        </w:rPr>
        <w:tab/>
        <w:t>Citation and application</w:t>
      </w:r>
      <w:r>
        <w:rPr>
          <w:rFonts w:cs="Andalus"/>
          <w:b/>
          <w:color w:val="800000"/>
        </w:rPr>
        <w:t>&lt;/heading&gt;</w:t>
      </w:r>
    </w:p>
    <w:p w:rsidR="00BE31FB" w:rsidRPr="005F42E7" w:rsidRDefault="00BE31FB" w:rsidP="00BE31FB">
      <w:pPr>
        <w:jc w:val="left"/>
        <w:rPr>
          <w:rFonts w:cs="Andalus"/>
          <w:color w:val="800000"/>
        </w:rPr>
      </w:pPr>
    </w:p>
    <w:p w:rsidR="00BE31FB" w:rsidRPr="005F42E7" w:rsidRDefault="007F4A6C" w:rsidP="00BE31FB">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BE31FB" w:rsidRPr="005F42E7">
        <w:rPr>
          <w:rFonts w:cs="Andalus"/>
          <w:color w:val="800000"/>
        </w:rPr>
        <w:t>(1)</w:t>
      </w:r>
      <w:r w:rsidR="00BE31FB" w:rsidRPr="005F42E7">
        <w:rPr>
          <w:rFonts w:cs="Andalus"/>
          <w:color w:val="800000"/>
        </w:rPr>
        <w:tab/>
        <w:t>This Law may be cited as the Carriers Law.</w:t>
      </w:r>
    </w:p>
    <w:p w:rsidR="00BE31FB" w:rsidRPr="005F42E7" w:rsidRDefault="00BE31FB" w:rsidP="00BE31FB">
      <w:pPr>
        <w:jc w:val="left"/>
        <w:rPr>
          <w:rFonts w:cs="Andalus"/>
          <w:color w:val="800000"/>
        </w:rPr>
      </w:pPr>
      <w:r>
        <w:rPr>
          <w:rFonts w:cs="Andalus"/>
          <w:color w:val="800000"/>
        </w:rPr>
        <w:t xml:space="preserve">                                              </w:t>
      </w:r>
      <w:r w:rsidRPr="005F42E7">
        <w:rPr>
          <w:rFonts w:cs="Andalus"/>
          <w:color w:val="800000"/>
        </w:rPr>
        <w:t>[No. 4 of 2006.]</w:t>
      </w:r>
    </w:p>
    <w:p w:rsidR="00BE31FB" w:rsidRPr="005F42E7" w:rsidRDefault="00BE31FB" w:rsidP="00BE31FB">
      <w:pPr>
        <w:jc w:val="left"/>
        <w:rPr>
          <w:rFonts w:cs="Andalus"/>
          <w:color w:val="800000"/>
        </w:rPr>
      </w:pPr>
      <w:r w:rsidRPr="005F42E7">
        <w:rPr>
          <w:rFonts w:cs="Andalus"/>
          <w:color w:val="800000"/>
        </w:rPr>
        <w:t>(2)</w:t>
      </w:r>
      <w:r w:rsidRPr="005F42E7">
        <w:rPr>
          <w:rFonts w:cs="Andalus"/>
          <w:color w:val="800000"/>
        </w:rPr>
        <w:tab/>
        <w:t>Nothing in this Law shall affect any common carrier engaged in the carriage of goods by air, railway or on waterways in respect of which</w:t>
      </w:r>
      <w:r>
        <w:rPr>
          <w:rFonts w:cs="Andalus"/>
          <w:color w:val="800000"/>
        </w:rPr>
        <w:t xml:space="preserve"> the power to enact laws is con</w:t>
      </w:r>
      <w:r w:rsidRPr="005F42E7">
        <w:rPr>
          <w:rFonts w:cs="Andalus"/>
          <w:color w:val="800000"/>
        </w:rPr>
        <w:t>ferred exclusively upon the National Assembly.</w:t>
      </w:r>
    </w:p>
    <w:p w:rsidR="00BE31FB" w:rsidRPr="005F42E7" w:rsidRDefault="00BE31FB" w:rsidP="00BE31FB">
      <w:pPr>
        <w:jc w:val="left"/>
        <w:rPr>
          <w:rFonts w:cs="Andalus"/>
          <w:color w:val="800000"/>
        </w:rPr>
      </w:pPr>
      <w:r>
        <w:rPr>
          <w:rFonts w:cs="Andalus"/>
          <w:color w:val="800000"/>
        </w:rPr>
        <w:t xml:space="preserve">                                              </w:t>
      </w:r>
      <w:r w:rsidRPr="005F42E7">
        <w:rPr>
          <w:rFonts w:cs="Andalus"/>
          <w:color w:val="800000"/>
        </w:rPr>
        <w:t>[No. 4 of 2006.]</w:t>
      </w:r>
    </w:p>
    <w:p w:rsidR="00BE31FB" w:rsidRDefault="00BE31FB" w:rsidP="00BE31FB">
      <w:pPr>
        <w:jc w:val="left"/>
        <w:rPr>
          <w:rFonts w:cs="Andalus"/>
          <w:color w:val="800000"/>
        </w:rPr>
      </w:pPr>
      <w:r w:rsidRPr="005F42E7">
        <w:rPr>
          <w:rFonts w:cs="Andalus"/>
          <w:color w:val="800000"/>
        </w:rPr>
        <w:t>(3)</w:t>
      </w:r>
      <w:r w:rsidRPr="005F42E7">
        <w:rPr>
          <w:rFonts w:cs="Andalus"/>
          <w:color w:val="800000"/>
        </w:rPr>
        <w:tab/>
        <w:t>Nothing in this Law shall apply to transactions</w:t>
      </w:r>
      <w:r>
        <w:rPr>
          <w:rFonts w:cs="Andalus"/>
          <w:color w:val="800000"/>
        </w:rPr>
        <w:t xml:space="preserve"> under Islamic Law or under Cus</w:t>
      </w:r>
      <w:r w:rsidRPr="005F42E7">
        <w:rPr>
          <w:rFonts w:cs="Andalus"/>
          <w:color w:val="800000"/>
        </w:rPr>
        <w:t>tomary Law.</w:t>
      </w:r>
      <w:r w:rsidR="007F4A6C">
        <w:rPr>
          <w:rFonts w:cs="Andalus"/>
          <w:color w:val="800000"/>
        </w:rPr>
        <w:t>&lt;/body&gt;&lt;/section&gt;</w:t>
      </w:r>
    </w:p>
    <w:p w:rsidR="00E00F7B" w:rsidRPr="005F42E7" w:rsidRDefault="00E00F7B" w:rsidP="00BE31FB">
      <w:pPr>
        <w:jc w:val="left"/>
        <w:rPr>
          <w:rFonts w:cs="Andalus"/>
          <w:color w:val="800000"/>
        </w:rPr>
      </w:pPr>
      <w:r>
        <w:rPr>
          <w:rFonts w:cs="Andalus"/>
          <w:color w:val="800000"/>
        </w:rPr>
        <w:lastRenderedPageBreak/>
        <w:t>&lt;/sections&gt;</w:t>
      </w:r>
    </w:p>
    <w:p w:rsidR="00BE31FB" w:rsidRPr="005F42E7" w:rsidRDefault="00BE31FB" w:rsidP="00BE31FB">
      <w:pPr>
        <w:jc w:val="left"/>
        <w:rPr>
          <w:rFonts w:cs="Andalus"/>
          <w:color w:val="800000"/>
        </w:rPr>
      </w:pPr>
    </w:p>
    <w:p w:rsidR="00BE31FB" w:rsidRPr="005F42E7" w:rsidRDefault="00BE31FB" w:rsidP="00BE31FB">
      <w:pPr>
        <w:jc w:val="left"/>
        <w:rPr>
          <w:rFonts w:cs="Andalus"/>
          <w:color w:val="800000"/>
        </w:rPr>
      </w:pPr>
      <w:bookmarkStart w:id="0" w:name="_GoBack"/>
      <w:bookmarkEnd w:id="0"/>
    </w:p>
    <w:p w:rsidR="00BE31FB" w:rsidRPr="008535B1" w:rsidRDefault="00BE31FB" w:rsidP="00BE31FB">
      <w:pPr>
        <w:jc w:val="center"/>
        <w:rPr>
          <w:rFonts w:cs="Andalus"/>
          <w:b/>
          <w:color w:val="800000"/>
        </w:rPr>
      </w:pPr>
      <w:r w:rsidRPr="008535B1">
        <w:rPr>
          <w:rFonts w:cs="Andalus"/>
          <w:b/>
          <w:color w:val="800000"/>
        </w:rPr>
        <w:t>SCHEDULE</w:t>
      </w:r>
    </w:p>
    <w:p w:rsidR="00BE31FB" w:rsidRPr="008535B1" w:rsidRDefault="00BE31FB" w:rsidP="00BE31FB">
      <w:pPr>
        <w:jc w:val="center"/>
        <w:rPr>
          <w:rFonts w:cs="Andalus"/>
          <w:b/>
          <w:color w:val="800000"/>
        </w:rPr>
      </w:pPr>
      <w:r w:rsidRPr="008535B1">
        <w:rPr>
          <w:rFonts w:cs="Andalus"/>
          <w:b/>
          <w:color w:val="800000"/>
        </w:rPr>
        <w:t>[Sections 7 and 8.]</w:t>
      </w:r>
    </w:p>
    <w:p w:rsidR="00BE31FB" w:rsidRPr="005F42E7" w:rsidRDefault="00BE31FB" w:rsidP="00BE31FB">
      <w:pPr>
        <w:jc w:val="left"/>
        <w:rPr>
          <w:rFonts w:cs="Andalus"/>
          <w:color w:val="800000"/>
        </w:rPr>
      </w:pPr>
      <w:r w:rsidRPr="005F42E7">
        <w:rPr>
          <w:rFonts w:cs="Andalus"/>
          <w:color w:val="800000"/>
        </w:rPr>
        <w:t xml:space="preserve">Bills, bank notes or currency notes, and orders, </w:t>
      </w:r>
      <w:r>
        <w:rPr>
          <w:rFonts w:cs="Andalus"/>
          <w:color w:val="800000"/>
        </w:rPr>
        <w:t>notes or securities for the pay</w:t>
      </w:r>
      <w:r w:rsidRPr="005F42E7">
        <w:rPr>
          <w:rFonts w:cs="Andalus"/>
          <w:color w:val="800000"/>
        </w:rPr>
        <w:t>ment of money.</w:t>
      </w:r>
    </w:p>
    <w:p w:rsidR="00BE31FB" w:rsidRDefault="00BE31FB" w:rsidP="00BE31FB">
      <w:pPr>
        <w:jc w:val="left"/>
        <w:rPr>
          <w:rFonts w:cs="Andalus"/>
          <w:color w:val="800000"/>
        </w:rPr>
      </w:pPr>
    </w:p>
    <w:p w:rsidR="00BE31FB" w:rsidRDefault="00BE31FB" w:rsidP="00BE31FB">
      <w:pPr>
        <w:jc w:val="left"/>
        <w:rPr>
          <w:rFonts w:cs="Andalus"/>
          <w:color w:val="800000"/>
        </w:rPr>
      </w:pPr>
      <w:r>
        <w:rPr>
          <w:rFonts w:cs="Andalus"/>
          <w:color w:val="800000"/>
        </w:rPr>
        <w:t>Books.</w:t>
      </w:r>
    </w:p>
    <w:p w:rsidR="00BE31FB" w:rsidRPr="005F42E7" w:rsidRDefault="00BE31FB" w:rsidP="00BE31FB">
      <w:pPr>
        <w:jc w:val="left"/>
        <w:rPr>
          <w:rFonts w:cs="Andalus"/>
          <w:color w:val="800000"/>
        </w:rPr>
      </w:pPr>
      <w:r w:rsidRPr="005F42E7">
        <w:rPr>
          <w:rFonts w:cs="Andalus"/>
          <w:color w:val="800000"/>
        </w:rPr>
        <w:t>Carvings.</w:t>
      </w:r>
    </w:p>
    <w:p w:rsidR="00BE31FB" w:rsidRPr="005F42E7" w:rsidRDefault="00BE31FB" w:rsidP="00BE31FB">
      <w:pPr>
        <w:jc w:val="left"/>
        <w:rPr>
          <w:rFonts w:cs="Andalus"/>
          <w:color w:val="800000"/>
        </w:rPr>
      </w:pPr>
      <w:r w:rsidRPr="005F42E7">
        <w:rPr>
          <w:rFonts w:cs="Andalus"/>
          <w:color w:val="800000"/>
        </w:rPr>
        <w:t>China.</w:t>
      </w:r>
    </w:p>
    <w:p w:rsidR="00BE31FB" w:rsidRPr="005F42E7" w:rsidRDefault="00BE31FB" w:rsidP="00BE31FB">
      <w:pPr>
        <w:jc w:val="left"/>
        <w:rPr>
          <w:rFonts w:cs="Andalus"/>
          <w:color w:val="800000"/>
        </w:rPr>
      </w:pPr>
      <w:r w:rsidRPr="005F42E7">
        <w:rPr>
          <w:rFonts w:cs="Andalus"/>
          <w:color w:val="800000"/>
        </w:rPr>
        <w:t>Clothing and clothing materials.</w:t>
      </w:r>
    </w:p>
    <w:p w:rsidR="00BE31FB" w:rsidRPr="005F42E7" w:rsidRDefault="00BE31FB" w:rsidP="00BE31FB">
      <w:pPr>
        <w:jc w:val="left"/>
        <w:rPr>
          <w:rFonts w:cs="Andalus"/>
          <w:color w:val="800000"/>
        </w:rPr>
      </w:pPr>
      <w:r w:rsidRPr="005F42E7">
        <w:rPr>
          <w:rFonts w:cs="Andalus"/>
          <w:color w:val="800000"/>
        </w:rPr>
        <w:t>Coins current in any country. Documents.</w:t>
      </w:r>
    </w:p>
    <w:p w:rsidR="00BE31FB" w:rsidRPr="005F42E7" w:rsidRDefault="00BE31FB" w:rsidP="00BE31FB">
      <w:pPr>
        <w:jc w:val="left"/>
        <w:rPr>
          <w:rFonts w:cs="Andalus"/>
          <w:color w:val="800000"/>
        </w:rPr>
      </w:pPr>
      <w:r w:rsidRPr="005F42E7">
        <w:rPr>
          <w:rFonts w:cs="Andalus"/>
          <w:color w:val="800000"/>
        </w:rPr>
        <w:t>Electrical and electronic apparatus.</w:t>
      </w:r>
    </w:p>
    <w:p w:rsidR="00BE31FB" w:rsidRPr="005F42E7" w:rsidRDefault="00BE31FB" w:rsidP="00BE31FB">
      <w:pPr>
        <w:jc w:val="left"/>
        <w:rPr>
          <w:rFonts w:cs="Andalus"/>
          <w:color w:val="800000"/>
        </w:rPr>
      </w:pPr>
      <w:r w:rsidRPr="005F42E7">
        <w:rPr>
          <w:rFonts w:cs="Andalus"/>
          <w:color w:val="800000"/>
        </w:rPr>
        <w:t>Furniture.</w:t>
      </w:r>
    </w:p>
    <w:p w:rsidR="00BE31FB" w:rsidRPr="005F42E7" w:rsidRDefault="00BE31FB" w:rsidP="00BE31FB">
      <w:pPr>
        <w:jc w:val="left"/>
        <w:rPr>
          <w:rFonts w:cs="Andalus"/>
          <w:color w:val="800000"/>
        </w:rPr>
      </w:pPr>
      <w:r w:rsidRPr="005F42E7">
        <w:rPr>
          <w:rFonts w:cs="Andalus"/>
          <w:color w:val="800000"/>
        </w:rPr>
        <w:t>Glass.</w:t>
      </w:r>
    </w:p>
    <w:p w:rsidR="00BE31FB" w:rsidRPr="005F42E7" w:rsidRDefault="00BE31FB" w:rsidP="00BE31FB">
      <w:pPr>
        <w:jc w:val="left"/>
        <w:rPr>
          <w:rFonts w:cs="Andalus"/>
          <w:color w:val="800000"/>
        </w:rPr>
      </w:pPr>
      <w:r w:rsidRPr="005F42E7">
        <w:rPr>
          <w:rFonts w:cs="Andalus"/>
          <w:color w:val="800000"/>
        </w:rPr>
        <w:t>Gold or silver in a manufactured or unmanufactured state.</w:t>
      </w:r>
    </w:p>
    <w:p w:rsidR="00BE31FB" w:rsidRPr="005F42E7" w:rsidRDefault="00BE31FB" w:rsidP="00BE31FB">
      <w:pPr>
        <w:jc w:val="left"/>
        <w:rPr>
          <w:rFonts w:cs="Andalus"/>
          <w:color w:val="800000"/>
        </w:rPr>
      </w:pPr>
      <w:r w:rsidRPr="005F42E7">
        <w:rPr>
          <w:rFonts w:cs="Andalus"/>
          <w:color w:val="800000"/>
        </w:rPr>
        <w:t>Gold or silver plate or plated articles.</w:t>
      </w:r>
    </w:p>
    <w:p w:rsidR="00BE31FB" w:rsidRPr="005F42E7" w:rsidRDefault="00BE31FB" w:rsidP="00BE31FB">
      <w:pPr>
        <w:jc w:val="left"/>
        <w:rPr>
          <w:rFonts w:cs="Andalus"/>
          <w:color w:val="800000"/>
        </w:rPr>
      </w:pPr>
      <w:r w:rsidRPr="005F42E7">
        <w:rPr>
          <w:rFonts w:cs="Andalus"/>
          <w:color w:val="800000"/>
        </w:rPr>
        <w:t>Maps.</w:t>
      </w:r>
    </w:p>
    <w:p w:rsidR="00BE31FB" w:rsidRPr="005F42E7" w:rsidRDefault="00BE31FB" w:rsidP="00BE31FB">
      <w:pPr>
        <w:jc w:val="left"/>
        <w:rPr>
          <w:rFonts w:cs="Andalus"/>
          <w:color w:val="800000"/>
        </w:rPr>
      </w:pPr>
      <w:r w:rsidRPr="005F42E7">
        <w:rPr>
          <w:rFonts w:cs="Andalus"/>
          <w:color w:val="800000"/>
        </w:rPr>
        <w:t>Paintings, engravings or pictures.</w:t>
      </w:r>
    </w:p>
    <w:p w:rsidR="00BE31FB" w:rsidRPr="005F42E7" w:rsidRDefault="00BE31FB" w:rsidP="00BE31FB">
      <w:pPr>
        <w:jc w:val="left"/>
        <w:rPr>
          <w:rFonts w:cs="Andalus"/>
          <w:color w:val="800000"/>
        </w:rPr>
      </w:pPr>
      <w:r w:rsidRPr="005F42E7">
        <w:rPr>
          <w:rFonts w:cs="Andalus"/>
          <w:color w:val="800000"/>
        </w:rPr>
        <w:t xml:space="preserve">Precious stones or </w:t>
      </w:r>
      <w:proofErr w:type="spellStart"/>
      <w:r w:rsidRPr="005F42E7">
        <w:rPr>
          <w:rFonts w:cs="Andalus"/>
          <w:color w:val="800000"/>
        </w:rPr>
        <w:t>jewellery</w:t>
      </w:r>
      <w:proofErr w:type="spellEnd"/>
      <w:r w:rsidRPr="005F42E7">
        <w:rPr>
          <w:rFonts w:cs="Andalus"/>
          <w:color w:val="800000"/>
        </w:rPr>
        <w:t>.</w:t>
      </w:r>
    </w:p>
    <w:p w:rsidR="00BE31FB" w:rsidRPr="005F42E7" w:rsidRDefault="00BE31FB" w:rsidP="00BE31FB">
      <w:pPr>
        <w:jc w:val="left"/>
        <w:rPr>
          <w:rFonts w:cs="Andalus"/>
          <w:color w:val="800000"/>
        </w:rPr>
      </w:pPr>
      <w:r w:rsidRPr="005F42E7">
        <w:rPr>
          <w:rFonts w:cs="Andalus"/>
          <w:color w:val="800000"/>
        </w:rPr>
        <w:t>Silks.</w:t>
      </w:r>
    </w:p>
    <w:p w:rsidR="00BE31FB" w:rsidRPr="005F42E7" w:rsidRDefault="00BE31FB" w:rsidP="00BE31FB">
      <w:pPr>
        <w:jc w:val="left"/>
        <w:rPr>
          <w:rFonts w:cs="Andalus"/>
          <w:color w:val="800000"/>
        </w:rPr>
      </w:pPr>
      <w:r w:rsidRPr="005F42E7">
        <w:rPr>
          <w:rFonts w:cs="Andalus"/>
          <w:color w:val="800000"/>
        </w:rPr>
        <w:t>Stamps.</w:t>
      </w:r>
    </w:p>
    <w:p w:rsidR="00BE31FB" w:rsidRPr="005F42E7" w:rsidRDefault="00BE31FB" w:rsidP="00BE31FB">
      <w:pPr>
        <w:jc w:val="left"/>
        <w:rPr>
          <w:rFonts w:cs="Andalus"/>
          <w:color w:val="800000"/>
        </w:rPr>
      </w:pPr>
      <w:r w:rsidRPr="005F42E7">
        <w:rPr>
          <w:rFonts w:cs="Andalus"/>
          <w:color w:val="800000"/>
        </w:rPr>
        <w:t>Trinkets.</w:t>
      </w:r>
    </w:p>
    <w:p w:rsidR="00BE31FB" w:rsidRPr="005F42E7" w:rsidRDefault="00BE31FB" w:rsidP="00BE31FB">
      <w:pPr>
        <w:jc w:val="left"/>
        <w:rPr>
          <w:rFonts w:cs="Andalus"/>
          <w:color w:val="800000"/>
        </w:rPr>
      </w:pPr>
      <w:r w:rsidRPr="005F42E7">
        <w:rPr>
          <w:rFonts w:cs="Andalus"/>
          <w:color w:val="800000"/>
        </w:rPr>
        <w:t>Watches and clocks of any description.</w:t>
      </w:r>
    </w:p>
    <w:p w:rsidR="00BE31FB" w:rsidRDefault="00BE31FB" w:rsidP="00BE31FB">
      <w:pPr>
        <w:jc w:val="left"/>
        <w:rPr>
          <w:rFonts w:cs="Andalus"/>
          <w:color w:val="800000"/>
        </w:rPr>
      </w:pPr>
    </w:p>
    <w:p w:rsidR="00860E21" w:rsidRDefault="005D1105" w:rsidP="005D1105">
      <w:pPr>
        <w:jc w:val="center"/>
      </w:pPr>
      <w:r>
        <w:t>&lt;/chapter&gt;</w:t>
      </w:r>
    </w:p>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FB"/>
    <w:rsid w:val="00235070"/>
    <w:rsid w:val="00375799"/>
    <w:rsid w:val="005D1105"/>
    <w:rsid w:val="0070268A"/>
    <w:rsid w:val="007F4A6C"/>
    <w:rsid w:val="00860E21"/>
    <w:rsid w:val="00B64239"/>
    <w:rsid w:val="00B7724C"/>
    <w:rsid w:val="00BE31FB"/>
    <w:rsid w:val="00C74E55"/>
    <w:rsid w:val="00E00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54A2E-1154-4018-9003-A2B31318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1FB"/>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BE31FB"/>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FB"/>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MAWELL</cp:lastModifiedBy>
  <cp:revision>4</cp:revision>
  <dcterms:created xsi:type="dcterms:W3CDTF">2017-03-15T08:50:00Z</dcterms:created>
  <dcterms:modified xsi:type="dcterms:W3CDTF">2017-03-15T09:01:00Z</dcterms:modified>
</cp:coreProperties>
</file>