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sectPr>
          <w:pgSz w:w="11906" w:h="16838"/>
          <w:pgMar w:top="644" w:right="1170" w:bottom="652" w:left="113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56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>Studenckie Koło Naukowe Lotników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28699" cy="101091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1010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516" w:after="0"/>
        <w:ind w:left="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Opiekun: dr. inż. Tomasz Lis</w:t>
      </w:r>
    </w:p>
    <w:p>
      <w:pPr>
        <w:sectPr>
          <w:type w:val="continuous"/>
          <w:pgSz w:w="11906" w:h="16838"/>
          <w:pgMar w:top="644" w:right="1170" w:bottom="652" w:left="1134" w:header="720" w:footer="720" w:gutter="0"/>
          <w:cols w:num="2" w:equalWidth="0">
            <w:col w:w="5486" w:space="0"/>
            <w:col w:w="4115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2846"/>
        <w:ind w:left="0" w:right="20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Rzeszów, dnia 26.04.24</w:t>
      </w:r>
    </w:p>
    <w:p>
      <w:pPr>
        <w:sectPr>
          <w:type w:val="nextColumn"/>
          <w:pgSz w:w="11906" w:h="16838"/>
          <w:pgMar w:top="644" w:right="1170" w:bottom="652" w:left="1134" w:header="720" w:footer="720" w:gutter="0"/>
          <w:cols w:num="2" w:equalWidth="0">
            <w:col w:w="5486" w:space="0"/>
            <w:col w:w="4115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5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Katedra: Inżynierii Lotniczej i Kosmicznej</w:t>
      </w:r>
    </w:p>
    <w:p>
      <w:pPr>
        <w:autoSpaceDN w:val="0"/>
        <w:autoSpaceDE w:val="0"/>
        <w:widowControl/>
        <w:spacing w:line="230" w:lineRule="auto" w:before="572" w:after="0"/>
        <w:ind w:left="0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00000"/>
          <w:sz w:val="28"/>
        </w:rPr>
        <w:t>Zamówienie publiczne</w:t>
      </w:r>
    </w:p>
    <w:p>
      <w:pPr>
        <w:autoSpaceDN w:val="0"/>
        <w:autoSpaceDE w:val="0"/>
        <w:widowControl/>
        <w:spacing w:line="487" w:lineRule="auto" w:before="406" w:after="0"/>
        <w:ind w:left="56" w:right="6048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Specyfikacja produktu (opis):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asdad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Specyfikacja techniczna: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ada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Nazwa oferty: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Link: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Cena: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132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Zdjęcie: 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00040" cy="4051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top="644" w:right="1170" w:bottom="652" w:left="113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4"/>
        <w:ind w:left="0" w:right="0"/>
      </w:pPr>
    </w:p>
    <w:p>
      <w:pPr>
        <w:autoSpaceDN w:val="0"/>
        <w:autoSpaceDE w:val="0"/>
        <w:widowControl/>
        <w:spacing w:line="461" w:lineRule="auto" w:before="0" w:after="0"/>
        <w:ind w:left="56" w:right="6768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Nazwa kontroferty: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asdad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Link: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dasdas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Cena: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312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Zdjęcie: 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00040" cy="405002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10" w:lineRule="auto" w:before="1288" w:after="0"/>
        <w:ind w:left="56" w:right="6048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Ostateczny wybor oferty: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 xml:space="preserve">asdadas </w:t>
      </w:r>
      <w:r>
        <w:br/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Przeznaczone środki: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313</w:t>
      </w:r>
      <w:r>
        <w:rPr>
          <w:rFonts w:ascii="Times New Roman" w:hAnsi="Times New Roman" w:eastAsia="Times New Roman"/>
          <w:b/>
          <w:i w:val="0"/>
          <w:color w:val="000000"/>
          <w:sz w:val="22"/>
        </w:rPr>
        <w:t xml:space="preserve">Źródło finansowania: </w:t>
      </w:r>
      <w:r>
        <w:rPr>
          <w:rFonts w:ascii="Times New Roman" w:hAnsi="Times New Roman" w:eastAsia="Times New Roman"/>
          <w:b w:val="0"/>
          <w:i w:val="0"/>
          <w:color w:val="000000"/>
          <w:sz w:val="22"/>
        </w:rPr>
        <w:t>adsdadadad</w:t>
      </w:r>
    </w:p>
    <w:sectPr w:rsidR="00FC693F" w:rsidRPr="0006063C" w:rsidSect="00034616">
      <w:pgSz w:w="11906" w:h="16838"/>
      <w:pgMar w:top="644" w:right="1440" w:bottom="1440" w:left="113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