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Sans" w:hAnsi="Noto Sans" w:cs="Noto Sans" w:eastAsia="Noto Sans"/>
          <w:b/>
          <w:color w:val="2B66F6"/>
          <w:sz w:val="60"/>
        </w:rPr>
        <w:t>DESIDIET AI</w:t>
      </w:r>
    </w:p>
    <w:p>
      <w:pPr>
        <w:jc w:val="center"/>
      </w:pPr>
      <w:r>
        <w:rPr>
          <w:rFonts w:ascii="Noto Sans" w:hAnsi="Noto Sans" w:cs="Noto Sans" w:eastAsia="Noto Sans"/>
          <w:b/>
          <w:color w:val="122033"/>
          <w:sz w:val="40"/>
        </w:rPr>
        <w:t>Nutritional Intelligence System</w:t>
      </w:r>
    </w:p>
    <w:p>
      <w:pPr>
        <w:spacing w:before="240"/>
        <w:jc w:val="center"/>
      </w:pPr>
      <w:r>
        <w:rPr>
          <w:rFonts w:ascii="Noto Sans" w:hAnsi="Noto Sans" w:cs="Noto Sans" w:eastAsia="Noto Sans"/>
          <w:color w:val="596579"/>
          <w:sz w:val="25"/>
        </w:rPr>
        <w:t>System Documentation with Visual Architecture Figures</w:t>
      </w:r>
    </w:p>
    <w:p>
      <w:pPr>
        <w:jc w:val="center"/>
      </w:pPr>
      <w:r>
        <w:drawing>
          <wp:inline xmlns:a="http://schemas.openxmlformats.org/drawingml/2006/main" xmlns:pic="http://schemas.openxmlformats.org/drawingml/2006/picture">
            <wp:extent cx="5577840" cy="3013833"/>
            <wp:docPr id="1" name="Picture 1"/>
            <wp:cNvGraphicFramePr>
              <a:graphicFrameLocks noChangeAspect="1"/>
            </wp:cNvGraphicFramePr>
            <a:graphic>
              <a:graphicData uri="http://schemas.openxmlformats.org/drawingml/2006/picture">
                <pic:pic>
                  <pic:nvPicPr>
                    <pic:cNvPr id="0" name="figure_1_personalization_engine.png"/>
                    <pic:cNvPicPr/>
                  </pic:nvPicPr>
                  <pic:blipFill>
                    <a:blip r:embed="rId11"/>
                    <a:stretch>
                      <a:fillRect/>
                    </a:stretch>
                  </pic:blipFill>
                  <pic:spPr>
                    <a:xfrm>
                      <a:off x="0" y="0"/>
                      <a:ext cx="5577840" cy="3013833"/>
                    </a:xfrm>
                    <a:prstGeom prst="rect"/>
                  </pic:spPr>
                </pic:pic>
              </a:graphicData>
            </a:graphic>
          </wp:inline>
        </w:drawing>
      </w:r>
    </w:p>
    <w:p>
      <w:pPr>
        <w:spacing w:after="180"/>
        <w:jc w:val="center"/>
      </w:pPr>
      <w:r>
        <w:rPr>
          <w:rFonts w:ascii="Noto Sans" w:hAnsi="Noto Sans" w:cs="Noto Sans" w:eastAsia="Noto Sans"/>
          <w:i/>
          <w:color w:val="596579"/>
          <w:sz w:val="18"/>
        </w:rPr>
        <w:t>Figure 1. High-level personalization engine for DesiDiet.</w:t>
      </w:r>
    </w:p>
    <w:p>
      <w:pPr>
        <w:jc w:val="center"/>
      </w:pPr>
      <w:r>
        <w:rPr>
          <w:rFonts w:ascii="Noto Sans" w:hAnsi="Noto Sans" w:cs="Noto Sans" w:eastAsia="Noto Sans"/>
          <w:color w:val="122033"/>
          <w:sz w:val="20"/>
        </w:rPr>
        <w:t>This document describes the personalization engines, GraphRAG database structure, Neo4j schema, and automated meal retrieval/generation pipeline behind DesiDiet.</w:t>
      </w:r>
    </w:p>
    <w:p>
      <w:r>
        <w:br w:type="page"/>
      </w:r>
    </w:p>
    <w:p>
      <w:pPr>
        <w:pStyle w:val="Heading1"/>
        <w:spacing w:before="120" w:after="100"/>
      </w:pPr>
      <w:r>
        <w:rPr>
          <w:rFonts w:ascii="Noto Sans" w:hAnsi="Noto Sans" w:cs="Noto Sans" w:eastAsia="Noto Sans"/>
          <w:b/>
          <w:color w:val="2B66F6"/>
          <w:sz w:val="36"/>
        </w:rPr>
        <w:t>Contents</w:t>
      </w:r>
    </w:p>
    <w:p>
      <w:pPr>
        <w:spacing w:after="40"/>
        <w:ind w:left="216" w:hanging="216"/>
      </w:pPr>
      <w:r>
        <w:rPr>
          <w:rFonts w:ascii="Noto Sans" w:hAnsi="Noto Sans" w:cs="Noto Sans" w:eastAsia="Noto Sans"/>
          <w:color w:val="122033"/>
          <w:sz w:val="19"/>
        </w:rPr>
        <w:t>1. Executive Overview</w:t>
      </w:r>
    </w:p>
    <w:p>
      <w:pPr>
        <w:spacing w:after="40"/>
        <w:ind w:left="216" w:hanging="216"/>
      </w:pPr>
      <w:r>
        <w:rPr>
          <w:rFonts w:ascii="Noto Sans" w:hAnsi="Noto Sans" w:cs="Noto Sans" w:eastAsia="Noto Sans"/>
          <w:color w:val="122033"/>
          <w:sz w:val="19"/>
        </w:rPr>
        <w:t>2. Personalization and User Profiling</w:t>
      </w:r>
    </w:p>
    <w:p>
      <w:pPr>
        <w:spacing w:after="40"/>
        <w:ind w:left="216" w:hanging="216"/>
      </w:pPr>
      <w:r>
        <w:rPr>
          <w:rFonts w:ascii="Noto Sans" w:hAnsi="Noto Sans" w:cs="Noto Sans" w:eastAsia="Noto Sans"/>
          <w:color w:val="122033"/>
          <w:sz w:val="19"/>
        </w:rPr>
        <w:t>3. GraphRAG Knowledge Database in Neo4j</w:t>
      </w:r>
    </w:p>
    <w:p>
      <w:pPr>
        <w:spacing w:after="40"/>
        <w:ind w:left="216" w:hanging="216"/>
      </w:pPr>
      <w:r>
        <w:rPr>
          <w:rFonts w:ascii="Noto Sans" w:hAnsi="Noto Sans" w:cs="Noto Sans" w:eastAsia="Noto Sans"/>
          <w:color w:val="122033"/>
          <w:sz w:val="19"/>
        </w:rPr>
        <w:t>4. Retrieval and Meal Plan Personalization Pipeline</w:t>
      </w:r>
    </w:p>
    <w:p>
      <w:pPr>
        <w:spacing w:after="40"/>
        <w:ind w:left="216" w:hanging="216"/>
      </w:pPr>
      <w:r>
        <w:rPr>
          <w:rFonts w:ascii="Noto Sans" w:hAnsi="Noto Sans" w:cs="Noto Sans" w:eastAsia="Noto Sans"/>
          <w:color w:val="122033"/>
          <w:sz w:val="19"/>
        </w:rPr>
        <w:t>5. Key Platform Features and Technical Accomplishments</w:t>
      </w:r>
    </w:p>
    <w:p>
      <w:pPr>
        <w:spacing w:after="40"/>
        <w:ind w:left="216" w:hanging="216"/>
      </w:pPr>
      <w:r>
        <w:rPr>
          <w:rFonts w:ascii="Noto Sans" w:hAnsi="Noto Sans" w:cs="Noto Sans" w:eastAsia="Noto Sans"/>
          <w:color w:val="122033"/>
          <w:sz w:val="19"/>
        </w:rPr>
        <w:t>6. Implementation Notes and Suggested Next Steps</w:t>
      </w:r>
    </w:p>
    <w:p>
      <w:pPr>
        <w:spacing w:after="120" w:line="259" w:lineRule="auto"/>
      </w:pPr>
      <w:r>
        <w:rPr>
          <w:rFonts w:ascii="Noto Sans" w:hAnsi="Noto Sans" w:cs="Noto Sans" w:eastAsia="Noto Sans"/>
          <w:b w:val="0"/>
          <w:i/>
          <w:color w:val="596579"/>
          <w:sz w:val="19"/>
        </w:rPr>
        <w:t>Figures are included throughout the document to make the system logic, graph schema, and meal generation workflow easier to understand.</w:t>
      </w:r>
    </w:p>
    <w:p>
      <w:pPr>
        <w:pStyle w:val="Heading1"/>
        <w:spacing w:before="120" w:after="100"/>
      </w:pPr>
      <w:r>
        <w:rPr>
          <w:rFonts w:ascii="Noto Sans" w:hAnsi="Noto Sans" w:cs="Noto Sans" w:eastAsia="Noto Sans"/>
          <w:b/>
          <w:color w:val="2B66F6"/>
          <w:sz w:val="36"/>
        </w:rPr>
        <w:t>1. Executive Overview</w:t>
      </w:r>
    </w:p>
    <w:p>
      <w:pPr>
        <w:spacing w:after="120" w:line="259" w:lineRule="auto"/>
      </w:pPr>
      <w:r>
        <w:rPr>
          <w:rFonts w:ascii="Noto Sans" w:hAnsi="Noto Sans" w:cs="Noto Sans" w:eastAsia="Noto Sans"/>
          <w:b w:val="0"/>
          <w:i w:val="0"/>
          <w:color w:val="122033"/>
          <w:sz w:val="20"/>
        </w:rPr>
        <w:t>DesiDiet is a personalized nutritional intelligence system designed to generate localized meal plans using user profiles, clinical-style nutritional constraints, a Neo4j GraphRAG knowledge base, and LLM-based explanation streaming. Rather than relying on static one-size-fits-all calorie assumptions, the system computes energy needs, applies goal offsets, activates condition-specific nutrient guidance, and retrieves context-aware food recommendations from a graph database.</w:t>
      </w:r>
    </w:p>
    <w:p>
      <w:pPr>
        <w:spacing w:after="120" w:line="259" w:lineRule="auto"/>
      </w:pPr>
      <w:r>
        <w:rPr>
          <w:rFonts w:ascii="Noto Sans" w:hAnsi="Noto Sans" w:cs="Noto Sans" w:eastAsia="Noto Sans"/>
          <w:b w:val="0"/>
          <w:i w:val="0"/>
          <w:color w:val="122033"/>
          <w:sz w:val="20"/>
        </w:rPr>
        <w:t>The system combines five main layers: profile intake, nutritional calculation, graph-based retrieval, meal assembly, and user-facing logging/explanation. The result is a pipeline that can support Bengali/local food naming, medical-condition constraints, meal slot logic, and premium daily logging experiences.</w:t>
      </w:r>
    </w:p>
    <w:tbl>
      <w:tblPr>
        <w:tblW w:type="auto" w:w="0"/>
        <w:jc w:val="center"/>
        <w:tblLayout w:type="autofit"/>
        <w:tblLook w:firstColumn="1" w:firstRow="1" w:lastColumn="0" w:lastRow="0" w:noHBand="0" w:noVBand="1" w:val="04A0"/>
      </w:tblPr>
      <w:tblGrid>
        <w:gridCol w:w="4917"/>
        <w:gridCol w:w="4917"/>
      </w:tblGrid>
      <w:tr>
        <w:trPr>
          <w:cantSplit/>
        </w:trPr>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Component</w:t>
            </w:r>
          </w:p>
        </w:tc>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Purpose / Stored Information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Primary objective</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Generate personalized, localized meal plans using calculated calorie targets and graph-based clinical/nutritional constraints.</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Core calculation</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Mifflin-St Jeor BMR, activity multiplier-based TDEE, goal-specific calorie target, and a 50/20/30 macro split.</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Knowledge system</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Neo4j GraphRAG with Food, FoodGroup, MedicalCondition, and Nutrient nodes plus relationship-based restrictions and pairings.</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Meal generation</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Filters and scores foods, selects staples/proteins by meal slot, adjusts bilingual names, and streams an LLM rationale.</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Reliability layer</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Timezone-safe date locking, provider failover, null-safe event streaming, and redesigned single-day meal logging UI.</w:t>
            </w:r>
          </w:p>
        </w:tc>
      </w:tr>
    </w:tbl>
    <w:p>
      <w:pPr>
        <w:pStyle w:val="Heading1"/>
        <w:spacing w:before="120" w:after="100"/>
      </w:pPr>
      <w:r>
        <w:rPr>
          <w:rFonts w:ascii="Noto Sans" w:hAnsi="Noto Sans" w:cs="Noto Sans" w:eastAsia="Noto Sans"/>
          <w:b/>
          <w:color w:val="2B66F6"/>
          <w:sz w:val="36"/>
        </w:rPr>
        <w:t>2. Personalization and User Profiling</w:t>
      </w:r>
    </w:p>
    <w:p>
      <w:pPr>
        <w:spacing w:after="120" w:line="259" w:lineRule="auto"/>
      </w:pPr>
      <w:r>
        <w:rPr>
          <w:rFonts w:ascii="Noto Sans" w:hAnsi="Noto Sans" w:cs="Noto Sans" w:eastAsia="Noto Sans"/>
          <w:b w:val="0"/>
          <w:i w:val="0"/>
          <w:color w:val="122033"/>
          <w:sz w:val="20"/>
        </w:rPr>
        <w:t>DesiDiet starts with a granular user profile. The profile is used to calculate calorie needs, macro targets, and condition-driven micronutrient rules. This keeps the plan adaptive instead of static.</w:t>
      </w:r>
    </w:p>
    <w:p>
      <w:pPr>
        <w:pStyle w:val="Heading2"/>
        <w:spacing w:before="60" w:after="100"/>
      </w:pPr>
      <w:r>
        <w:rPr>
          <w:rFonts w:ascii="Noto Sans" w:hAnsi="Noto Sans" w:cs="Noto Sans" w:eastAsia="Noto Sans"/>
          <w:b/>
          <w:color w:val="122033"/>
          <w:sz w:val="28"/>
        </w:rPr>
        <w:t>2.1 Profile Intake</w:t>
      </w:r>
    </w:p>
    <w:p>
      <w:pPr>
        <w:spacing w:after="120" w:line="259" w:lineRule="auto"/>
      </w:pPr>
      <w:r>
        <w:rPr>
          <w:rFonts w:ascii="Noto Sans" w:hAnsi="Noto Sans" w:cs="Noto Sans" w:eastAsia="Noto Sans"/>
          <w:b w:val="0"/>
          <w:i w:val="0"/>
          <w:color w:val="122033"/>
          <w:sz w:val="20"/>
        </w:rPr>
        <w:t>The intake model captures biometric, goal, activity, and medical context. These data points become the base inputs for all downstream personalization logic.</w:t>
      </w:r>
    </w:p>
    <w:tbl>
      <w:tblPr>
        <w:tblW w:type="auto" w:w="0"/>
        <w:jc w:val="center"/>
        <w:tblLayout w:type="autofit"/>
        <w:tblLook w:firstColumn="1" w:firstRow="1" w:lastColumn="0" w:lastRow="0" w:noHBand="0" w:noVBand="1" w:val="04A0"/>
      </w:tblPr>
      <w:tblGrid>
        <w:gridCol w:w="4917"/>
        <w:gridCol w:w="4917"/>
      </w:tblGrid>
      <w:tr>
        <w:trPr>
          <w:cantSplit/>
        </w:trPr>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Component</w:t>
            </w:r>
          </w:p>
        </w:tc>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Purpose / Stored Information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Basic biometrics</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Age, gender, height in centimeters, and weight in kilograms.</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Goal selection</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Weight loss, weight gain, or maintenance.</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Activity multiplier</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Sedentary x 1.2; lightly active x 1.375; moderately active x 1.55; highly active x 1.725.</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Medical conditions</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Examples include diabetes, hypertension, kidney disease, gout, osteoporosis, and anemia.</w:t>
            </w:r>
          </w:p>
        </w:tc>
      </w:tr>
    </w:tbl>
    <w:p>
      <w:pPr>
        <w:pStyle w:val="Heading2"/>
        <w:spacing w:before="60" w:after="100"/>
      </w:pPr>
      <w:r>
        <w:rPr>
          <w:rFonts w:ascii="Noto Sans" w:hAnsi="Noto Sans" w:cs="Noto Sans" w:eastAsia="Noto Sans"/>
          <w:b/>
          <w:color w:val="122033"/>
          <w:sz w:val="28"/>
        </w:rPr>
        <w:t>2.2 Calorie and Macro Calculation</w:t>
      </w:r>
    </w:p>
    <w:p>
      <w:pPr>
        <w:spacing w:after="120" w:line="259" w:lineRule="auto"/>
      </w:pPr>
      <w:r>
        <w:rPr>
          <w:rFonts w:ascii="Noto Sans" w:hAnsi="Noto Sans" w:cs="Noto Sans" w:eastAsia="Noto Sans"/>
          <w:b w:val="0"/>
          <w:i w:val="0"/>
          <w:color w:val="122033"/>
          <w:sz w:val="20"/>
        </w:rPr>
        <w:t>The system calculates basal metabolic rate using the Mifflin-St Jeor equation, converts it to Total Daily Energy Expenditure using the activity multiplier, then applies the selected goal offset.</w:t>
      </w:r>
    </w:p>
    <w:tbl>
      <w:tblPr>
        <w:tblW w:type="auto" w:w="0"/>
        <w:jc w:val="center"/>
        <w:tblLayout w:type="autofit"/>
        <w:tblLook w:firstColumn="1" w:firstRow="1" w:lastColumn="0" w:lastRow="0" w:noHBand="0" w:noVBand="1" w:val="04A0"/>
      </w:tblPr>
      <w:tblGrid>
        <w:gridCol w:w="4917"/>
        <w:gridCol w:w="4917"/>
      </w:tblGrid>
      <w:tr>
        <w:trPr>
          <w:cantSplit/>
        </w:trPr>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Formula / Rule</w:t>
            </w:r>
          </w:p>
        </w:tc>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Definition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Men BMR</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BMR = (10 x weight_kg) + (6.25 x height_cm) - (5 x age_y) + 5</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Women BMR</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BMR = (10 x weight_kg) + (6.25 x height_cm) - (5 x age_y) - 161</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TDEE</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TDEE = BMR x Activity Multiplier</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Weight loss target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TDEE - 500 kcal</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Weight gain target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TDEE + 300 kcal</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Maintenance target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TDEE + 0 kcal</w:t>
            </w:r>
          </w:p>
        </w:tc>
      </w:tr>
    </w:tbl>
    <w:p>
      <w:pPr>
        <w:jc w:val="center"/>
      </w:pPr>
      <w:r>
        <w:drawing>
          <wp:inline xmlns:a="http://schemas.openxmlformats.org/drawingml/2006/main" xmlns:pic="http://schemas.openxmlformats.org/drawingml/2006/picture">
            <wp:extent cx="5852160" cy="2213002"/>
            <wp:docPr id="2" name="Picture 2"/>
            <wp:cNvGraphicFramePr>
              <a:graphicFrameLocks noChangeAspect="1"/>
            </wp:cNvGraphicFramePr>
            <a:graphic>
              <a:graphicData uri="http://schemas.openxmlformats.org/drawingml/2006/picture">
                <pic:pic>
                  <pic:nvPicPr>
                    <pic:cNvPr id="0" name="figure_2_macro_split.png"/>
                    <pic:cNvPicPr/>
                  </pic:nvPicPr>
                  <pic:blipFill>
                    <a:blip r:embed="rId12"/>
                    <a:stretch>
                      <a:fillRect/>
                    </a:stretch>
                  </pic:blipFill>
                  <pic:spPr>
                    <a:xfrm>
                      <a:off x="0" y="0"/>
                      <a:ext cx="5852160" cy="2213002"/>
                    </a:xfrm>
                    <a:prstGeom prst="rect"/>
                  </pic:spPr>
                </pic:pic>
              </a:graphicData>
            </a:graphic>
          </wp:inline>
        </w:drawing>
      </w:r>
    </w:p>
    <w:p>
      <w:pPr>
        <w:spacing w:after="180"/>
        <w:jc w:val="center"/>
      </w:pPr>
      <w:r>
        <w:rPr>
          <w:rFonts w:ascii="Noto Sans" w:hAnsi="Noto Sans" w:cs="Noto Sans" w:eastAsia="Noto Sans"/>
          <w:i/>
          <w:color w:val="596579"/>
          <w:sz w:val="18"/>
        </w:rPr>
        <w:t>Figure 2. Calorie target conversion into carbohydrate, protein, and fat grams.</w:t>
      </w:r>
    </w:p>
    <w:p>
      <w:pPr>
        <w:pStyle w:val="Heading2"/>
        <w:spacing w:before="60" w:after="100"/>
      </w:pPr>
      <w:r>
        <w:rPr>
          <w:rFonts w:ascii="Noto Sans" w:hAnsi="Noto Sans" w:cs="Noto Sans" w:eastAsia="Noto Sans"/>
          <w:b/>
          <w:color w:val="122033"/>
          <w:sz w:val="28"/>
        </w:rPr>
        <w:t>2.3 Medical-Grade Micronutrient Targets</w:t>
      </w:r>
    </w:p>
    <w:p>
      <w:pPr>
        <w:spacing w:after="120" w:line="259" w:lineRule="auto"/>
      </w:pPr>
      <w:r>
        <w:rPr>
          <w:rFonts w:ascii="Noto Sans" w:hAnsi="Noto Sans" w:cs="Noto Sans" w:eastAsia="Noto Sans"/>
          <w:b w:val="0"/>
          <w:i w:val="0"/>
          <w:color w:val="122033"/>
          <w:sz w:val="20"/>
        </w:rPr>
        <w:t>Medical conditions activate nutrient-specific guidance. The system can reduce restricted nutrients, boost beneficial nutrients, and trigger special pairings where nutrient synergy matters.</w:t>
      </w:r>
    </w:p>
    <w:tbl>
      <w:tblPr>
        <w:tblW w:type="auto" w:w="0"/>
        <w:jc w:val="center"/>
        <w:tblLayout w:type="autofit"/>
        <w:tblLook w:firstColumn="1" w:firstRow="1" w:lastColumn="0" w:lastRow="0" w:noHBand="0" w:noVBand="1" w:val="04A0"/>
      </w:tblPr>
      <w:tblGrid>
        <w:gridCol w:w="3278"/>
        <w:gridCol w:w="3278"/>
        <w:gridCol w:w="3278"/>
      </w:tblGrid>
      <w:tr>
        <w:trPr>
          <w:cantSplit/>
        </w:trPr>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Condition</w:t>
            </w:r>
          </w:p>
        </w:tc>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Restricted / Controlled</w:t>
            </w:r>
          </w:p>
        </w:tc>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Beneficial / Boosted</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Hypertension</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Sodium under 2,000 mg</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Potassium support</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Diabetes</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High glycemic load</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Dietary fiber</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Osteoporosis</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N/A</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Calcium above 1,200 mg plus Vitamin D/E support</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Anemia</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N/A</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Iron and Vitamin C synergy</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Kidney disease</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Excess potassium, sodium, and protein load</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Controlled safe nutrient range</w:t>
            </w:r>
          </w:p>
        </w:tc>
      </w:tr>
    </w:tbl>
    <w:p>
      <w:pPr>
        <w:jc w:val="center"/>
      </w:pPr>
      <w:r>
        <w:drawing>
          <wp:inline xmlns:a="http://schemas.openxmlformats.org/drawingml/2006/main" xmlns:pic="http://schemas.openxmlformats.org/drawingml/2006/picture">
            <wp:extent cx="5852160" cy="3162054"/>
            <wp:docPr id="3" name="Picture 3"/>
            <wp:cNvGraphicFramePr>
              <a:graphicFrameLocks noChangeAspect="1"/>
            </wp:cNvGraphicFramePr>
            <a:graphic>
              <a:graphicData uri="http://schemas.openxmlformats.org/drawingml/2006/picture">
                <pic:pic>
                  <pic:nvPicPr>
                    <pic:cNvPr id="0" name="figure_1_personalization_engine.png"/>
                    <pic:cNvPicPr/>
                  </pic:nvPicPr>
                  <pic:blipFill>
                    <a:blip r:embed="rId11"/>
                    <a:stretch>
                      <a:fillRect/>
                    </a:stretch>
                  </pic:blipFill>
                  <pic:spPr>
                    <a:xfrm>
                      <a:off x="0" y="0"/>
                      <a:ext cx="5852160" cy="3162054"/>
                    </a:xfrm>
                    <a:prstGeom prst="rect"/>
                  </pic:spPr>
                </pic:pic>
              </a:graphicData>
            </a:graphic>
          </wp:inline>
        </w:drawing>
      </w:r>
    </w:p>
    <w:p>
      <w:pPr>
        <w:spacing w:after="180"/>
        <w:jc w:val="center"/>
      </w:pPr>
      <w:r>
        <w:rPr>
          <w:rFonts w:ascii="Noto Sans" w:hAnsi="Noto Sans" w:cs="Noto Sans" w:eastAsia="Noto Sans"/>
          <w:i/>
          <w:color w:val="596579"/>
          <w:sz w:val="18"/>
        </w:rPr>
        <w:t>Figure 3. Profile-driven personalization loop from intake to clinical-style targets.</w:t>
      </w:r>
    </w:p>
    <w:p>
      <w:pPr>
        <w:pStyle w:val="Heading1"/>
        <w:spacing w:before="120" w:after="100"/>
      </w:pPr>
      <w:r>
        <w:rPr>
          <w:rFonts w:ascii="Noto Sans" w:hAnsi="Noto Sans" w:cs="Noto Sans" w:eastAsia="Noto Sans"/>
          <w:b/>
          <w:color w:val="2B66F6"/>
          <w:sz w:val="36"/>
        </w:rPr>
        <w:t>3. GraphRAG Knowledge Database in Neo4j</w:t>
      </w:r>
    </w:p>
    <w:p>
      <w:pPr>
        <w:spacing w:after="120" w:line="259" w:lineRule="auto"/>
      </w:pPr>
      <w:r>
        <w:rPr>
          <w:rFonts w:ascii="Noto Sans" w:hAnsi="Noto Sans" w:cs="Noto Sans" w:eastAsia="Noto Sans"/>
          <w:b w:val="0"/>
          <w:i w:val="0"/>
          <w:color w:val="122033"/>
          <w:sz w:val="20"/>
        </w:rPr>
        <w:t>To support retrieval-augmented generation, DesiDiet models foods, clinical guidelines, nutrients, categories, and pairings as nodes and relationships in Neo4j. The graph structure allows the generation pipeline to retrieve relevant restrictions and beneficial signals before constructing a meal plan.</w:t>
      </w:r>
    </w:p>
    <w:p>
      <w:pPr>
        <w:jc w:val="center"/>
      </w:pPr>
      <w:r>
        <w:drawing>
          <wp:inline xmlns:a="http://schemas.openxmlformats.org/drawingml/2006/main" xmlns:pic="http://schemas.openxmlformats.org/drawingml/2006/picture">
            <wp:extent cx="5852160" cy="3317026"/>
            <wp:docPr id="4" name="Picture 4"/>
            <wp:cNvGraphicFramePr>
              <a:graphicFrameLocks noChangeAspect="1"/>
            </wp:cNvGraphicFramePr>
            <a:graphic>
              <a:graphicData uri="http://schemas.openxmlformats.org/drawingml/2006/picture">
                <pic:pic>
                  <pic:nvPicPr>
                    <pic:cNvPr id="0" name="figure_3_graph_schema.png"/>
                    <pic:cNvPicPr/>
                  </pic:nvPicPr>
                  <pic:blipFill>
                    <a:blip r:embed="rId13"/>
                    <a:stretch>
                      <a:fillRect/>
                    </a:stretch>
                  </pic:blipFill>
                  <pic:spPr>
                    <a:xfrm>
                      <a:off x="0" y="0"/>
                      <a:ext cx="5852160" cy="3317026"/>
                    </a:xfrm>
                    <a:prstGeom prst="rect"/>
                  </pic:spPr>
                </pic:pic>
              </a:graphicData>
            </a:graphic>
          </wp:inline>
        </w:drawing>
      </w:r>
    </w:p>
    <w:p>
      <w:pPr>
        <w:spacing w:after="180"/>
        <w:jc w:val="center"/>
      </w:pPr>
      <w:r>
        <w:rPr>
          <w:rFonts w:ascii="Noto Sans" w:hAnsi="Noto Sans" w:cs="Noto Sans" w:eastAsia="Noto Sans"/>
          <w:i/>
          <w:color w:val="596579"/>
          <w:sz w:val="18"/>
        </w:rPr>
        <w:t>Figure 4. Neo4j GraphRAG schema showing nodes and relationship types.</w:t>
      </w:r>
    </w:p>
    <w:p>
      <w:r>
        <w:br w:type="page"/>
      </w:r>
    </w:p>
    <w:p>
      <w:pPr>
        <w:pStyle w:val="Heading2"/>
        <w:spacing w:before="60" w:after="100"/>
      </w:pPr>
      <w:r>
        <w:rPr>
          <w:rFonts w:ascii="Noto Sans" w:hAnsi="Noto Sans" w:cs="Noto Sans" w:eastAsia="Noto Sans"/>
          <w:b/>
          <w:color w:val="122033"/>
          <w:sz w:val="28"/>
        </w:rPr>
        <w:t>3.1 Node Model</w:t>
      </w:r>
    </w:p>
    <w:tbl>
      <w:tblPr>
        <w:tblW w:type="auto" w:w="0"/>
        <w:jc w:val="center"/>
        <w:tblLayout w:type="autofit"/>
        <w:tblLook w:firstColumn="1" w:firstRow="1" w:lastColumn="0" w:lastRow="0" w:noHBand="0" w:noVBand="1" w:val="04A0"/>
      </w:tblPr>
      <w:tblGrid>
        <w:gridCol w:w="3278"/>
        <w:gridCol w:w="3278"/>
        <w:gridCol w:w="3278"/>
      </w:tblGrid>
      <w:tr>
        <w:trPr>
          <w:cantSplit/>
        </w:trPr>
        <w:tc>
          <w:tcPr>
            <w:tcW w:type="dxa" w:w="3278"/>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Node Label</w:t>
            </w:r>
          </w:p>
        </w:tc>
        <w:tc>
          <w:tcPr>
            <w:tcW w:type="dxa" w:w="3278"/>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Core Properties</w:t>
            </w:r>
          </w:p>
        </w:tc>
        <w:tc>
          <w:tcPr>
            <w:tcW w:type="dxa" w:w="3278"/>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Role in the System</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:Food</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Identity: code, name_en, name_bn; nutrition: energy, protein, carbohydrate, fat, fiber, sodium, potassium, calcium, iron, vitamins C/A/E, and folate.</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Stores local food items and full nutrient profiles per 100g.</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:FoodGroup</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name_en</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Groups foods into categories such as cereals, grains, fish, legumes, meat, or vegetables.</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:MedicalCondition</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name_en</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Represents condition keys such as hypertension, diabetes, kidney disease, gout, osteoporosis, and anemia.</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:Nutrient</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name_en</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Represents nutrients that can be restricted, boosted, or used for pairings.</w:t>
            </w:r>
          </w:p>
        </w:tc>
      </w:tr>
    </w:tbl>
    <w:p>
      <w:pPr>
        <w:pStyle w:val="Heading2"/>
        <w:spacing w:before="60" w:after="100"/>
      </w:pPr>
      <w:r>
        <w:rPr>
          <w:rFonts w:ascii="Noto Sans" w:hAnsi="Noto Sans" w:cs="Noto Sans" w:eastAsia="Noto Sans"/>
          <w:b/>
          <w:color w:val="122033"/>
          <w:sz w:val="28"/>
        </w:rPr>
        <w:t>3.2 Relationship Model</w:t>
      </w:r>
    </w:p>
    <w:tbl>
      <w:tblPr>
        <w:tblW w:type="auto" w:w="0"/>
        <w:jc w:val="center"/>
        <w:tblLayout w:type="autofit"/>
        <w:tblLook w:firstColumn="1" w:firstRow="1" w:lastColumn="0" w:lastRow="0" w:noHBand="0" w:noVBand="1" w:val="04A0"/>
      </w:tblPr>
      <w:tblGrid>
        <w:gridCol w:w="4917"/>
        <w:gridCol w:w="4917"/>
      </w:tblGrid>
      <w:tr>
        <w:trPr>
          <w:cantSplit/>
        </w:trPr>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Component</w:t>
            </w:r>
          </w:p>
        </w:tc>
        <w:tc>
          <w:tcPr>
            <w:tcW w:type="dxa" w:w="4917"/>
            <w:vAlign w:val="center"/>
            <w:tcBorders>
              <w:top w:sz="6" w:val="single" w:color="CBD5E1"/>
              <w:left w:sz="6" w:val="single" w:color="CBD5E1"/>
              <w:bottom w:sz="6" w:val="single" w:color="CBD5E1"/>
              <w:right w:sz="6" w:val="single" w:color="CBD5E1"/>
            </w:tcBorders>
            <w:shd w:fill="2B66F6"/>
          </w:tcPr>
          <w:p>
            <w:pPr>
              <w:spacing w:after="40"/>
            </w:pPr>
            <w:r>
              <w:rPr>
                <w:rFonts w:ascii="Noto Sans" w:hAnsi="Noto Sans" w:cs="Noto Sans" w:eastAsia="Noto Sans"/>
                <w:b/>
                <w:color w:val="FFFFFF"/>
                <w:sz w:val="17"/>
              </w:rPr>
              <w:t>Purpose / Stored Information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(:MedicalCondition)-[:RESTRICTS]-&gt;(:Nutrient)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Controls nutrients such as sodium, potassium, protein, or glycemic load based on the user condition.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(:MedicalCondition)-[:BENEFITS_FROM]-&gt;(:Nutrient)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Boosts nutrients that benefit the condition profile, such as fiber, calcium, iron, or vitamin C.</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(:MedicalCondition)-[:CONTRAINDICATED]-&gt;(:Food)</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Excludes or penalizes foods that should be avoided for a given condition.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(:Food)-[:RICH_IN]-&gt;(:Nutrient)</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Links food items to strong nutrient sources.</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(:Food)-[:BELONGS_TO]-&gt;(:FoodGroup)</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Supports category-driven meal slot selection.</w:t>
            </w:r>
          </w:p>
        </w:tc>
      </w:tr>
      <w:tr>
        <w:trPr>
          <w:cantSplit/>
        </w:trPr>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(:Food)-[:PAIRS_WELL_WITH]-&gt;(:Food)</w:t>
            </w:r>
          </w:p>
        </w:tc>
        <w:tc>
          <w:tcPr>
            <w:tcW w:type="dxa" w:w="4917"/>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Supports synergistic pairings such as iron-rich foods with vitamin C sources.</w:t>
            </w:r>
          </w:p>
        </w:tc>
      </w:tr>
    </w:tbl>
    <w:p>
      <w:pPr>
        <w:pStyle w:val="Heading1"/>
        <w:spacing w:before="120" w:after="100"/>
      </w:pPr>
      <w:r>
        <w:rPr>
          <w:rFonts w:ascii="Noto Sans" w:hAnsi="Noto Sans" w:cs="Noto Sans" w:eastAsia="Noto Sans"/>
          <w:b/>
          <w:color w:val="2B66F6"/>
          <w:sz w:val="36"/>
        </w:rPr>
        <w:t>4. Retrieval and Meal Plan Personalization Pipeline</w:t>
      </w:r>
    </w:p>
    <w:p>
      <w:pPr>
        <w:spacing w:after="120" w:line="259" w:lineRule="auto"/>
      </w:pPr>
      <w:r>
        <w:rPr>
          <w:rFonts w:ascii="Noto Sans" w:hAnsi="Noto Sans" w:cs="Noto Sans" w:eastAsia="Noto Sans"/>
          <w:b w:val="0"/>
          <w:i w:val="0"/>
          <w:color w:val="122033"/>
          <w:sz w:val="20"/>
        </w:rPr>
        <w:t>When a user requests or regenerates a meal plan, the engine executes a multi-stage retrieval and construction algorithm. Each stage narrows the decision space, improves safety, and improves local relevance.</w:t>
      </w:r>
    </w:p>
    <w:p>
      <w:pPr>
        <w:jc w:val="center"/>
      </w:pPr>
      <w:r>
        <w:drawing>
          <wp:inline xmlns:a="http://schemas.openxmlformats.org/drawingml/2006/main" xmlns:pic="http://schemas.openxmlformats.org/drawingml/2006/picture">
            <wp:extent cx="5715000" cy="4511368"/>
            <wp:docPr id="5" name="Picture 5"/>
            <wp:cNvGraphicFramePr>
              <a:graphicFrameLocks noChangeAspect="1"/>
            </wp:cNvGraphicFramePr>
            <a:graphic>
              <a:graphicData uri="http://schemas.openxmlformats.org/drawingml/2006/picture">
                <pic:pic>
                  <pic:nvPicPr>
                    <pic:cNvPr id="0" name="figure_4_meal_pipeline.png"/>
                    <pic:cNvPicPr/>
                  </pic:nvPicPr>
                  <pic:blipFill>
                    <a:blip r:embed="rId14"/>
                    <a:stretch>
                      <a:fillRect/>
                    </a:stretch>
                  </pic:blipFill>
                  <pic:spPr>
                    <a:xfrm>
                      <a:off x="0" y="0"/>
                      <a:ext cx="5715000" cy="4511368"/>
                    </a:xfrm>
                    <a:prstGeom prst="rect"/>
                  </pic:spPr>
                </pic:pic>
              </a:graphicData>
            </a:graphic>
          </wp:inline>
        </w:drawing>
      </w:r>
    </w:p>
    <w:p>
      <w:pPr>
        <w:spacing w:after="180"/>
        <w:jc w:val="center"/>
      </w:pPr>
      <w:r>
        <w:rPr>
          <w:rFonts w:ascii="Noto Sans" w:hAnsi="Noto Sans" w:cs="Noto Sans" w:eastAsia="Noto Sans"/>
          <w:i/>
          <w:color w:val="596579"/>
          <w:sz w:val="18"/>
        </w:rPr>
        <w:t>Figure 5. End-to-end meal plan retrieval and personalization pipeline.</w:t>
      </w:r>
    </w:p>
    <w:p>
      <w:pPr>
        <w:pStyle w:val="Heading2"/>
        <w:spacing w:before="60" w:after="100"/>
      </w:pPr>
      <w:r>
        <w:rPr>
          <w:rFonts w:ascii="Noto Sans" w:hAnsi="Noto Sans" w:cs="Noto Sans" w:eastAsia="Noto Sans"/>
          <w:b/>
          <w:color w:val="122033"/>
          <w:sz w:val="28"/>
        </w:rPr>
        <w:t>4.1 Pipeline Stages</w:t>
      </w:r>
    </w:p>
    <w:p>
      <w:pPr>
        <w:spacing w:after="40"/>
        <w:ind w:left="216" w:hanging="216"/>
      </w:pPr>
      <w:r>
        <w:rPr>
          <w:rFonts w:ascii="Noto Sans" w:hAnsi="Noto Sans" w:cs="Noto Sans" w:eastAsia="Noto Sans"/>
          <w:color w:val="122033"/>
          <w:sz w:val="19"/>
        </w:rPr>
        <w:t>1. User enters a profile with biometrics, activity, goal, and medical condition information.</w:t>
      </w:r>
    </w:p>
    <w:p>
      <w:pPr>
        <w:spacing w:after="40"/>
        <w:ind w:left="216" w:hanging="216"/>
      </w:pPr>
      <w:r>
        <w:rPr>
          <w:rFonts w:ascii="Noto Sans" w:hAnsi="Noto Sans" w:cs="Noto Sans" w:eastAsia="Noto Sans"/>
          <w:color w:val="122033"/>
          <w:sz w:val="19"/>
        </w:rPr>
        <w:t>2. The calculation service computes calorie, macro, and micronutrient targets.</w:t>
      </w:r>
    </w:p>
    <w:p>
      <w:pPr>
        <w:spacing w:after="40"/>
        <w:ind w:left="216" w:hanging="216"/>
      </w:pPr>
      <w:r>
        <w:rPr>
          <w:rFonts w:ascii="Noto Sans" w:hAnsi="Noto Sans" w:cs="Noto Sans" w:eastAsia="Noto Sans"/>
          <w:color w:val="122033"/>
          <w:sz w:val="19"/>
        </w:rPr>
        <w:t>3. The GraphRAG service queries Neo4j for restricted nutrients, beneficial nutrients, contraindicated foods, and pairings.</w:t>
      </w:r>
    </w:p>
    <w:p>
      <w:pPr>
        <w:spacing w:after="40"/>
        <w:ind w:left="216" w:hanging="216"/>
      </w:pPr>
      <w:r>
        <w:rPr>
          <w:rFonts w:ascii="Noto Sans" w:hAnsi="Noto Sans" w:cs="Noto Sans" w:eastAsia="Noto Sans"/>
          <w:color w:val="122033"/>
          <w:sz w:val="19"/>
        </w:rPr>
        <w:t>4. The scoring engine excludes contraindicated items, boosts beneficial nutrient foods, and penalizes restricted nutrient foods.</w:t>
      </w:r>
    </w:p>
    <w:p>
      <w:pPr>
        <w:spacing w:after="40"/>
        <w:ind w:left="216" w:hanging="216"/>
      </w:pPr>
      <w:r>
        <w:rPr>
          <w:rFonts w:ascii="Noto Sans" w:hAnsi="Noto Sans" w:cs="Noto Sans" w:eastAsia="Noto Sans"/>
          <w:color w:val="122033"/>
          <w:sz w:val="19"/>
        </w:rPr>
        <w:t>5. The meal constructor selects staples and protein slots across cereals, grains, eggs, fish, legumes, and meat while respecting meal slot logic, such as avoiding meat at breakfast.</w:t>
      </w:r>
    </w:p>
    <w:p>
      <w:pPr>
        <w:spacing w:after="40"/>
        <w:ind w:left="216" w:hanging="216"/>
      </w:pPr>
      <w:r>
        <w:rPr>
          <w:rFonts w:ascii="Noto Sans" w:hAnsi="Noto Sans" w:cs="Noto Sans" w:eastAsia="Noto Sans"/>
          <w:color w:val="122033"/>
          <w:sz w:val="19"/>
        </w:rPr>
        <w:t>6. The bilingual naming adjuster converts raw food items into cooked/local names, for example turning boiled rice into rice meal naming and colocasia leaves into a mash-style item.</w:t>
      </w:r>
    </w:p>
    <w:p>
      <w:pPr>
        <w:spacing w:after="40"/>
        <w:ind w:left="216" w:hanging="216"/>
      </w:pPr>
      <w:r>
        <w:rPr>
          <w:rFonts w:ascii="Noto Sans" w:hAnsi="Noto Sans" w:cs="Noto Sans" w:eastAsia="Noto Sans"/>
          <w:color w:val="122033"/>
          <w:sz w:val="19"/>
        </w:rPr>
        <w:t>7. The LLM rationale layer streams a personalized explanation based on the generated meal logs and retrieved GraphRAG context.</w:t>
      </w:r>
    </w:p>
    <w:p>
      <w:r>
        <w:br w:type="page"/>
      </w:r>
    </w:p>
    <w:p>
      <w:pPr>
        <w:pStyle w:val="Heading2"/>
        <w:spacing w:before="60" w:after="100"/>
      </w:pPr>
      <w:r>
        <w:rPr>
          <w:rFonts w:ascii="Noto Sans" w:hAnsi="Noto Sans" w:cs="Noto Sans" w:eastAsia="Noto Sans"/>
          <w:b/>
          <w:color w:val="122033"/>
          <w:sz w:val="28"/>
        </w:rPr>
        <w:t>4.2 Localized Naming Examples</w:t>
      </w:r>
    </w:p>
    <w:p>
      <w:pPr>
        <w:spacing w:after="120" w:line="259" w:lineRule="auto"/>
      </w:pPr>
      <w:r>
        <w:rPr>
          <w:rFonts w:ascii="Noto Sans" w:hAnsi="Noto Sans" w:cs="Noto Sans" w:eastAsia="Noto Sans"/>
          <w:b w:val="0"/>
          <w:i w:val="0"/>
          <w:color w:val="122033"/>
          <w:sz w:val="20"/>
        </w:rPr>
        <w:t>The system preserves local food identity by converting raw item names into names that match how users think about cooked meals. Bengali examples should be rendered in a Bengali-capable font in production interfaces.</w:t>
      </w:r>
    </w:p>
    <w:tbl>
      <w:tblPr>
        <w:tblW w:type="auto" w:w="0"/>
        <w:jc w:val="center"/>
        <w:tblLayout w:type="autofit"/>
        <w:tblLook w:firstColumn="1" w:firstRow="1" w:lastColumn="0" w:lastRow="0" w:noHBand="0" w:noVBand="1" w:val="04A0"/>
      </w:tblPr>
      <w:tblGrid>
        <w:gridCol w:w="3278"/>
        <w:gridCol w:w="3278"/>
        <w:gridCol w:w="3278"/>
      </w:tblGrid>
      <w:tr>
        <w:trPr>
          <w:cantSplit/>
        </w:trPr>
        <w:tc>
          <w:tcPr>
            <w:tcW w:type="dxa" w:w="3278"/>
            <w:vAlign w:val="center"/>
            <w:tcBorders>
              <w:top w:sz="6" w:val="single" w:color="CBD5E1"/>
              <w:left w:sz="6" w:val="single" w:color="CBD5E1"/>
              <w:bottom w:sz="6" w:val="single" w:color="CBD5E1"/>
              <w:right w:sz="6" w:val="single" w:color="CBD5E1"/>
            </w:tcBorders>
            <w:shd w:fill="16A34A"/>
          </w:tcPr>
          <w:p>
            <w:pPr>
              <w:spacing w:after="40"/>
            </w:pPr>
            <w:r>
              <w:rPr>
                <w:rFonts w:ascii="Noto Sans" w:hAnsi="Noto Sans" w:cs="Noto Sans" w:eastAsia="Noto Sans"/>
                <w:b/>
                <w:color w:val="FFFFFF"/>
                <w:sz w:val="17"/>
              </w:rPr>
              <w:t>Raw Item</w:t>
            </w:r>
          </w:p>
        </w:tc>
        <w:tc>
          <w:tcPr>
            <w:tcW w:type="dxa" w:w="3278"/>
            <w:vAlign w:val="center"/>
            <w:tcBorders>
              <w:top w:sz="6" w:val="single" w:color="CBD5E1"/>
              <w:left w:sz="6" w:val="single" w:color="CBD5E1"/>
              <w:bottom w:sz="6" w:val="single" w:color="CBD5E1"/>
              <w:right w:sz="6" w:val="single" w:color="CBD5E1"/>
            </w:tcBorders>
            <w:shd w:fill="16A34A"/>
          </w:tcPr>
          <w:p>
            <w:pPr>
              <w:spacing w:after="40"/>
            </w:pPr>
            <w:r>
              <w:rPr>
                <w:rFonts w:ascii="Noto Sans" w:hAnsi="Noto Sans" w:cs="Noto Sans" w:eastAsia="Noto Sans"/>
                <w:b/>
                <w:color w:val="FFFFFF"/>
                <w:sz w:val="17"/>
              </w:rPr>
              <w:t>Adjusted Meal Name</w:t>
            </w:r>
          </w:p>
        </w:tc>
        <w:tc>
          <w:tcPr>
            <w:tcW w:type="dxa" w:w="3278"/>
            <w:vAlign w:val="center"/>
            <w:tcBorders>
              <w:top w:sz="6" w:val="single" w:color="CBD5E1"/>
              <w:left w:sz="6" w:val="single" w:color="CBD5E1"/>
              <w:bottom w:sz="6" w:val="single" w:color="CBD5E1"/>
              <w:right w:sz="6" w:val="single" w:color="CBD5E1"/>
            </w:tcBorders>
            <w:shd w:fill="16A34A"/>
          </w:tcPr>
          <w:p>
            <w:pPr>
              <w:spacing w:after="40"/>
            </w:pPr>
            <w:r>
              <w:rPr>
                <w:rFonts w:ascii="Noto Sans" w:hAnsi="Noto Sans" w:cs="Noto Sans" w:eastAsia="Noto Sans"/>
                <w:b/>
                <w:color w:val="FFFFFF"/>
                <w:sz w:val="17"/>
              </w:rPr>
              <w:t>Purpose</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Bengali" w:hAnsi="Noto Sans Bengali" w:cs="Noto Sans Bengali" w:eastAsia="Noto Sans Bengali"/>
                <w:color w:val="122033"/>
                <w:sz w:val="18"/>
              </w:rPr>
              <w:t>সিদ্ধ চাল</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Bengali" w:hAnsi="Noto Sans Bengali" w:cs="Noto Sans Bengali" w:eastAsia="Noto Sans Bengali"/>
                <w:color w:val="122033"/>
                <w:sz w:val="18"/>
              </w:rPr>
              <w:t>সিদ্ধ চালের ভাত</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Turns an ingredient name into a cooked rice dish label.</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Bengali" w:hAnsi="Noto Sans Bengali" w:cs="Noto Sans Bengali" w:eastAsia="Noto Sans Bengali"/>
                <w:color w:val="122033"/>
                <w:sz w:val="18"/>
              </w:rPr>
              <w:t>কচু পাতা</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Bengali" w:hAnsi="Noto Sans Bengali" w:cs="Noto Sans Bengali" w:eastAsia="Noto Sans Bengali"/>
                <w:color w:val="122033"/>
                <w:sz w:val="18"/>
              </w:rPr>
              <w:t>কচু পাতার ভর্তা</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Turns a leaf item into a familiar mash/preparation label.</w:t>
            </w:r>
          </w:p>
        </w:tc>
      </w:tr>
    </w:tbl>
    <w:p>
      <w:pPr>
        <w:pStyle w:val="Heading1"/>
        <w:spacing w:before="120" w:after="100"/>
      </w:pPr>
      <w:r>
        <w:rPr>
          <w:rFonts w:ascii="Noto Sans" w:hAnsi="Noto Sans" w:cs="Noto Sans" w:eastAsia="Noto Sans"/>
          <w:b/>
          <w:color w:val="2B66F6"/>
          <w:sz w:val="36"/>
        </w:rPr>
        <w:t>5. Key Platform Features and Technical Accomplishments</w:t>
      </w:r>
    </w:p>
    <w:p>
      <w:pPr>
        <w:spacing w:after="120" w:line="259" w:lineRule="auto"/>
      </w:pPr>
      <w:r>
        <w:rPr>
          <w:rFonts w:ascii="Noto Sans" w:hAnsi="Noto Sans" w:cs="Noto Sans" w:eastAsia="Noto Sans"/>
          <w:b w:val="0"/>
          <w:i w:val="0"/>
          <w:color w:val="122033"/>
          <w:sz w:val="20"/>
        </w:rPr>
        <w:t>Beyond meal generation, the platform includes reliability and user experience improvements that make daily usage safer and more polished.</w:t>
      </w:r>
    </w:p>
    <w:p>
      <w:pPr>
        <w:jc w:val="center"/>
      </w:pPr>
      <w:r>
        <w:drawing>
          <wp:inline xmlns:a="http://schemas.openxmlformats.org/drawingml/2006/main" xmlns:pic="http://schemas.openxmlformats.org/drawingml/2006/picture">
            <wp:extent cx="5852160" cy="3279412"/>
            <wp:docPr id="6" name="Picture 6"/>
            <wp:cNvGraphicFramePr>
              <a:graphicFrameLocks noChangeAspect="1"/>
            </wp:cNvGraphicFramePr>
            <a:graphic>
              <a:graphicData uri="http://schemas.openxmlformats.org/drawingml/2006/picture">
                <pic:pic>
                  <pic:nvPicPr>
                    <pic:cNvPr id="0" name="figure_5_platform_overview.png"/>
                    <pic:cNvPicPr/>
                  </pic:nvPicPr>
                  <pic:blipFill>
                    <a:blip r:embed="rId15"/>
                    <a:stretch>
                      <a:fillRect/>
                    </a:stretch>
                  </pic:blipFill>
                  <pic:spPr>
                    <a:xfrm>
                      <a:off x="0" y="0"/>
                      <a:ext cx="5852160" cy="3279412"/>
                    </a:xfrm>
                    <a:prstGeom prst="rect"/>
                  </pic:spPr>
                </pic:pic>
              </a:graphicData>
            </a:graphic>
          </wp:inline>
        </w:drawing>
      </w:r>
    </w:p>
    <w:p>
      <w:pPr>
        <w:spacing w:after="180"/>
        <w:jc w:val="center"/>
      </w:pPr>
      <w:r>
        <w:rPr>
          <w:rFonts w:ascii="Noto Sans" w:hAnsi="Noto Sans" w:cs="Noto Sans" w:eastAsia="Noto Sans"/>
          <w:i/>
          <w:color w:val="596579"/>
          <w:sz w:val="18"/>
        </w:rPr>
        <w:t>Figure 6. Reliability and experience layer around the DesiDiet core.</w:t>
      </w:r>
    </w:p>
    <w:p>
      <w:r>
        <w:br w:type="page"/>
      </w:r>
    </w:p>
    <w:tbl>
      <w:tblPr>
        <w:tblW w:type="auto" w:w="0"/>
        <w:jc w:val="center"/>
        <w:tblLayout w:type="autofit"/>
        <w:tblLook w:firstColumn="1" w:firstRow="1" w:lastColumn="0" w:lastRow="0" w:noHBand="0" w:noVBand="1" w:val="04A0"/>
      </w:tblPr>
      <w:tblGrid>
        <w:gridCol w:w="3278"/>
        <w:gridCol w:w="3278"/>
        <w:gridCol w:w="3278"/>
      </w:tblGrid>
      <w:tr>
        <w:trPr>
          <w:cantSplit/>
        </w:trPr>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Feature</w:t>
            </w:r>
          </w:p>
        </w:tc>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What It Does</w:t>
            </w:r>
          </w:p>
        </w:tc>
        <w:tc>
          <w:tcPr>
            <w:tcW w:type="dxa" w:w="3278"/>
            <w:vAlign w:val="center"/>
            <w:tcBorders>
              <w:top w:sz="6" w:val="single" w:color="CBD5E1"/>
              <w:left w:sz="6" w:val="single" w:color="CBD5E1"/>
              <w:bottom w:sz="6" w:val="single" w:color="CBD5E1"/>
              <w:right w:sz="6" w:val="single" w:color="CBD5E1"/>
            </w:tcBorders>
            <w:shd w:fill="7C3AED"/>
          </w:tcPr>
          <w:p>
            <w:pPr>
              <w:spacing w:after="40"/>
            </w:pPr>
            <w:r>
              <w:rPr>
                <w:rFonts w:ascii="Noto Sans" w:hAnsi="Noto Sans" w:cs="Noto Sans" w:eastAsia="Noto Sans"/>
                <w:b/>
                <w:color w:val="FFFFFF"/>
                <w:sz w:val="17"/>
              </w:rPr>
              <w:t>Value</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Timezone-safe logging and date locking</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Prevents users from checking off future dates as eaten while allowing clean past-log history views.</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Improves data integrity and prevents ahead-of-time completion errors.</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Multi-provider LLM fallback</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Uses OpenRouter free models for zero-cost operation and falls back to Groq Llama-3.3-70B clusters when the primary provider hits limits.</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Improves uptime and protects streaming explanations from provider rate limits.</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Redesigned single-day view</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Adds dark/light themes, single-day calendar widgets, snack tabs, real-time macro progress bars, and custom food search.</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Improves user engagement and makes daily nutrition tracking easier.</w:t>
            </w:r>
          </w:p>
        </w:tc>
      </w:tr>
      <w:tr>
        <w:trPr>
          <w:cantSplit/>
        </w:trPr>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Database slicing null-safety</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Uses safe string slicing and empty-value handling in streaming event logs.</w:t>
            </w:r>
          </w:p>
        </w:tc>
        <w:tc>
          <w:tcPr>
            <w:tcW w:type="dxa" w:w="3278"/>
            <w:vAlign w:val="center"/>
            <w:tcBorders>
              <w:top w:sz="6" w:val="single" w:color="CBD5E1"/>
              <w:left w:sz="6" w:val="single" w:color="CBD5E1"/>
              <w:bottom w:sz="6" w:val="single" w:color="CBD5E1"/>
              <w:right w:sz="6" w:val="single" w:color="CBD5E1"/>
            </w:tcBorders>
          </w:tcPr>
          <w:p>
            <w:pPr>
              <w:spacing w:after="40"/>
            </w:pPr>
            <w:r>
              <w:rPr>
                <w:rFonts w:ascii="Noto Sans" w:hAnsi="Noto Sans" w:cs="Noto Sans" w:eastAsia="Noto Sans"/>
                <w:color w:val="122033"/>
                <w:sz w:val="17"/>
              </w:rPr>
              <w:t>Prevents crashes during active streaming chat and logging events.</w:t>
            </w:r>
          </w:p>
        </w:tc>
      </w:tr>
    </w:tbl>
    <w:p>
      <w:pPr>
        <w:pStyle w:val="Heading1"/>
        <w:spacing w:before="120" w:after="100"/>
      </w:pPr>
      <w:r>
        <w:rPr>
          <w:rFonts w:ascii="Noto Sans" w:hAnsi="Noto Sans" w:cs="Noto Sans" w:eastAsia="Noto Sans"/>
          <w:b/>
          <w:color w:val="2B66F6"/>
          <w:sz w:val="36"/>
        </w:rPr>
        <w:t>6. Implementation Notes and Suggested Next Steps</w:t>
      </w:r>
    </w:p>
    <w:p>
      <w:pPr>
        <w:spacing w:after="120" w:line="259" w:lineRule="auto"/>
      </w:pPr>
      <w:r>
        <w:rPr>
          <w:rFonts w:ascii="Noto Sans" w:hAnsi="Noto Sans" w:cs="Noto Sans" w:eastAsia="Noto Sans"/>
          <w:b w:val="0"/>
          <w:i w:val="0"/>
          <w:color w:val="122033"/>
          <w:sz w:val="20"/>
        </w:rPr>
        <w:t>The current design is strong for a personalized nutrition platform. The following steps can make the documentation and implementation even more production-ready:</w:t>
      </w:r>
    </w:p>
    <w:p>
      <w:pPr>
        <w:pStyle w:val="ListBullet"/>
        <w:spacing w:after="40"/>
      </w:pPr>
      <w:r>
        <w:rPr>
          <w:rFonts w:ascii="Noto Sans" w:hAnsi="Noto Sans" w:cs="Noto Sans" w:eastAsia="Noto Sans"/>
          <w:color w:val="122033"/>
          <w:sz w:val="19"/>
        </w:rPr>
        <w:t>Define explicit validation rules for each medical condition, including threshold sources and clinical review status.</w:t>
      </w:r>
    </w:p>
    <w:p>
      <w:pPr>
        <w:pStyle w:val="ListBullet"/>
        <w:spacing w:after="40"/>
      </w:pPr>
      <w:r>
        <w:rPr>
          <w:rFonts w:ascii="Noto Sans" w:hAnsi="Noto Sans" w:cs="Noto Sans" w:eastAsia="Noto Sans"/>
          <w:color w:val="122033"/>
          <w:sz w:val="19"/>
        </w:rPr>
        <w:t>Version the Neo4j schema so future food properties or relationships can be migrated safely.</w:t>
      </w:r>
    </w:p>
    <w:p>
      <w:pPr>
        <w:pStyle w:val="ListBullet"/>
        <w:spacing w:after="40"/>
      </w:pPr>
      <w:r>
        <w:rPr>
          <w:rFonts w:ascii="Noto Sans" w:hAnsi="Noto Sans" w:cs="Noto Sans" w:eastAsia="Noto Sans"/>
          <w:color w:val="122033"/>
          <w:sz w:val="19"/>
        </w:rPr>
        <w:t>Track scoring weights for excluded, penalized, and boosted foods so recommendations remain explainable.</w:t>
      </w:r>
    </w:p>
    <w:p>
      <w:pPr>
        <w:pStyle w:val="ListBullet"/>
        <w:spacing w:after="40"/>
      </w:pPr>
      <w:r>
        <w:rPr>
          <w:rFonts w:ascii="Noto Sans" w:hAnsi="Noto Sans" w:cs="Noto Sans" w:eastAsia="Noto Sans"/>
          <w:color w:val="122033"/>
          <w:sz w:val="19"/>
        </w:rPr>
        <w:t>Add a user-facing explanation template that separates calculation rationale, food selection rationale, and medical-condition rationale.</w:t>
      </w:r>
    </w:p>
    <w:p>
      <w:pPr>
        <w:pStyle w:val="ListBullet"/>
        <w:spacing w:after="40"/>
      </w:pPr>
      <w:r>
        <w:rPr>
          <w:rFonts w:ascii="Noto Sans" w:hAnsi="Noto Sans" w:cs="Noto Sans" w:eastAsia="Noto Sans"/>
          <w:color w:val="122033"/>
          <w:sz w:val="19"/>
        </w:rPr>
        <w:t>Add QA tests for date-locking, provider fallback, empty values, and bilingual naming transformations.</w:t>
      </w:r>
    </w:p>
    <w:p>
      <w:pPr>
        <w:spacing w:after="120" w:line="259" w:lineRule="auto"/>
      </w:pPr>
      <w:r>
        <w:rPr>
          <w:rFonts w:ascii="Noto Sans" w:hAnsi="Noto Sans" w:cs="Noto Sans" w:eastAsia="Noto Sans"/>
          <w:b w:val="0"/>
          <w:i/>
          <w:color w:val="596579"/>
          <w:sz w:val="19"/>
        </w:rPr>
        <w:t>The design can be extended into an engineering specification, investor/product pitch, or implementation README depending on the intended audience.</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s="Noto Sans" w:eastAsia="Noto Sans"/>
        <w:color w:val="596579"/>
        <w:sz w:val="16"/>
      </w:rPr>
      <w:t>Prepared from user-provided DesiDiet system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s="Noto Sans" w:eastAsia="Noto Sans"/>
        <w:color w:val="596579"/>
        <w:sz w:val="17"/>
      </w:rPr>
      <w:t>DesiDiet AI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Bengal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Bengal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Bengal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DesiDiet AI Nutritional Intelligence System Documentation</dc:title>
  <dc:subject>Personalization, GraphRAG, Neo4j schema, and meal generation pipeline</dc:subject>
  <dc:creator>OpenAI</dc:creator>
  <cp:keywords>DesiDiet, GraphRAG, Neo4j, nutrition, meal planning, personalization</cp:keywords>
  <dc:description>generated by python-docx</dc:description>
  <cp:lastModifiedBy/>
  <cp:revision>1</cp:revision>
  <dcterms:created xsi:type="dcterms:W3CDTF">2013-12-23T23:15:00Z</dcterms:created>
  <dcterms:modified xsi:type="dcterms:W3CDTF">2013-12-23T23:15:00Z</dcterms:modified>
  <cp:category/>
</cp:coreProperties>
</file>