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B2545"/>
          <w:sz w:val="26"/>
        </w:rPr>
        <w:t>DesiDiet — Technical Reference Sheet</w:t>
      </w:r>
    </w:p>
    <w:p>
      <w:pPr>
        <w:spacing w:after="120"/>
        <w:jc w:val="center"/>
      </w:pPr>
      <w:r>
        <w:rPr>
          <w:color w:val="134B70"/>
          <w:sz w:val="18"/>
        </w:rPr>
        <w:t>AI-Native Clinical Nutrition &amp; Meal Planning | Infinity AI Buildfest 2026 @ BRAC University</w:t>
      </w:r>
    </w:p>
    <w:p>
      <w:pPr>
        <w:keepNext/>
        <w:spacing w:before="80" w:after="30"/>
        <w:pBdr>
          <w:bottom w:val="single" w:sz="6" w:space="2" w:color="0B2545"/>
        </w:pBdr>
      </w:pPr>
      <w:r>
        <w:rPr>
          <w:rFonts w:ascii="Calibri" w:hAnsi="Calibri"/>
          <w:b/>
          <w:color w:val="0B2545"/>
          <w:sz w:val="20"/>
        </w:rPr>
        <w:t>1. Core Dataset Ingestion Layer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Open Datasets: </w:t>
      </w:r>
      <w:r>
        <w:t>Grounded in National Dietary Guidelines (NDG 2025), Food Composition Tables (FCT), and Explainable GraphRAG study (Dindukurthi et al., 2026).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External APIs &amp; Systems: </w:t>
      </w:r>
      <w:r>
        <w:t>OpenAI API (Whisper/GPT-4o) and Pinecone Vector DB (recipe embeddings).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Internal Databases: </w:t>
      </w:r>
      <w:r>
        <w:t>PostgreSQL transaction store (via Prisma ORM) and Neo4j Clinical Knowledge Graph (food-nutrient-disease mapping).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Synthetic Verification: </w:t>
      </w:r>
      <w:r>
        <w:t>AST structures validate automatically generated pairing/compatibility matrices in local memory.</w:t>
      </w:r>
    </w:p>
    <w:p>
      <w:pPr>
        <w:keepNext/>
        <w:spacing w:before="80" w:after="30"/>
        <w:pBdr>
          <w:bottom w:val="single" w:sz="6" w:space="2" w:color="0B2545"/>
        </w:pBdr>
      </w:pPr>
      <w:r>
        <w:rPr>
          <w:rFonts w:ascii="Calibri" w:hAnsi="Calibri"/>
          <w:b/>
          <w:color w:val="0B2545"/>
          <w:sz w:val="20"/>
        </w:rPr>
        <w:t>2. Five-Layer AI System Architecture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L1 Presentation: </w:t>
      </w:r>
      <w:r>
        <w:t>React client delivering plans, trackers, and chats. Supports SSE streaming and WebRTC sessions.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L2 API Gateway: </w:t>
      </w:r>
      <w:r>
        <w:t>FastAPI managing REST endpoints, socket routing, and orchestrator triggers.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L3 Agent Orchestration: </w:t>
      </w:r>
      <w:r>
        <w:t>LangGraph StateGraph managing SafetyGuardNode, Pusti AI (clinical), and NutriSaathi (cooking) agents.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L4 Semantic Optimization: </w:t>
      </w:r>
      <w:r>
        <w:t>Redis cache, MD5 exact pre-hash check, and Jaccard token context pruning.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L5 Database &amp; Knowledge: </w:t>
      </w:r>
      <w:r>
        <w:t>Unified PostgreSQL schemas, Pinecone Vector RAG indices, and Neo4j Graph RAG nodes.</w:t>
      </w:r>
    </w:p>
    <w:p>
      <w:pPr>
        <w:keepNext/>
        <w:spacing w:before="80" w:after="30"/>
        <w:pBdr>
          <w:bottom w:val="single" w:sz="6" w:space="2" w:color="0B2545"/>
        </w:pBdr>
      </w:pPr>
      <w:r>
        <w:rPr>
          <w:rFonts w:ascii="Calibri" w:hAnsi="Calibri"/>
          <w:b/>
          <w:color w:val="0B2545"/>
          <w:sz w:val="20"/>
        </w:rPr>
        <w:t>3. Database Schema Layout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PostgreSQL Relational Schema: </w:t>
      </w:r>
      <w:r>
        <w:t>Stores UserProfile (demographics, goals), PlannerLogs (meal tables), HealthLogs (weight, BP, glucose charts), and MedicineReminders.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Neo4j Graph Database Schema: </w:t>
      </w:r>
      <w:r>
        <w:t>Models (:Food)-[:CONTAINS]-&gt;(:Nutrient) and (:Food)-[:CONTRAINDICATED_IN]-&gt;(:Disease) to filter out unsafe food inputs.</w:t>
      </w:r>
    </w:p>
    <w:p>
      <w:pPr>
        <w:keepNext/>
        <w:spacing w:before="80" w:after="30"/>
        <w:pBdr>
          <w:bottom w:val="single" w:sz="6" w:space="2" w:color="0B2545"/>
        </w:pBdr>
      </w:pPr>
      <w:r>
        <w:rPr>
          <w:rFonts w:ascii="Calibri" w:hAnsi="Calibri"/>
          <w:b/>
          <w:color w:val="0B2545"/>
          <w:sz w:val="20"/>
        </w:rPr>
        <w:t>4. Hybrid RAG Engines (Vector &amp; Graph)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0B2545"/>
          </w:tcPr>
          <w:p>
            <w:r>
              <w:rPr>
                <w:b/>
                <w:color w:val="FFFFFF"/>
                <w:sz w:val="16"/>
              </w:rPr>
              <w:t>RAG Vector</w:t>
            </w:r>
          </w:p>
        </w:tc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0B2545"/>
          </w:tcPr>
          <w:p>
            <w:r>
              <w:rPr>
                <w:b/>
                <w:color w:val="FFFFFF"/>
                <w:sz w:val="16"/>
              </w:rPr>
              <w:t>Vector RAG (Pinecone / Cooking)</w:t>
            </w:r>
          </w:p>
        </w:tc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0B2545"/>
          </w:tcPr>
          <w:p>
            <w:r>
              <w:rPr>
                <w:b/>
                <w:color w:val="FFFFFF"/>
                <w:sz w:val="16"/>
              </w:rPr>
              <w:t>Graph RAG (Neo4j / Clinical)</w:t>
            </w:r>
          </w:p>
        </w:tc>
      </w:tr>
      <w:tr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Data Source</w:t>
            </w:r>
          </w:p>
        </w:tc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Unstructured cooking manuals (Ragdata.md)</w:t>
            </w:r>
          </w:p>
        </w:tc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Structured tables, FCT, disease guidelines</w:t>
            </w:r>
          </w:p>
        </w:tc>
      </w:tr>
      <w:tr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Chunking</w:t>
            </w:r>
          </w:p>
        </w:tc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Cosine Semantic Chunking (0.65 threshold)</w:t>
            </w:r>
          </w:p>
        </w:tc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None (discrete entity nodes &amp; relations)</w:t>
            </w:r>
          </w:p>
        </w:tc>
      </w:tr>
      <w:tr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Embeddings</w:t>
            </w:r>
          </w:p>
        </w:tc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Fastembed all-MiniLM-L6-v2</w:t>
            </w:r>
          </w:p>
        </w:tc>
        <w:tc>
          <w:tcPr>
            <w:tcW w:type="dxa" w:w="3696"/>
            <w:tcMar>
              <w:top w:w="50" w:type="dxa"/>
              <w:bottom w:w="50" w:type="dxa"/>
              <w:left w:w="80" w:type="dxa"/>
              <w:right w:w="80" w:type="dxa"/>
            </w:tcMar>
            <w:shd w:fill="F4F6F9"/>
          </w:tcPr>
          <w:p>
            <w:r>
              <w:rPr>
                <w:sz w:val="16"/>
              </w:rPr>
              <w:t>Entity property matching &amp; graph traversal</w:t>
            </w:r>
          </w:p>
        </w:tc>
      </w:tr>
    </w:tbl>
    <w:p>
      <w:pPr>
        <w:keepNext/>
        <w:spacing w:before="80" w:after="30"/>
        <w:pBdr>
          <w:bottom w:val="single" w:sz="6" w:space="2" w:color="0B2545"/>
        </w:pBdr>
      </w:pPr>
      <w:r>
        <w:rPr>
          <w:rFonts w:ascii="Calibri" w:hAnsi="Calibri"/>
          <w:b/>
          <w:color w:val="0B2545"/>
          <w:sz w:val="20"/>
        </w:rPr>
        <w:t>5. Cost, Performance &amp; Token Optimization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Redis Caching: </w:t>
      </w:r>
      <w:r>
        <w:t>Sub-50ms query caching for semantic matches; MD5 exact pre-hash check to completely skip LLM API overhead.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Context Management: </w:t>
      </w:r>
      <w:r>
        <w:t>Sliding history window (6 turns) summarized via gpt-4o-mini; local Jaccard overlap trims long RAG context.</w:t>
      </w:r>
    </w:p>
    <w:p>
      <w:pPr>
        <w:keepNext/>
        <w:spacing w:before="80" w:after="30"/>
        <w:pBdr>
          <w:bottom w:val="single" w:sz="6" w:space="2" w:color="0B2545"/>
        </w:pBdr>
      </w:pPr>
      <w:r>
        <w:rPr>
          <w:rFonts w:ascii="Calibri" w:hAnsi="Calibri"/>
          <w:b/>
          <w:color w:val="0B2545"/>
          <w:sz w:val="20"/>
        </w:rPr>
        <w:t>6. Agent Orchestration, Safety &amp; Verification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LangGraph Agents: </w:t>
      </w:r>
      <w:r>
        <w:t>Pusti AI manages clinical diets and BMR targets; NutriSaathi manages cooking substitutes and local recipes.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Safety Node &amp; Guard: </w:t>
      </w:r>
      <w:r>
        <w:t>SafetyGuardNode screens for prompt injections, drug queries, and out-of-scope interactions prior to routing.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Input Verification: </w:t>
      </w:r>
      <w:r>
        <w:t>Raw image/voice inputs are mapped back to verified Neo4j database food codes before saving to PostgreSQL.</w:t>
      </w:r>
    </w:p>
    <w:p>
      <w:pPr>
        <w:keepNext/>
        <w:spacing w:before="80" w:after="30"/>
        <w:pBdr>
          <w:bottom w:val="single" w:sz="6" w:space="2" w:color="0B2545"/>
        </w:pBdr>
      </w:pPr>
      <w:r>
        <w:rPr>
          <w:rFonts w:ascii="Calibri" w:hAnsi="Calibri"/>
          <w:b/>
          <w:color w:val="0B2545"/>
          <w:sz w:val="20"/>
        </w:rPr>
        <w:t>7. Open Source Stack &amp; Tooling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Stack: </w:t>
      </w:r>
      <w:r>
        <w:t>LangGraph, Fastembed (Qdrant), Neo4j, Pinecone, Redis, PostgreSQL (via Prisma Client), and FastAPI.</w:t>
      </w:r>
    </w:p>
    <w:p>
      <w:pPr>
        <w:pStyle w:val="ListBullet"/>
        <w:spacing w:after="20" w:before="0"/>
        <w:ind w:left="216"/>
      </w:pPr>
      <w:r>
        <w:rPr>
          <w:b/>
        </w:rPr>
        <w:t xml:space="preserve">Monitoring: </w:t>
      </w:r>
      <w:r>
        <w:t>LangSmith for LLM API trace monitoring alongside Custom System &amp; Business Dashboard metrics.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40" w:before="0"/>
    </w:pPr>
    <w:rPr>
      <w:rFonts w:ascii="Calibri" w:hAnsi="Calibri"/>
      <w:color w:val="2828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