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[BKI-42LB -7/7 of 2019 ] </w:t>
        <w:br/>
        <w:t xml:space="preserve">(Public Prosecutor v. Adeline Casimir Yapp ) </w:t>
        <w:br/>
        <w:t xml:space="preserve">1 </w:t>
        <w:br/>
        <w:t xml:space="preserve"> MALAYSIA  </w:t>
        <w:br/>
        <w:t xml:space="preserve">IN THE HIGH COURT OF SABAH AND SARAWAK  </w:t>
        <w:br/>
        <w:t xml:space="preserve">AT KOTA KINABALU  </w:t>
        <w:br/>
        <w:t xml:space="preserve">CRIMINAL APPEAL NO. BKI -42LB -7/7 OF 2019  </w:t>
        <w:br/>
        <w:t xml:space="preserve">BETWEEN  5 </w:t>
        <w:br/>
        <w:t xml:space="preserve">PUBLIC PROSECUTOR            … APPELLANT  </w:t>
        <w:br/>
        <w:t xml:space="preserve">AND  </w:t>
        <w:br/>
        <w:t xml:space="preserve">  ADELINE CASIMIR YAPP                           … RESPOND ENT </w:t>
        <w:br/>
        <w:t xml:space="preserve"> </w:t>
        <w:br/>
        <w:t xml:space="preserve">GROUNDS OF DECISION  10 </w:t>
        <w:br/>
        <w:t xml:space="preserve"> </w:t>
        <w:br/>
        <w:t xml:space="preserve">INTRODUCTION   </w:t>
        <w:br/>
        <w:t xml:space="preserve">[1]       At the Session Court , there are two charges against the </w:t>
        <w:br/>
        <w:t xml:space="preserve">Respondent  under s.  408 of the Penal Code.  At the end of the </w:t>
        <w:br/>
        <w:t xml:space="preserve">Prosecution’s case, the trial Judge  discharged and acquitted the 15 </w:t>
        <w:br/>
        <w:t xml:space="preserve">Respondent  from the two charges without calling for her defence.  </w:t>
        <w:br/>
        <w:t xml:space="preserve"> </w:t>
        <w:br/>
        <w:t xml:space="preserve">[2]      Dissatisfied with  the order,  the Appellant now appeals to this Court </w:t>
        <w:br/>
        <w:t xml:space="preserve">on the 2nd Charge only. For the convenient of reference, the parties will </w:t>
        <w:br/>
        <w:t xml:space="preserve">be referred as they w ere in the Court below.  The 2nd Charge  is as 20 </w:t>
        <w:br/>
        <w:t xml:space="preserve">follows:  </w:t>
        <w:br/>
        <w:t xml:space="preserve">“Bahawa kamu pada 14hb September 2017, bertempat di                          </w:t>
        <w:br/>
        <w:t xml:space="preserve">FM Autohaus Sdn. Bhd ., di d alam daerah Kota Kinabalu, di dalam </w:t>
        <w:br/>
        <w:t xml:space="preserve">Negeri Sabah, sebagai seorang pengurus yang diamanahkan atas </w:t>
        <w:br/>
        <w:t xml:space="preserve">sifatnya dengan harta syarikat iaitu wang tunai bayaran pelanggan 25 </w:t>
        <w:br/>
        <w:t xml:space="preserve">berjumlah RM9452.40 telah melakukan pecah amanah  jenayah </w:t>
        <w:br/>
        <w:t xml:space="preserve">iaitu menjadikan harta itu bagi kegunaan sendiri dengan itu k amu </w:t>
        <w:br/>
        <w:t xml:space="preserve">telah melakukan satu kesalahan yang boleh dihukum d i bawah </w:t>
        <w:br/>
        <w:t xml:space="preserve">Seksyen 408 Kanun Kese ksaan” . </w:t>
      </w:r>
    </w:p>
    <w:p>
      <w:r>
        <w:br w:type="page"/>
      </w:r>
    </w:p>
    <w:p>
      <w:r>
        <w:t xml:space="preserve">[BKI-42LB -7/7 of 2019 ] </w:t>
        <w:br/>
        <w:t xml:space="preserve">(Public Prosecutor v. Adeline Casimir Yapp ) </w:t>
        <w:br/>
        <w:t xml:space="preserve">2 </w:t>
        <w:br/>
        <w:t xml:space="preserve"> THE LAW  </w:t>
        <w:br/>
        <w:t xml:space="preserve">[3]    Section 408 of the Penal Code  provides that:  </w:t>
        <w:br/>
        <w:t xml:space="preserve">  “Criminal breach of trust by clerk or servant ” </w:t>
        <w:br/>
        <w:t xml:space="preserve"> Whoever, being a clerk or servant, or employed as a clerk or </w:t>
        <w:br/>
        <w:t xml:space="preserve">servant, and being in any manner entrusted in  such capacity with 5 </w:t>
        <w:br/>
        <w:t xml:space="preserve">property, or with any dominion over property, commits criminal </w:t>
        <w:br/>
        <w:t xml:space="preserve">breach of trust in respect of that property, shall be punished with </w:t>
        <w:br/>
        <w:t xml:space="preserve">imprisonment for a term which shall not less than one year and </w:t>
        <w:br/>
        <w:t xml:space="preserve">more than fourteen years and with whipping , and shall also be </w:t>
        <w:br/>
        <w:t xml:space="preserve">liable to fine.  10 </w:t>
        <w:br/>
        <w:t xml:space="preserve"> </w:t>
        <w:br/>
        <w:t xml:space="preserve">[4] The ingredients under section 408 of the Penal Code can be </w:t>
        <w:br/>
        <w:t xml:space="preserve">referred to Ratantlal &amp; Dhirajlal’s Law of Crime.  A Commentary on </w:t>
        <w:br/>
        <w:t xml:space="preserve">the Indian Penal Code, 1860, 27th Edition Abridged &amp; Updated : </w:t>
        <w:br/>
        <w:t xml:space="preserve">     “The ingredients of section 408 are:  15 </w:t>
        <w:br/>
        <w:t xml:space="preserve">i. the accused must be a clerk or servant;  </w:t>
        <w:br/>
        <w:t xml:space="preserve">ii. he must have been entrusted with property, or dominion </w:t>
        <w:br/>
        <w:t xml:space="preserve">over property; and  </w:t>
        <w:br/>
        <w:t xml:space="preserve">iii. he must have committed criminal breach of tr ust in </w:t>
        <w:br/>
        <w:t xml:space="preserve">respect of such property . 20 </w:t>
        <w:br/>
        <w:t xml:space="preserve"> </w:t>
        <w:br/>
        <w:t xml:space="preserve">PETITION OF APPEAL  </w:t>
        <w:br/>
        <w:t xml:space="preserve">[5] In his Petition of Appea l, the Appellant put forth the following </w:t>
        <w:br/>
        <w:t xml:space="preserve">grounds (verbatim) : </w:t>
        <w:br/>
        <w:t xml:space="preserve">a. that the Learned Session Court Judge erred in law and in 25 </w:t>
        <w:br/>
        <w:t xml:space="preserve">fact in discharging and acquitting the Respondent for the                            </w:t>
        <w:br/>
        <w:t xml:space="preserve">2nd charge as sufficient evidence has been adduced to prove </w:t>
        <w:br/>
        <w:t xml:space="preserve">that the Respo ndent had committed the offence;  </w:t>
        <w:br/>
        <w:t xml:space="preserve"> </w:t>
      </w:r>
    </w:p>
    <w:p>
      <w:r>
        <w:br w:type="page"/>
      </w:r>
    </w:p>
    <w:p>
      <w:r>
        <w:t xml:space="preserve">[BKI-42LB -7/7 of 2019 ] </w:t>
        <w:br/>
        <w:t xml:space="preserve">(Public Prosecutor v. Adeline Casimir Yapp ) </w:t>
        <w:br/>
        <w:t xml:space="preserve">3 </w:t>
        <w:br/>
        <w:t xml:space="preserve"> b. that the Learned Session Court Judge erred in law and in </w:t>
        <w:br/>
        <w:t xml:space="preserve">fact when satisfied that the Appellant had failed to prove </w:t>
        <w:br/>
        <w:t xml:space="preserve">prima facie case against the Respon dent for the 2nd charge;  </w:t>
        <w:br/>
        <w:t xml:space="preserve"> </w:t>
        <w:br/>
        <w:t xml:space="preserve">c. that the Learned Session Court Judge erred in law and in 5 </w:t>
        <w:br/>
        <w:t xml:space="preserve">fact when failing to consider the evidence of PW8 that he did </w:t>
        <w:br/>
        <w:t xml:space="preserve">gave RM11,027.20 the Respondent;  </w:t>
        <w:br/>
        <w:t xml:space="preserve"> </w:t>
        <w:br/>
        <w:t xml:space="preserve">d. that the Learned Session Court Judge erred in law and in </w:t>
        <w:br/>
        <w:t xml:space="preserve">fact when failing to consider exhibit P4 that shows that the 10 </w:t>
        <w:br/>
        <w:t xml:space="preserve">amount of RM11.027.20 that PW8 had given to the </w:t>
        <w:br/>
        <w:t xml:space="preserve">Respondent;  and </w:t>
        <w:br/>
        <w:t xml:space="preserve"> </w:t>
        <w:br/>
        <w:t xml:space="preserve">e. that the Learned Session Court Judge erred in law and in </w:t>
        <w:br/>
        <w:t xml:space="preserve">fact when failing to consider that the Respondent had 15 </w:t>
        <w:br/>
        <w:t xml:space="preserve">received RM11.027.20 the Respondent failed to hand over </w:t>
        <w:br/>
        <w:t xml:space="preserve">the money to the company . </w:t>
        <w:br/>
        <w:t xml:space="preserve"> </w:t>
        <w:br/>
        <w:t xml:space="preserve">WHETHER PRIMA FACIE CASE HAD BEEN ADDUCED?  </w:t>
        <w:br/>
        <w:t xml:space="preserve">[6] In order to establish a prima facie case, the prosecution                           20 </w:t>
        <w:br/>
        <w:t xml:space="preserve">must adduce credible evidence proving each ingredient of the offence </w:t>
        <w:br/>
        <w:t xml:space="preserve">which if unrebutted or unexplained would warrant a conviction                               </w:t>
        <w:br/>
        <w:t xml:space="preserve">(s.180 of the Criminal Procedure Code ).  </w:t>
        <w:br/>
        <w:t xml:space="preserve"> </w:t>
        <w:br/>
        <w:t xml:space="preserve">[7] The test of prima facie case as pronounced in the case of                               25 </w:t>
        <w:br/>
        <w:t xml:space="preserve">PP v. Mohd. Radzi bin Abu Bakar  [2006] 1 CLJ 457  is as follows:  </w:t>
        <w:br/>
        <w:t xml:space="preserve">“… ask yourself the question: If I now call upon the accused </w:t>
        <w:br/>
        <w:t xml:space="preserve">to make his defence and he elects to remain silent am                         </w:t>
        <w:br/>
        <w:t xml:space="preserve">I prepared to convict him on the evidence now before me?                </w:t>
      </w:r>
    </w:p>
    <w:p>
      <w:r>
        <w:br w:type="page"/>
      </w:r>
    </w:p>
    <w:p>
      <w:r>
        <w:t xml:space="preserve">[BKI-42LB -7/7 of 2019 ] </w:t>
        <w:br/>
        <w:t xml:space="preserve">(Public Prosecutor v. Adeline Casimir Yapp ) </w:t>
        <w:br/>
        <w:t xml:space="preserve">4 </w:t>
        <w:br/>
        <w:t xml:space="preserve"> If the answer to that question is "Yes", then a pr ima facie case </w:t>
        <w:br/>
        <w:t xml:space="preserve">has been made out and the defence should be called. If the </w:t>
        <w:br/>
        <w:t xml:space="preserve">answer is "No" then, a prima facie case has not been made </w:t>
        <w:br/>
        <w:t xml:space="preserve">out and the accused should be acquitted” .  </w:t>
        <w:br/>
        <w:t xml:space="preserve"> 5 </w:t>
        <w:br/>
        <w:t xml:space="preserve">[8] I shall accordingly subject the evidence of the prosecution to the </w:t>
        <w:br/>
        <w:t xml:space="preserve">above test. </w:t>
        <w:br/>
        <w:t xml:space="preserve"> </w:t>
        <w:br/>
        <w:t xml:space="preserve">[9] The crux of the matter is whether the Prosecution had proof that </w:t>
        <w:br/>
        <w:t xml:space="preserve">the accused have committed criminal breach of trust in respect of 10 </w:t>
        <w:br/>
        <w:t xml:space="preserve">such property in the sum of RM9452.40.  </w:t>
        <w:br/>
        <w:t xml:space="preserve"> </w:t>
        <w:br/>
        <w:t xml:space="preserve"> [10] The Prosecution (Appellant) submit that the accused has been </w:t>
        <w:br/>
        <w:t xml:space="preserve">entrusted with the customer’s monies when the Accused receiv ed from </w:t>
        <w:br/>
        <w:t xml:space="preserve">PW 8. Moreover,  P4 (1) and (2)  clearly shows that the amount payable 15 </w:t>
        <w:br/>
        <w:t xml:space="preserve">RM11,027.20 that the cu stomer need to pay and  P4 (9) the invoice show </w:t>
        <w:br/>
        <w:t xml:space="preserve">that Total RM11,000. However, the Accused has failed to hand over the </w:t>
        <w:br/>
        <w:t xml:space="preserve">full amount that the customer’s paid to the Accused. The Accused only </w:t>
        <w:br/>
        <w:t xml:space="preserve">hand over the money for vehicle SAA8886W  in the sum of RM1,547.60 </w:t>
        <w:br/>
        <w:t xml:space="preserve">and the balance RM9452.40 had been breached by the Accu sed.  20 </w:t>
        <w:br/>
        <w:t xml:space="preserve"> </w:t>
        <w:br/>
        <w:t xml:space="preserve">[11]  The Prosecution called PW 8 with regards to  vehicle  SAA8886W  </w:t>
        <w:br/>
        <w:t xml:space="preserve">and rely to the following testimonies of PW  8 to support that the payment </w:t>
        <w:br/>
        <w:t xml:space="preserve">of RM11,027.20 was paid to the A ccused : </w:t>
        <w:br/>
        <w:t xml:space="preserve">(lines 16-19 at page 161  of Record of Appeal)  25 </w:t>
        <w:br/>
        <w:t xml:space="preserve">Q15 Adakah kamu masih ingat berapakah jumlah pembayaran </w:t>
        <w:br/>
        <w:t xml:space="preserve">bagi tujuan pembaikan SAA8886W tersebut?  </w:t>
        <w:br/>
        <w:t xml:space="preserve">A I cannot recall the exact amount tapi dalam amount </w:t>
        <w:br/>
        <w:t xml:space="preserve">RM11,000.00.  </w:t>
      </w:r>
    </w:p>
    <w:p>
      <w:r>
        <w:br w:type="page"/>
      </w:r>
    </w:p>
    <w:p>
      <w:r>
        <w:t xml:space="preserve">[BKI-42LB -7/7 of 2019 ] </w:t>
        <w:br/>
        <w:t xml:space="preserve">(Public Prosecutor v. Adeline Casimir Yapp ) </w:t>
        <w:br/>
        <w:t xml:space="preserve">5 </w:t>
        <w:br/>
        <w:t xml:space="preserve"> (lines  11-19 at page 162 of Record of Appeal)  </w:t>
        <w:br/>
        <w:t xml:space="preserve">Q18 Tadi kamu menyatakan kamu tidak ingat the exect amount </w:t>
        <w:br/>
        <w:t xml:space="preserve">yang kamu perlu dibuat pembayaran. Adakah kamu boleh </w:t>
        <w:br/>
        <w:t xml:space="preserve">sahkan jumlah tersebut adalah sepertimana dal am P4(2)?  </w:t>
        <w:br/>
        <w:t xml:space="preserve">A Jumlah P4(2) adalah benar.  5 </w:t>
        <w:br/>
        <w:t xml:space="preserve"> </w:t>
        <w:br/>
        <w:t xml:space="preserve">Q19 Boleh kamu beritahu kepada Mahkamah berapakah jumlah </w:t>
        <w:br/>
        <w:t xml:space="preserve">yang tertera pada P4(2) itu?  </w:t>
        <w:br/>
        <w:t xml:space="preserve">A RM11,027.20.  </w:t>
        <w:br/>
        <w:t xml:space="preserve"> 10 </w:t>
        <w:br/>
        <w:t xml:space="preserve">Q20 Boleh kamu sahkan  kepada Mahkamah kamu telah </w:t>
        <w:br/>
        <w:t xml:space="preserve">membuat pembayaran berjumlah RM11,027.20?  </w:t>
        <w:br/>
        <w:t xml:space="preserve">A Betul.  </w:t>
        <w:br/>
        <w:t xml:space="preserve"> </w:t>
        <w:br/>
        <w:t xml:space="preserve">(lines  1-7 at page 163 of Record of Appeal)  15 </w:t>
        <w:br/>
        <w:t xml:space="preserve">Q21 Kepada siapakah kamu telah membuat pembayaran </w:t>
        <w:br/>
        <w:t xml:space="preserve">RM11,027.20?  </w:t>
        <w:br/>
        <w:t xml:space="preserve">A Kepada Adeline . </w:t>
        <w:br/>
        <w:t xml:space="preserve"> </w:t>
        <w:br/>
        <w:t xml:space="preserve">Q22 Bagaimanakah cara pembayaran yang telah kamu b ayar 20 </w:t>
        <w:br/>
        <w:t xml:space="preserve">kepada Adeline sebany ak RM11,027.20?  </w:t>
        <w:br/>
        <w:t xml:space="preserve">A Secara tunai.  </w:t>
        <w:br/>
        <w:t xml:space="preserve"> </w:t>
        <w:br/>
        <w:t xml:space="preserve">[12] Referring to the above testimonies of PW  8, the learned Sessions </w:t>
        <w:br/>
        <w:t xml:space="preserve">Court Judge  in her grounds said that PW  8 was actually led to say that 25 </w:t>
        <w:br/>
        <w:t xml:space="preserve">he had paid RM 11,207.20 as stated in P 4(2). PW 8 first said that he </w:t>
        <w:br/>
        <w:t xml:space="preserve">cannot actually remember the  exact amount but he was shown P 4(2) </w:t>
        <w:br/>
        <w:t xml:space="preserve">which is the service estimate and he was asked if he had paid the sum </w:t>
        <w:br/>
        <w:t xml:space="preserve">of RM11,027.20, he said yes.  </w:t>
      </w:r>
    </w:p>
    <w:p>
      <w:r>
        <w:br w:type="page"/>
      </w:r>
    </w:p>
    <w:p>
      <w:r>
        <w:t xml:space="preserve">[BKI-42LB -7/7 of 2019 ] </w:t>
        <w:br/>
        <w:t xml:space="preserve">(Public Prosecutor v. Adeline Casimir Yapp ) </w:t>
        <w:br/>
        <w:t xml:space="preserve">6 </w:t>
        <w:br/>
        <w:t xml:space="preserve"> [13] I am in agreement with the learned Sessions Court Judge  that PW  </w:t>
        <w:br/>
        <w:t xml:space="preserve">8’s testimony must be treated with caution. This is in view of the fact that </w:t>
        <w:br/>
        <w:t xml:space="preserve">he has sent vehicle SAA8886W for rep airs to FM Autohaus Sdn. Bhd.  </w:t>
        <w:br/>
        <w:t xml:space="preserve">many times . </w:t>
        <w:br/>
        <w:t xml:space="preserve">(lines  6-11 at page 165 of the Record of Appeal)  5 </w:t>
        <w:br/>
        <w:t xml:space="preserve">Q1 Kamu boleh ingat berapa kali kamu pernah menghantar </w:t>
        <w:br/>
        <w:t xml:space="preserve">SAA8886W untuk repair di FM Auto Hous?  </w:t>
        <w:br/>
        <w:t xml:space="preserve">A Tidak.  </w:t>
        <w:br/>
        <w:t xml:space="preserve"> </w:t>
        <w:br/>
        <w:t xml:space="preserve">Q2 Maknanya kamu pernah hantar banyak kali?  10 </w:t>
        <w:br/>
        <w:t xml:space="preserve">A Ya. </w:t>
        <w:br/>
        <w:t xml:space="preserve"> </w:t>
        <w:br/>
        <w:t xml:space="preserve">[14] PW 8 also cannot  remember when he actually paid the sum </w:t>
        <w:br/>
        <w:t xml:space="preserve">RM11,027.20 to the Accused.  </w:t>
        <w:br/>
        <w:t xml:space="preserve">(lines 18 -20 at page 163 of the Record of Appeal)  15 </w:t>
        <w:br/>
        <w:t xml:space="preserve">Q25 Adakah kamu  masih ingat bilakah tarikh kamu membuat </w:t>
        <w:br/>
        <w:t xml:space="preserve">pembayaran kepada Adeline sebanyak RM11,027.20?  </w:t>
        <w:br/>
        <w:t xml:space="preserve">A Tidak ingat.  </w:t>
        <w:br/>
        <w:t xml:space="preserve"> </w:t>
        <w:br/>
        <w:t xml:space="preserve">[15] Further, PW  8’s testimony also contradicted the other witnesses’ 20 </w:t>
        <w:br/>
        <w:t xml:space="preserve">evidence on service estimate and Tax Invoice. As stated by PW  9             </w:t>
        <w:br/>
        <w:t xml:space="preserve">(anot her customer in relation to the 1st charge for vehicle no. JMW </w:t>
        <w:br/>
        <w:t xml:space="preserve">4883), you would only pay after you receive the Tax Invoice. The tax </w:t>
        <w:br/>
        <w:t xml:space="preserve">invoice will state the actual work that has been done on the car as per </w:t>
        <w:br/>
        <w:t xml:space="preserve">PW11’s evidence.  25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[BKI-42LB -7/7 of 2019 ] </w:t>
        <w:br/>
        <w:t xml:space="preserve">(Public Prosecutor v. Adeline Casimir Yapp ) </w:t>
        <w:br/>
        <w:t xml:space="preserve">7 </w:t>
        <w:br/>
        <w:t xml:space="preserve"> [16] So if PW  8 make any payme nt to  the Accused , he would have </w:t>
        <w:br/>
        <w:t xml:space="preserve">received a Tax Invoice first which would show the actual repair and work </w:t>
        <w:br/>
        <w:t xml:space="preserve">done on his car. And only after receiving the Tax Invoice would he pay </w:t>
        <w:br/>
        <w:t xml:space="preserve">the company. He will not pay the amount of RM11,000 .00 first. </w:t>
        <w:br/>
        <w:t xml:space="preserve"> 5 </w:t>
        <w:br/>
        <w:t xml:space="preserve">[17] Why would PW 8 pay the sum of RM11,027.20 when the                  </w:t>
        <w:br/>
        <w:t xml:space="preserve">Tax Invoice (which was supposed to be the final bill as confirmed by </w:t>
        <w:br/>
        <w:t xml:space="preserve">other witnesses) only stated the sum RM1,547.60 [Exhibit P 4 (3)] ?  </w:t>
        <w:br/>
        <w:t xml:space="preserve"> </w:t>
        <w:br/>
        <w:t xml:space="preserve">[18] And PW  8 himself had admitted that he received this Tax Invoice. 10 </w:t>
        <w:br/>
        <w:t xml:space="preserve">Why didn ’t he asked the Accused to why should he pay the sum of </w:t>
        <w:br/>
        <w:t xml:space="preserve">RM11,027.20 when the final bill is only RM1,547.60? No explanation at </w:t>
        <w:br/>
        <w:t xml:space="preserve">all was offered by the witness to clarify this contradiction. Surely he </w:t>
        <w:br/>
        <w:t xml:space="preserve">would not have paid the sum of RM11,027.20 when the final bill is only </w:t>
        <w:br/>
        <w:t xml:space="preserve">RM1,547.60.  15 </w:t>
        <w:br/>
        <w:t xml:space="preserve"> </w:t>
        <w:br/>
        <w:t xml:space="preserve">[19] There was no evidence to conclusively confirm that the amount of </w:t>
        <w:br/>
        <w:t xml:space="preserve">repair done on SAA8886W amounted to RM11,027.60 and the Job Card </w:t>
        <w:br/>
        <w:t xml:space="preserve">was not produced in Court.  </w:t>
        <w:br/>
        <w:t xml:space="preserve"> 20 </w:t>
        <w:br/>
        <w:t xml:space="preserve">[20] It is important to prove how much was actually payable to the </w:t>
        <w:br/>
        <w:t xml:space="preserve">Company in respect of SAA8886V. If it is the prosecution’s case that the </w:t>
        <w:br/>
        <w:t xml:space="preserve">sum of RM11,027.20 was payable to the company, then the prosecution </w:t>
        <w:br/>
        <w:t xml:space="preserve">must prove that the amount of repair done on SAA8886W was indeed </w:t>
        <w:br/>
        <w:t xml:space="preserve">RM11,027.20. It must be remembered that the charge  stated the money 25 </w:t>
        <w:br/>
        <w:t xml:space="preserve">purportedly taken by the Respondent as “harta syarikat”. So the </w:t>
        <w:br/>
        <w:t xml:space="preserve">prosecution must prove that the money belonged to FM Autohaus     </w:t>
        <w:br/>
        <w:t xml:space="preserve">Sdn. Bhd. . The prosecution must prove that the amount of repair done </w:t>
        <w:br/>
        <w:t xml:space="preserve">on SAA8886V was indeed RM11,027.20.  </w:t>
      </w:r>
    </w:p>
    <w:p>
      <w:r>
        <w:br w:type="page"/>
      </w:r>
    </w:p>
    <w:p>
      <w:r>
        <w:t xml:space="preserve">[BKI-42LB -7/7 of 2019 ] </w:t>
        <w:br/>
        <w:t xml:space="preserve">(Public Prosecutor v. Adeline Casimir Yapp ) </w:t>
        <w:br/>
        <w:t xml:space="preserve">8 </w:t>
        <w:br/>
        <w:t xml:space="preserve"> [21] Clearly , there is a material gap in the Prosecution’s case. I t has </w:t>
        <w:br/>
        <w:t xml:space="preserve">been confirmed by many of the prosecution’s own witnesses that the                   </w:t>
        <w:br/>
        <w:t xml:space="preserve">Job Card and the technician report would conclusively confirm what kind </w:t>
        <w:br/>
        <w:t xml:space="preserve">or work was done on the said vehic le and what kind of parts were </w:t>
        <w:br/>
        <w:t xml:space="preserve">installed in the car.  5 </w:t>
        <w:br/>
        <w:t xml:space="preserve"> </w:t>
        <w:br/>
        <w:t xml:space="preserve">[22] The CEO of FM Autohaus  Sdn. Bhd. , PW  11 had confirmed that a </w:t>
        <w:br/>
        <w:t xml:space="preserve">service estimate is not a final bill.  </w:t>
        <w:br/>
        <w:t xml:space="preserve">(lines  1-8 at page 231 of Record of Appeal)  </w:t>
        <w:br/>
        <w:t xml:space="preserve">Q13 Setuju kalau  saya katakan tax invoice/final invoi ce ini 10 </w:t>
        <w:br/>
        <w:t xml:space="preserve">hend aklah berdasarkan work done yang telah dibuat ke atas </w:t>
        <w:br/>
        <w:t xml:space="preserve">kereta tersebut?  </w:t>
        <w:br/>
        <w:t xml:space="preserve">A Setuju.  </w:t>
        <w:br/>
        <w:t xml:space="preserve"> </w:t>
        <w:br/>
        <w:t xml:space="preserve">Q14 Maknanya jumlah di dalam tax invoice tidak semestinya 15 </w:t>
        <w:br/>
        <w:t xml:space="preserve">sama dengan jumlah di dalam service estimate, setuju?  </w:t>
        <w:br/>
        <w:t xml:space="preserve">A Setuju.  </w:t>
        <w:br/>
        <w:t xml:space="preserve"> </w:t>
        <w:br/>
        <w:t xml:space="preserve">[23] PW11 had also confirmed that P 4(1) and (2)  are the service </w:t>
        <w:br/>
        <w:t xml:space="preserve">estimate for SAA886W.  20 </w:t>
        <w:br/>
        <w:t xml:space="preserve">(lines  1-4 at page 204 of Record of Appeal)  </w:t>
        <w:br/>
        <w:t xml:space="preserve">Q41 Saya tunjukan kamu kepada P4(1) dan (2). Dokumen </w:t>
        <w:br/>
        <w:t xml:space="preserve">service estimate ini adalah dokumen apa?  </w:t>
        <w:br/>
        <w:t xml:space="preserve">A Ini adalah dokumen service estimate  yang telah dikeluarkan </w:t>
        <w:br/>
        <w:t xml:space="preserve">untuk kereta BMW E60 SAA8886W . 25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[BKI-42LB -7/7 of 2019 ] </w:t>
        <w:br/>
        <w:t xml:space="preserve">(Public Prosecutor v. Adeline Casimir Yapp ) </w:t>
        <w:br/>
        <w:t xml:space="preserve">9 </w:t>
        <w:br/>
        <w:t xml:space="preserve"> [24] To this t he learned Sessions Court Judge  had rightly stated in he r </w:t>
        <w:br/>
        <w:t xml:space="preserve">grounds that Job card and technician  report would conclusively  </w:t>
        <w:br/>
        <w:t xml:space="preserve">confirmed what kind or work was done on the said vehicle and what </w:t>
        <w:br/>
        <w:t xml:space="preserve">parts were install in the car to determine the final bill invoice that was </w:t>
        <w:br/>
        <w:t xml:space="preserve">paid by PW  8. To this she referred to the testimonies of PW  11: 5 </w:t>
        <w:br/>
        <w:t xml:space="preserve">(lines  6-9 at page 229  of Record of Appeal)  </w:t>
        <w:br/>
        <w:t xml:space="preserve">Q5 Bila se suatu kereta dihantar ke FM Auto Haus untuk </w:t>
        <w:br/>
        <w:t xml:space="preserve">dibaikpulih, satu job card akan dikeluarkan untuk kereta </w:t>
        <w:br/>
        <w:t xml:space="preserve">tersebut, setuju?  </w:t>
        <w:br/>
        <w:t xml:space="preserve">A Ya, betul.  10 </w:t>
        <w:br/>
        <w:t xml:space="preserve"> </w:t>
        <w:br/>
        <w:t xml:space="preserve">(lines 18 -22 at page 229 of Record of Appeal)  </w:t>
        <w:br/>
        <w:t xml:space="preserve">Q8 Setelah pembaikanpulih/repair telah dibuat ke atas sesuatu </w:t>
        <w:br/>
        <w:t xml:space="preserve">kereta maka technician  yang membuat repair tersebut </w:t>
        <w:br/>
        <w:t xml:space="preserve">hendaklah mengisi job card tentang kerja  pembaikanp ulih 15 </w:t>
        <w:br/>
        <w:t xml:space="preserve">yang telah dibuat ataupun work done, setuju?  </w:t>
        <w:br/>
        <w:t xml:space="preserve">A  Setuju.  </w:t>
        <w:br/>
        <w:t xml:space="preserve"> </w:t>
        <w:br/>
        <w:t xml:space="preserve">(lines 8 -12 at page 230 of Record of Appeal)  </w:t>
        <w:br/>
        <w:t xml:space="preserve">Q10  Dan jikalau technician tersebut memasukkan parts ke dalam 20 </w:t>
        <w:br/>
        <w:t xml:space="preserve">kereta ya ng dibaiki maka technician tersebut hend aklah </w:t>
        <w:br/>
        <w:t xml:space="preserve">memcatatkan sedemikian seb agai work done didalam job </w:t>
        <w:br/>
        <w:t xml:space="preserve">card?  </w:t>
        <w:br/>
        <w:t xml:space="preserve">A Ya </w:t>
        <w:br/>
        <w:t xml:space="preserve">(lines 20 -22 at page 230 of Record of Appeal)  25 </w:t>
        <w:br/>
        <w:t xml:space="preserve">Q12 Tetapi apa yang technician repair atau masukkan parts ke </w:t>
        <w:br/>
        <w:t xml:space="preserve">dalam kereta contohnya hendaklah dicatit di dalam job card?  </w:t>
        <w:br/>
        <w:t xml:space="preserve">A Setuju.  </w:t>
        <w:br/>
        <w:t xml:space="preserve"> </w:t>
      </w:r>
    </w:p>
    <w:p>
      <w:r>
        <w:br w:type="page"/>
      </w:r>
    </w:p>
    <w:p>
      <w:r>
        <w:t xml:space="preserve">[BKI-42LB -7/7 of 2019 ] </w:t>
        <w:br/>
        <w:t xml:space="preserve">(Public Prosecutor v. Adeline Casimir Yapp ) </w:t>
        <w:br/>
        <w:t xml:space="preserve">10 </w:t>
        <w:br/>
        <w:t xml:space="preserve"> (lines 18 -22 at page 231 of Record of Appeal)  </w:t>
        <w:br/>
        <w:t xml:space="preserve">Q17 Untuk megesahkan apakah repair yang telah dibuat dan </w:t>
        <w:br/>
        <w:t xml:space="preserve">apakah parts yang telah dimasukkan ke dalam kereta, </w:t>
        <w:br/>
        <w:t xml:space="preserve">dokumen yang terbaik untuk mendapatkan maklumat ini </w:t>
        <w:br/>
        <w:t xml:space="preserve">adalah job card, setuju?  5 </w:t>
        <w:br/>
        <w:t xml:space="preserve">A Setuju.  </w:t>
        <w:br/>
        <w:t xml:space="preserve"> </w:t>
        <w:br/>
        <w:t xml:space="preserve">[25] Therefore, t he Job Card and the t echnician repo rt is crucial as it </w:t>
        <w:br/>
        <w:t xml:space="preserve">would have confirmed  what kind of work was done and therefore how </w:t>
        <w:br/>
        <w:t xml:space="preserve">much is truly payable to the Company FM Autohaus Sdn. Bhd.                     10 </w:t>
        <w:br/>
        <w:t xml:space="preserve">The amount of RM11,027.20 in P4(2) as the document shows is only </w:t>
        <w:br/>
        <w:t xml:space="preserve">service estimate  for SAA8886W . </w:t>
        <w:br/>
        <w:t xml:space="preserve"> </w:t>
        <w:br/>
        <w:t xml:space="preserve">[26] As the P rosecut ion failed to adduce the Job Card and the </w:t>
        <w:br/>
        <w:t xml:space="preserve">Technician Report for vehicle SAA8886W, the learned Sessions Court 15 </w:t>
        <w:br/>
        <w:t xml:space="preserve">Judge  was right in invoking adverse inference under Section 114(g) of </w:t>
        <w:br/>
        <w:t xml:space="preserve">the Evidence Act against the prosecution for failing to produce these two </w:t>
        <w:br/>
        <w:t xml:space="preserve">documents.  </w:t>
        <w:br/>
        <w:t xml:space="preserve"> </w:t>
        <w:br/>
        <w:t xml:space="preserve">[27] The burden is always on the prosecution to prove its case beyond 20 </w:t>
        <w:br/>
        <w:t xml:space="preserve">reasonable doubt. As stated above, t here are doubts in this case as to </w:t>
        <w:br/>
        <w:t xml:space="preserve">the sum of money stated in the 2nd charge is given to the Accused and </w:t>
        <w:br/>
        <w:t xml:space="preserve">also whether the money belonged to the Company. There is no </w:t>
        <w:br/>
        <w:t xml:space="preserve">evidence which can conclusively confirmed both facts.  </w:t>
        <w:br/>
        <w:t xml:space="preserve"> 25 </w:t>
        <w:br/>
        <w:t xml:space="preserve"> </w:t>
        <w:br/>
        <w:t xml:space="preserve"> </w:t>
        <w:br/>
        <w:t xml:space="preserve"> </w:t>
      </w:r>
    </w:p>
    <w:p>
      <w:r>
        <w:br w:type="page"/>
      </w:r>
    </w:p>
    <w:p>
      <w:r>
        <w:t xml:space="preserve">[BKI-42LB -7/7 of 2019 ] </w:t>
        <w:br/>
        <w:t xml:space="preserve">(Public Prosecutor v. Adeline Casimir Yapp ) </w:t>
        <w:br/>
        <w:t xml:space="preserve">11 </w:t>
        <w:br/>
        <w:t xml:space="preserve"> [28] At the end of the prosecution case, if a prima facie had been made </w:t>
        <w:br/>
        <w:t xml:space="preserve">out and the Accused wishes to remain silent, then the evidence must be </w:t>
        <w:br/>
        <w:t xml:space="preserve">enough for the court to convict the Accused. That means after the </w:t>
        <w:br/>
        <w:t xml:space="preserve">prosecution case, there shouldn’t be any doubts in the prosecution case. </w:t>
        <w:br/>
        <w:t xml:space="preserve">If there are doubts, then the Accused must be acquitted.  5 </w:t>
        <w:br/>
        <w:t xml:space="preserve"> </w:t>
        <w:br/>
        <w:t xml:space="preserve">CONCLUSION  </w:t>
        <w:br/>
        <w:t xml:space="preserve">[29] For the above reasons, t he order of discharged and acquitted by </w:t>
        <w:br/>
        <w:t xml:space="preserve">the learned Sessions Court Judge  for the 2nd charge is affirmed.  The </w:t>
        <w:br/>
        <w:t xml:space="preserve">appeal is therefore dismissed.  10 </w:t>
        <w:br/>
        <w:t xml:space="preserve"> </w:t>
        <w:br/>
        <w:t xml:space="preserve"> </w:t>
        <w:br/>
        <w:t xml:space="preserve"> </w:t>
        <w:br/>
        <w:t xml:space="preserve">-sgd- </w:t>
        <w:br/>
        <w:t xml:space="preserve">AMELATI PARNELL  15 </w:t>
        <w:br/>
        <w:t xml:space="preserve">Judicial Commissioner  </w:t>
        <w:br/>
        <w:t xml:space="preserve">High Court Kota Kinabalu  </w:t>
        <w:br/>
        <w:t xml:space="preserve">Sabah  </w:t>
        <w:br/>
        <w:t xml:space="preserve"> </w:t>
        <w:br/>
        <w:t xml:space="preserve">Date of Delivering of Ruling: 26rd April 2021  20 </w:t>
        <w:br/>
        <w:t xml:space="preserve"> </w:t>
        <w:br/>
        <w:t xml:space="preserve"> </w:t>
        <w:br/>
        <w:t xml:space="preserve"> </w:t>
        <w:br/>
        <w:t xml:space="preserve">For the Appellant:  Mr. Rustam Bin Sanip  </w:t>
        <w:br/>
        <w:t xml:space="preserve">    Deputy Public Prosecutor  25 </w:t>
        <w:br/>
        <w:t xml:space="preserve">    Jabatan Peguam Negara, Negeri Sabah  </w:t>
        <w:br/>
        <w:t xml:space="preserve">    Kota Kinabalu, Sabah  </w:t>
        <w:br/>
        <w:t xml:space="preserve">For the Respondent:  Mr. Rizwandean Bukhary Bin M Borhan  </w:t>
        <w:br/>
        <w:t xml:space="preserve">Messrs. Yusri &amp; Rizwan  </w:t>
        <w:br/>
        <w:t xml:space="preserve">    Sabah  30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