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 </w:t>
        <w:br/>
        <w:t xml:space="preserve"> MALAYSIA  5 </w:t>
        <w:br/>
        <w:t xml:space="preserve">IN THE HIGH COURT OF SABAH AND SARAWAK  </w:t>
        <w:br/>
        <w:t xml:space="preserve">AT KOTA KINABALU  </w:t>
        <w:br/>
        <w:t xml:space="preserve">CRIMINAL APPEAL NO.: BKI -42S-13/11 OF 2019  </w:t>
        <w:br/>
        <w:t xml:space="preserve">BETWEEN  </w:t>
        <w:br/>
        <w:t xml:space="preserve">CARLSTEN FREDDIE JAPAT     ... APPELLANT  10 </w:t>
        <w:br/>
        <w:t xml:space="preserve">AND  </w:t>
        <w:br/>
        <w:t xml:space="preserve">PUBLIC PROSECUTOR      ... RESPONDENT  </w:t>
        <w:br/>
        <w:t xml:space="preserve"> </w:t>
        <w:br/>
        <w:t xml:space="preserve">GROUNDS OF DECISION  </w:t>
        <w:br/>
        <w:t xml:space="preserve"> 15 </w:t>
        <w:br/>
        <w:t xml:space="preserve">INTRODUCTION  </w:t>
        <w:br/>
        <w:t xml:space="preserve">[1] The A ppellant  in this case is charged with another person still at </w:t>
        <w:br/>
        <w:t xml:space="preserve">large for an offence under section 395 read together with section 34 of </w:t>
        <w:br/>
        <w:t xml:space="preserve">the Penal Code.  At the  end of whole trial, the Appellant  was found guilty </w:t>
        <w:br/>
        <w:t xml:space="preserve">and sentenced to 16 years’ imprisonment from date of conviction and 20 </w:t>
        <w:br/>
        <w:t xml:space="preserve">one stroke of whipping.  </w:t>
        <w:br/>
        <w:t xml:space="preserve">[2] Dissatisfied, the A ppellant appealed against  the conviction and </w:t>
        <w:br/>
        <w:t xml:space="preserve">sentenc e handed down by the learned SCJ  on the 11th November 2019 . </w:t>
        <w:br/>
        <w:t xml:space="preserve">For the convenient of reference, the parties will be referred as they were </w:t>
        <w:br/>
        <w:t xml:space="preserve">in the Sessions Court.  25 </w:t>
        <w:br/>
        <w:t xml:space="preserve">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 </w:t>
        <w:br/>
        <w:t xml:space="preserve"> [3] The Charge preferred against the Accused is  as follows:  5 </w:t>
        <w:br/>
        <w:t xml:space="preserve">AMENDED CHARGE [Exhibit P1]  </w:t>
        <w:br/>
        <w:t xml:space="preserve">“Bahawa kamu bersama -sama seorang lagi rakan yang masih </w:t>
        <w:br/>
        <w:t xml:space="preserve">bebas pada 17 Oktober 2018 jam lebih kurang 2.30 pagi, </w:t>
        <w:br/>
        <w:t xml:space="preserve">bertempat di Kedai No. 2, Tapak Tamu, Pekan Kuala Penyu, di </w:t>
        <w:br/>
        <w:t xml:space="preserve">daerah Beaufort di dalam negeri Sabah, telah melakukan rompak 10 </w:t>
        <w:br/>
        <w:t xml:space="preserve">berkumpulan dengan menga mbil harta berupa sebuah telefon </w:t>
        <w:br/>
        <w:t xml:space="preserve">bimbit jenama Oppo F7, sebuah telefon bimbit jenama Vivo Y81, </w:t>
        <w:br/>
        <w:t xml:space="preserve">sebuah telefon bimbit jenama Samsung J6, sebuah telefon bimbit </w:t>
        <w:br/>
        <w:t xml:space="preserve">jenama Samsung Tab 3, sebuah telefon Lenovo putih,                  </w:t>
        <w:br/>
        <w:t xml:space="preserve">sebuah telefon bimbit jenama S amsung J1, wang tunai                     15 </w:t>
        <w:br/>
        <w:t xml:space="preserve">lebih kurang RM3,000.00 dan rantai leher emas milik Jerry Teo </w:t>
        <w:br/>
        <w:t xml:space="preserve">(No. KP: 890903 -49-5137). Oleh yang demikian, kamu telah </w:t>
        <w:br/>
        <w:t xml:space="preserve">melakukan suatu kesalahan yang boleh dihukum di bawah </w:t>
        <w:br/>
        <w:t xml:space="preserve">Seksyen 395 Kanun Keseksaan dibaca bersam a Seksyen 34 </w:t>
        <w:br/>
        <w:t xml:space="preserve">Kanun yang sama. ” 20 </w:t>
        <w:br/>
        <w:t xml:space="preserve"> </w:t>
        <w:br/>
        <w:t xml:space="preserve">BRIEF FACTS  </w:t>
        <w:br/>
        <w:t xml:space="preserve">[4] The Prosecution called six ( 6) witnesses. During the trial, the </w:t>
        <w:br/>
        <w:t xml:space="preserve">Prosecution adduced through its material witnesses the following facts:  </w:t>
        <w:br/>
        <w:t xml:space="preserve">[i] The Complainant/Victim , Jerry Teo (PW  4) aged 30 years 25 </w:t>
        <w:br/>
        <w:t xml:space="preserve">old, was at his shop at Kingfisher Cafe Kuala Penyu.                 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 </w:t>
        <w:br/>
        <w:t xml:space="preserve"> He testified that on 17 October 2018 at about 2.30  a.m. he 5 </w:t>
        <w:br/>
        <w:t xml:space="preserve">heard somebody knocking on his door and saw two ( 2) </w:t>
        <w:br/>
        <w:t xml:space="preserve">persons who later introduced themselves as police officer s </w:t>
        <w:br/>
        <w:t xml:space="preserve">from Narcotic IPK. They accused PW  4 of having in his </w:t>
        <w:br/>
        <w:t xml:space="preserve">possession drugs in his shop.  </w:t>
        <w:br/>
        <w:t xml:space="preserve">[ii] The two (2) persons entered his shop and the Accused 10 </w:t>
        <w:br/>
        <w:t xml:space="preserve">handcuffed him while the other person searched or </w:t>
        <w:br/>
        <w:t xml:space="preserve">ransacked his shop.  The Accused threaten PW  4 and PW  4 </w:t>
        <w:br/>
        <w:t xml:space="preserve">was s cared.  The Accused ’s friend  placed a black plast ic bag </w:t>
        <w:br/>
        <w:t xml:space="preserve">[Exhibit P3(6)] over PW  4’s head. After about 30 minutes, </w:t>
        <w:br/>
        <w:t xml:space="preserve">they left the shop after the incident.  15 </w:t>
        <w:br/>
        <w:t xml:space="preserve">[iii] At about 4:30  a.m., PW  4 sought assistance from an </w:t>
        <w:br/>
        <w:t xml:space="preserve">unknown man near his shop to contact the police. The police </w:t>
        <w:br/>
        <w:t xml:space="preserve">arrived about 15 minutes later.  </w:t>
        <w:br/>
        <w:t xml:space="preserve">[iv] Subsequently , PW 4 lodged a police report KUALA </w:t>
        <w:br/>
        <w:t xml:space="preserve">PENYU/000632/1 [Exhibit P6] .  20 </w:t>
        <w:br/>
        <w:t xml:space="preserve">[v] Upon receiving Exhibit P6, Insp . Ghazali Bin Kas mani                 </w:t>
        <w:br/>
        <w:t xml:space="preserve">(PW 6) conducted his investigation.  </w:t>
        <w:br/>
        <w:t xml:space="preserve">[vi] PW6 instructed Insp . Mohammad Rasydan Bin Jasni (PW  3) </w:t>
        <w:br/>
        <w:t xml:space="preserve">to arrest the Accused. The Accused was arrested on                   </w:t>
        <w:br/>
        <w:t xml:space="preserve">17th February 2019 and PW  3 lodged a police report 25 </w:t>
        <w:br/>
        <w:t xml:space="preserve">PENAMPANG/000601/19 [Exhibit P4] .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4 </w:t>
        <w:br/>
        <w:t xml:space="preserve"> [vii] PW 6 instructed Insp . Sudirman Bin Sulaiman (PW  5) to 5 </w:t>
        <w:br/>
        <w:t xml:space="preserve">conduct the identification parade session. During the </w:t>
        <w:br/>
        <w:t xml:space="preserve">identification parade held on 22nd January 2019, PW  4 was </w:t>
        <w:br/>
        <w:t xml:space="preserve">able to identify the Accused as the person who rob bed him of </w:t>
        <w:br/>
        <w:t xml:space="preserve">his properties.  </w:t>
        <w:br/>
        <w:t xml:space="preserve">[viii] PW 5 testified that the identification parade session was 10 </w:t>
        <w:br/>
        <w:t xml:space="preserve">conducted according to the standard operating procedure </w:t>
        <w:br/>
        <w:t xml:space="preserve">[See line  1744 -1766, page 56 -57 of NOP ]. PW  5 prepared an </w:t>
        <w:br/>
        <w:t xml:space="preserve">identification parade report [Exhibit P9] and hand ed it over to </w:t>
        <w:br/>
        <w:t xml:space="preserve">PW 6. </w:t>
        <w:br/>
        <w:t xml:space="preserve">[ix] Based on PW  6’s investigation , he found that the Accused 15 </w:t>
        <w:br/>
        <w:t xml:space="preserve">along with another person who is still at large, were the </w:t>
        <w:br/>
        <w:t xml:space="preserve">persons who robbed PW  4 of his properties on the date and </w:t>
        <w:br/>
        <w:t xml:space="preserve">place as stated in the Amended Charge .  </w:t>
        <w:br/>
        <w:t xml:space="preserve">[x]  The Accused was also identified by PW  4 in the dock during </w:t>
        <w:br/>
        <w:t xml:space="preserve">the trial . 20 </w:t>
        <w:br/>
        <w:t xml:space="preserve">[5]  When the defence was called, the Accused elected to give </w:t>
        <w:br/>
        <w:t xml:space="preserve">evidence on oath and called one (1) witness i.e. his sister                       </w:t>
        <w:br/>
        <w:t xml:space="preserve">Carlmila Freddie J Simol (DW  2).  His defence was one of alibi                   </w:t>
        <w:br/>
        <w:t xml:space="preserve">[Exhibit D13]. The alibi notice under section 402A of the CPC was </w:t>
        <w:br/>
        <w:t xml:space="preserve">served on the Prosecution on 25th July 2019.  25 </w:t>
        <w:br/>
        <w:t xml:space="preserve">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5 </w:t>
        <w:br/>
        <w:t xml:space="preserve"> PETITION OF APPEAL  5 </w:t>
        <w:br/>
        <w:t xml:space="preserve">[6] In his Petition of Appeal, the Appellant put forth the following </w:t>
        <w:br/>
        <w:t xml:space="preserve">grounds (verbatim):  </w:t>
        <w:br/>
        <w:t xml:space="preserve">a. The learned trial judge erred in law and in fact for ruling that </w:t>
        <w:br/>
        <w:t xml:space="preserve">the prosecution had established a prima facie case against </w:t>
        <w:br/>
        <w:t xml:space="preserve">the Appellant when : - 10 </w:t>
        <w:br/>
        <w:t xml:space="preserve">i. PW  4’s evidence was unreliable and uncorroborated.  </w:t>
        <w:br/>
        <w:t xml:space="preserve">ii. PW  4’s evidence on identification was unreasonable i n the </w:t>
        <w:br/>
        <w:t xml:space="preserve">circumstances of the case.  </w:t>
        <w:br/>
        <w:t xml:space="preserve">b. The learned trial judge erred in law and in fact for not </w:t>
        <w:br/>
        <w:t xml:space="preserve">considering that the fact that the items in the charge were not 15 </w:t>
        <w:br/>
        <w:t xml:space="preserve">proven by the prosecution.  </w:t>
        <w:br/>
        <w:t xml:space="preserve">c.  The learned trial judge erred in law and in fact for her failure </w:t>
        <w:br/>
        <w:t xml:space="preserve">to notice that there was no evidence to show that the </w:t>
        <w:br/>
        <w:t xml:space="preserve">prosecution had attempted to locate the second person </w:t>
        <w:br/>
        <w:t xml:space="preserve">allegedly committing the offence together with the Appellant.  20 </w:t>
        <w:br/>
        <w:t xml:space="preserve">d.  The learned trial judge erred in law and in fact for rejecting </w:t>
        <w:br/>
        <w:t xml:space="preserve">the Appellant’s def ence on the ground of afterthought </w:t>
        <w:br/>
        <w:t xml:space="preserve">defence and inconsistency when such defence, if tested </w:t>
        <w:br/>
        <w:t xml:space="preserve">against the prosecution evidence at the end of trial, would </w:t>
        <w:br/>
        <w:t xml:space="preserve">show that the Appellant was not present at the crime scene 25 </w:t>
        <w:br/>
        <w:t xml:space="preserve">on the date and time as stated in the charge.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6 </w:t>
        <w:br/>
        <w:t xml:space="preserve"> e. The learned trial judge imposed manifestly excessive 5 </w:t>
        <w:br/>
        <w:t xml:space="preserve">sentence on the Appellant in view of the circumstances  </w:t>
        <w:br/>
        <w:t xml:space="preserve"> </w:t>
        <w:br/>
        <w:t xml:space="preserve">DUTY OF THE APPELLATE COURT  </w:t>
        <w:br/>
        <w:t xml:space="preserve">[7] It is settled law that the appellate court would be slow in interfering </w:t>
        <w:br/>
        <w:t xml:space="preserve">with the decision of the trial court be it an appeal against conviction or 10 </w:t>
        <w:br/>
        <w:t xml:space="preserve">acquittal as well as sentence. It must be emphasized here that in any </w:t>
        <w:br/>
        <w:t xml:space="preserve">appeal against conviction/acquittal, it is not the function of an appellate </w:t>
        <w:br/>
        <w:t xml:space="preserve">court to make its own finding of facts. The function to make finding of </w:t>
        <w:br/>
        <w:t xml:space="preserve">fact is exclusively reserved by law to the trial court. An appellate court is </w:t>
        <w:br/>
        <w:t xml:space="preserve">necessarily fettered because it lacks the audio visual advantage enjoyed 15 </w:t>
        <w:br/>
        <w:t xml:space="preserve">by the trial court (PP v Mohd Radzi Abu Bakar  [2005] 6 MLJ 393 and </w:t>
        <w:br/>
        <w:t xml:space="preserve">Dato Seri Anwar Ibrahim v PP  [2002] 3 MLJ 193) . </w:t>
        <w:br/>
        <w:t xml:space="preserve"> </w:t>
        <w:br/>
        <w:t xml:space="preserve">THE LAW  </w:t>
        <w:br/>
        <w:t xml:space="preserve">The Law under sections 390, 391 and 395 Penal Code (PC) 20 </w:t>
        <w:br/>
        <w:t xml:space="preserve">[8] Section 395 PC  must be read together with Sections 390 and 391 </w:t>
        <w:br/>
        <w:t xml:space="preserve">of the PC. </w:t>
        <w:br/>
        <w:t xml:space="preserve">[9] Section 390, PC provides as follows: -  </w:t>
        <w:br/>
        <w:t xml:space="preserve">[1] In all robbery there is either theft or extortion.  </w:t>
        <w:br/>
        <w:t xml:space="preserve">[2] Theft is “robbery”, if, in order to commit theft, or in committing 25 </w:t>
        <w:br/>
        <w:t xml:space="preserve">the theft, or in carrying away or attempting to carry away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7 </w:t>
        <w:br/>
        <w:t xml:space="preserve"> property obtained by the theft, the offender, for that end, 5 </w:t>
        <w:br/>
        <w:t xml:space="preserve">voluntarily ca uses or attempts to cause to any person death, </w:t>
        <w:br/>
        <w:t xml:space="preserve">or hurt, or wrongful restraint, or fear of instant death, or of </w:t>
        <w:br/>
        <w:t xml:space="preserve">instant hurt, or of instant wrongful restraint.  </w:t>
        <w:br/>
        <w:t xml:space="preserve">[3] Extortion is “robbery”, if the offender, at the time of </w:t>
        <w:br/>
        <w:t xml:space="preserve">committing the extortion, is in the presence of the person put 10 </w:t>
        <w:br/>
        <w:t xml:space="preserve">in fear and commits the extortion by putting that person in </w:t>
        <w:br/>
        <w:t xml:space="preserve">fear of instant death, of instant hurt, or of instant wrongful </w:t>
        <w:br/>
        <w:t xml:space="preserve">restraint to that person or to some other person, and, by so </w:t>
        <w:br/>
        <w:t xml:space="preserve">putting in fear, induces the person so put in  fear them and </w:t>
        <w:br/>
        <w:t xml:space="preserve">there to deliver up the thing extorted.  15 </w:t>
        <w:br/>
        <w:t xml:space="preserve">[10] Section 391, PC provides as follows:  </w:t>
        <w:br/>
        <w:t xml:space="preserve">When two or more persons conjointly commit or attempts to </w:t>
        <w:br/>
        <w:t xml:space="preserve">commit a robbery, or where the whole number of persons </w:t>
        <w:br/>
        <w:t xml:space="preserve">conjointly committing or attempting to commit the robbery, and of </w:t>
        <w:br/>
        <w:t xml:space="preserve">persons present and aiding such commission or attempt, amount 20 </w:t>
        <w:br/>
        <w:t xml:space="preserve">to two or more,  every person so committing, attempting, or aiding, </w:t>
        <w:br/>
        <w:t xml:space="preserve">is said to commit “gang -robbery”  </w:t>
        <w:br/>
        <w:t xml:space="preserve">[11] Section 395 PC  provides as follows:  </w:t>
        <w:br/>
        <w:t xml:space="preserve">Whoever commits gang -robbery shall be punished with </w:t>
        <w:br/>
        <w:t xml:space="preserve">imprisonment for a term which may extend to twenty years, and 25 </w:t>
        <w:br/>
        <w:t xml:space="preserve">shall also be liable to whipping.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8 </w:t>
        <w:br/>
        <w:t xml:space="preserve"> [12] Section 34 PC provides as follows:  5 </w:t>
        <w:br/>
        <w:t xml:space="preserve">Each of several persons liable for an act done by all, in like </w:t>
        <w:br/>
        <w:t xml:space="preserve">manner as if done by him alone  </w:t>
        <w:br/>
        <w:t xml:space="preserve">34. When a criminal act is done by several persons, in furtherance </w:t>
        <w:br/>
        <w:t xml:space="preserve">of the common intention of all, each of such persons is liable . </w:t>
        <w:br/>
        <w:t xml:space="preserve"> 10 </w:t>
        <w:br/>
        <w:t xml:space="preserve">ANALISYS  </w:t>
        <w:br/>
        <w:t xml:space="preserve">i.  PW 4’s evidence was unreliable and uncorroborated.  </w:t>
        <w:br/>
        <w:t xml:space="preserve">ii.  PW 4’s evidence on identification was unreasonable in the </w:t>
        <w:br/>
        <w:t xml:space="preserve">circumstances of the case.  </w:t>
        <w:br/>
        <w:t xml:space="preserve">[13] The prosecution’s case against the accused depends substantially 15 </w:t>
        <w:br/>
        <w:t xml:space="preserve">on the iden tification of the accused by PW  4. In her ground of </w:t>
        <w:br/>
        <w:t xml:space="preserve">judgement, the learned SCJ  accepted PW  4’s (complai nant) evidence </w:t>
        <w:br/>
        <w:t xml:space="preserve">and rule that the  identification of the accused was of good quality.  In this </w:t>
        <w:br/>
        <w:t xml:space="preserve">appeal, the learned counsel submitted otherwise. It was contended that </w:t>
        <w:br/>
        <w:t xml:space="preserve">the identification evidence was unreliable and uncorroborated. It was 20 </w:t>
        <w:br/>
        <w:t xml:space="preserve">further submitted that the identification was unreason able in the </w:t>
        <w:br/>
        <w:t xml:space="preserve">circumstances of the case.  </w:t>
        <w:br/>
        <w:t xml:space="preserve">[14] The crucial question in this appeal is whether the iden tification of </w:t>
        <w:br/>
        <w:t xml:space="preserve">the accused by PW  4 was of good quality. As I have stated  above , the </w:t>
        <w:br/>
        <w:t xml:space="preserve">learned SCJ accepted the identification of the accused by  PW 4 of good 25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9 </w:t>
        <w:br/>
        <w:t xml:space="preserve"> quality. In so dec iding, she took into account PW  4’s evidence and 5 </w:t>
        <w:br/>
        <w:t xml:space="preserve">states  her reasons as follows: - </w:t>
        <w:br/>
        <w:t xml:space="preserve">“[16] The Prosecution’s case relied solely on the evidence of             </w:t>
        <w:br/>
        <w:t xml:space="preserve">PW 4. He testified that two ( 2) unidentified persons robbed him of </w:t>
        <w:br/>
        <w:t xml:space="preserve">his properties as mentioned in the amended charge. It was the </w:t>
        <w:br/>
        <w:t xml:space="preserve">evidence of PW  4 that the Accused ran away after committing the 10 </w:t>
        <w:br/>
        <w:t xml:space="preserve">offence aided by another person who is still at large. The Accused </w:t>
        <w:br/>
        <w:t xml:space="preserve">was later identified by PW  4 during identification parade and dock </w:t>
        <w:br/>
        <w:t xml:space="preserve">identification.  </w:t>
        <w:br/>
        <w:t xml:space="preserve">… </w:t>
        <w:br/>
        <w:t xml:space="preserve">[21] The court had considered the quality of the identification 15 </w:t>
        <w:br/>
        <w:t xml:space="preserve">evidence available.  </w:t>
        <w:br/>
        <w:t xml:space="preserve">[22] Firstly, the complainant/victim (PW  4) had about 30 minutes </w:t>
        <w:br/>
        <w:t xml:space="preserve">inside the said shop with the accused and the ot her person. He </w:t>
        <w:br/>
        <w:t xml:space="preserve">had a conversation with the accused who threatened him and </w:t>
        <w:br/>
        <w:t xml:space="preserve">asked where he placed the items. He had the time to observe the 20 </w:t>
        <w:br/>
        <w:t xml:space="preserve">accused and another person still at large before the black pl astic </w:t>
        <w:br/>
        <w:t xml:space="preserve">bag was used to cover PW4’ s head. He identified the  accused’ s </w:t>
        <w:br/>
        <w:t xml:space="preserve">face and voice. It was not a fleeting glance.  </w:t>
        <w:br/>
        <w:t xml:space="preserve">[23] Secondly, as this happened inside the said shop all of them </w:t>
        <w:br/>
        <w:t xml:space="preserve">were in close proximity. As such PW4 was able to see the accused 25 </w:t>
        <w:br/>
        <w:t xml:space="preserve">as there was nothing to obstruct or block his view on them.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10 </w:t>
        <w:br/>
        <w:t xml:space="preserve">  [24] Th irdly, there was good visibility inside the said shop. There 5 </w:t>
        <w:br/>
        <w:t xml:space="preserve">were lights inside the said shop.  </w:t>
        <w:br/>
        <w:t xml:space="preserve">[25] Fourthly, there was no evidence that PW4 suffer any visual </w:t>
        <w:br/>
        <w:t xml:space="preserve">disability at the time of the incident.  </w:t>
        <w:br/>
        <w:t xml:space="preserve">[26] Fifthly, there was a lapse of only about 3 months 4  days </w:t>
        <w:br/>
        <w:t xml:space="preserve">between the incident on 17 October 2018 and the identification 10 </w:t>
        <w:br/>
        <w:t xml:space="preserve">parade session on 22 January 2019. Despite this lapse, PW4 was </w:t>
        <w:br/>
        <w:t xml:space="preserve">still able to identify the accused based on his face and voice as the </w:t>
        <w:br/>
        <w:t xml:space="preserve">person who robbed him of his items on the date of the incident.  </w:t>
        <w:br/>
        <w:t xml:space="preserve">[27] Sixthly, PW4 did not know the accused prior to the incident. </w:t>
        <w:br/>
        <w:t xml:space="preserve">PW4 never met the accused and the other participants before the 15 </w:t>
        <w:br/>
        <w:t xml:space="preserve">identification parade session was conducted. Therefore,  he had no </w:t>
        <w:br/>
        <w:t xml:space="preserve">reason to implicate them of committing the said offence.  </w:t>
        <w:br/>
        <w:t xml:space="preserve">[28] Seventhly, PW4 was not influenced by any parties to identify </w:t>
        <w:br/>
        <w:t xml:space="preserve">the accused as the person who robbed him of his properties. He </w:t>
        <w:br/>
        <w:t xml:space="preserve">identified the accused as the person who entered his shop on the 20 </w:t>
        <w:br/>
        <w:t xml:space="preserve">day of the incident. He also identified the accused as the person </w:t>
        <w:br/>
        <w:t xml:space="preserve">who handcuffed and threatened him.  </w:t>
        <w:br/>
        <w:t xml:space="preserve">[29] Eighthly, the accused was identified by PW4 in the dock </w:t>
        <w:br/>
        <w:t xml:space="preserve">during the trial.  </w:t>
        <w:br/>
        <w:t xml:space="preserve">[30] Ninthly, I found PW4 to be a credible witness and his 25 </w:t>
        <w:br/>
        <w:t xml:space="preserve">testimony remains unshaken throughout the cross examination. If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11 </w:t>
        <w:br/>
        <w:t xml:space="preserve"> there were any inconsistencies in his evidence, it was minor 5 </w:t>
        <w:br/>
        <w:t xml:space="preserve">inconsistencies which were clarified during re -examination. I had </w:t>
        <w:br/>
        <w:t xml:space="preserve">no rea son to doubt his testimony.  </w:t>
        <w:br/>
        <w:t xml:space="preserve">[15]  I have no reasons to disagree with the finding of fact by the </w:t>
        <w:br/>
        <w:t xml:space="preserve">learned SCJ.   She had applied her mind to the Turnbull Principle which </w:t>
        <w:br/>
        <w:t xml:space="preserve">were considered in the case of Duis Akim &amp; Ors v Public Prosecutor  10 </w:t>
        <w:br/>
        <w:t xml:space="preserve">[2014] 1 MLJ 49  in which the Federal Court  said this at paragraph 47 of </w:t>
        <w:br/>
        <w:t xml:space="preserve">the said judgment: -  </w:t>
        <w:br/>
        <w:t xml:space="preserve">“To begin it is in the forefront of our minds the Turnbull guidelines </w:t>
        <w:br/>
        <w:t xml:space="preserve">(R v Turnbull [1976] 3 All ER 549)  as succinctly summarised in </w:t>
        <w:br/>
        <w:t xml:space="preserve">the case of Heng Aik Ren Thomas v Public Pro secutor [1998] 3 15 </w:t>
        <w:br/>
        <w:t xml:space="preserve">SLR(R) 142.  Delivering judgment for the Singapore Court of </w:t>
        <w:br/>
        <w:t xml:space="preserve">Appeal M Karthigesu JA said this at paras 33 –35 of the judgment:  </w:t>
        <w:br/>
        <w:t xml:space="preserve">Although the Turnbull guidelines were drafted to assist a trial judge </w:t>
        <w:br/>
        <w:t xml:space="preserve">in correctly directing the jury, the principl es which were enunciated </w:t>
        <w:br/>
        <w:t xml:space="preserve">in it are of equal relevance to our criminal trial system. In adapting 20 </w:t>
        <w:br/>
        <w:t xml:space="preserve">the Turnbull guidelines for our local system, we have reworked the </w:t>
        <w:br/>
        <w:t xml:space="preserve">Turnbull guidelines into the following three -step test. The first </w:t>
        <w:br/>
        <w:t xml:space="preserve">question which a judge shou ld ask when encountering a criminal </w:t>
        <w:br/>
        <w:t xml:space="preserve">case where there is identification evidence, is whether the case </w:t>
        <w:br/>
        <w:t xml:space="preserve">against the accused depends wholly or substantially on the 25 </w:t>
        <w:br/>
        <w:t xml:space="preserve">correctness of the identification evidence which is alleged by the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12 </w:t>
        <w:br/>
        <w:t xml:space="preserve"> defence to be mistaken. If so , the second question should be this. 5 </w:t>
        <w:br/>
        <w:t xml:space="preserve">Is the identification evidence of good quality, taking into account </w:t>
        <w:br/>
        <w:t xml:space="preserve">the circumstances in which the identification by the witness was </w:t>
        <w:br/>
        <w:t xml:space="preserve">made? A non -exhaustive list of factors which could be considered </w:t>
        <w:br/>
        <w:t xml:space="preserve">include the length o f time that the witness observed the accused, </w:t>
        <w:br/>
        <w:t xml:space="preserve">the distance at which the observation was made, the presence of 10 </w:t>
        <w:br/>
        <w:t xml:space="preserve">obstructions in the way of the observation, the number of times the </w:t>
        <w:br/>
        <w:t xml:space="preserve">witness had seen the accused, the frequency with which the </w:t>
        <w:br/>
        <w:t xml:space="preserve">witness saw the acc used, the presence of any special reasons for </w:t>
        <w:br/>
        <w:t xml:space="preserve">the witness to remember the accused, the length of time which had </w:t>
        <w:br/>
        <w:t xml:space="preserve">elapsed between the original observation and the subsequent 15 </w:t>
        <w:br/>
        <w:t xml:space="preserve">identification to the police and the presence of material </w:t>
        <w:br/>
        <w:t xml:space="preserve">discrepancies between the description of the accused as given by </w:t>
        <w:br/>
        <w:t xml:space="preserve">the witness and the actual appearance of the accused. In </w:t>
        <w:br/>
        <w:t xml:space="preserve">considering the circumstances in which the identification was </w:t>
        <w:br/>
        <w:t xml:space="preserve">made, the judge should take note of any specific weaknesses in 20 </w:t>
        <w:br/>
        <w:t xml:space="preserve">the identification evidence. If aft er evaluation of the identification </w:t>
        <w:br/>
        <w:t xml:space="preserve">evidence, the judge is satisfied that the quality of the identification </w:t>
        <w:br/>
        <w:t xml:space="preserve">is good, he may then go on to safely assess the value of the </w:t>
        <w:br/>
        <w:t xml:space="preserve">identification evidence. Where the quality of the identification </w:t>
        <w:br/>
        <w:t xml:space="preserve">evidence is poor, the judge should go on to ask the third question. 25 </w:t>
        <w:br/>
        <w:t xml:space="preserve">Is there in any other evidence which goes to support the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13 </w:t>
        <w:br/>
        <w:t xml:space="preserve"> correctness of the identification. If the judge is unable to find other 5 </w:t>
        <w:br/>
        <w:t xml:space="preserve">supporting evidence for the identification evidence, he should then </w:t>
        <w:br/>
        <w:t xml:space="preserve">be mindful th at a conviction which relies on such poor identification </w:t>
        <w:br/>
        <w:t xml:space="preserve">evidence would be unsafe. The supporting evidence need not be </w:t>
        <w:br/>
        <w:t xml:space="preserve">corroboration evidence of the kind required in R v Baskerville </w:t>
        <w:br/>
        <w:t xml:space="preserve">[1916] 2 KB 658. What the supporting evidence has to be is 10 </w:t>
        <w:br/>
        <w:t xml:space="preserve">evidence that m akes the judge sure that there was no mistake in </w:t>
        <w:br/>
        <w:t xml:space="preserve">the identification. We agree with the summary of the guidelines.”  </w:t>
        <w:br/>
        <w:t xml:space="preserve">[16] From the evidence of PW4, the duration of 30 minute s inside the </w:t>
        <w:br/>
        <w:t xml:space="preserve">said shop with the accused and the other person and that he had a </w:t>
        <w:br/>
        <w:t xml:space="preserve">conversation with the accused who threatened him and asked where he 15 </w:t>
        <w:br/>
        <w:t xml:space="preserve">placed the items give him the opportunity to observe  the accused  which </w:t>
        <w:br/>
        <w:t xml:space="preserve">took place  within the vicinity of the shop where all of them were in close </w:t>
        <w:br/>
        <w:t xml:space="preserve">proximity. He testifies  that: - </w:t>
        <w:br/>
        <w:t xml:space="preserve"> Pages 27 - 28 of Notes of Proceedings  </w:t>
        <w:br/>
        <w:t xml:space="preserve">Q Boleh ceritakan kepada Mahkamah, satu persatu macam 20 </w:t>
        <w:br/>
        <w:t xml:space="preserve">mana kejadian samun berlaku pada kamu?  </w:t>
        <w:br/>
        <w:t xml:space="preserve">A  Pada 16.10.2018 lebih kurang jam 10:30PM saya telah tutup </w:t>
        <w:br/>
        <w:t xml:space="preserve">kedai, lepas tu saya sudah tidur, masih lagi rileks -rileks, </w:t>
        <w:br/>
        <w:t xml:space="preserve">lepas tu  pada 17.10.2018 jam 2:30AM, saya diketuk pintu </w:t>
        <w:br/>
        <w:t xml:space="preserve">kedai dan didatangi oleh 2 orang pemuda yang bercakap dia 25 </w:t>
        <w:br/>
        <w:t xml:space="preserve">polis narkotik. Dan berkata dalam kedai saya ada sejenis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14 </w:t>
        <w:br/>
        <w:t xml:space="preserve"> barang jenis syabu, jadi saya terkejut, bingung, tanpa berfikir 5 </w:t>
        <w:br/>
        <w:t xml:space="preserve">panjang saya buka kedai. Sete lah saya buka pintu grill kedai </w:t>
        <w:br/>
        <w:t xml:space="preserve">saya, tangan saya terus digari secara membelakang oleh </w:t>
        <w:br/>
        <w:t xml:space="preserve">seorang lelaki itu (points to the accused) dan kasar. </w:t>
        <w:br/>
        <w:t xml:space="preserve">Membelakang terus dia grill dua -dua tangan. Kemudian saya </w:t>
        <w:br/>
        <w:t xml:space="preserve">dimasukkan ke dlm kedai dan didudukkan oleh dia (OKT) 10 </w:t>
        <w:br/>
        <w:t xml:space="preserve">slps tu 1 org kawan dia (OKT) menggeledah kedai dan saya </w:t>
        <w:br/>
        <w:t xml:space="preserve">diancam, ditanya oleh OKT mengancam saya sehingga saya </w:t>
        <w:br/>
        <w:t xml:space="preserve">makin takut dan terus takut. Dalam keadaan begitu saya </w:t>
        <w:br/>
        <w:t xml:space="preserve">tengok saja muka OKT. Macam mana dia buat pun saya </w:t>
        <w:br/>
        <w:t xml:space="preserve">tengok saja sehinggalah saya ditutup kepa la guna plastik 15 </w:t>
        <w:br/>
        <w:t xml:space="preserve">oleh kawan OKT.  </w:t>
        <w:br/>
        <w:t xml:space="preserve">… </w:t>
        <w:br/>
        <w:t xml:space="preserve">Page 30 of Notes of Proceedings  </w:t>
        <w:br/>
        <w:t xml:space="preserve">Q Memandangkan OKT pakai topi semasa kejadian, macam </w:t>
        <w:br/>
        <w:t xml:space="preserve">mana kamu boleh pasti ini adalah lelaki yang telah 20 </w:t>
        <w:br/>
        <w:t xml:space="preserve">menyamun kamu pada masa kejadian?  </w:t>
        <w:br/>
        <w:t xml:space="preserve">A  Satu saya kenal daripada bentuk mulut, jerawat, badan dia, </w:t>
        <w:br/>
        <w:t xml:space="preserve">bentuk badan dia macam mana sama suara, mata sebab dia </w:t>
        <w:br/>
        <w:t xml:space="preserve">pandang saya.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15 </w:t>
        <w:br/>
        <w:t xml:space="preserve"> Q  Kamu katakan sebelum muka kamu ditutup dengan plastik, 5 </w:t>
        <w:br/>
        <w:t xml:space="preserve">kamu telah lama pandang dia, agaknya berapa lama kamu </w:t>
        <w:br/>
        <w:t xml:space="preserve">pandang lelaki i ni? </w:t>
        <w:br/>
        <w:t xml:space="preserve">A  Dalam 30 minit.  </w:t>
        <w:br/>
        <w:t xml:space="preserve">[17] The evidence also shows that PW  4 was able to see the Accused </w:t>
        <w:br/>
        <w:t xml:space="preserve">as there was nothing to obstruct or block his view on them.  He had a 10 </w:t>
        <w:br/>
        <w:t xml:space="preserve">good visibility as there were lights inside the said shop.  </w:t>
        <w:br/>
        <w:t xml:space="preserve"> Pages 36 -37 of Notes of Proceedings  </w:t>
        <w:br/>
        <w:t xml:space="preserve">Q  Kamu kata 2 lelaki ketuk pintu dan mereka kata polis dan </w:t>
        <w:br/>
        <w:t xml:space="preserve">kamu buka pintu kedai, waktu kamu buka pintu kedai kamu </w:t>
        <w:br/>
        <w:t xml:space="preserve">di tempat kejadian kedai kamu, ada lampu atau tidak?  15 </w:t>
        <w:br/>
        <w:t xml:space="preserve">A Ada </w:t>
        <w:br/>
        <w:t xml:space="preserve">… </w:t>
        <w:br/>
        <w:t xml:space="preserve">Page 38 of Notes of Proceedings  </w:t>
        <w:br/>
        <w:t xml:space="preserve">Q Kamu kata kedai kamu ada cahaya, cahaya terang atau </w:t>
        <w:br/>
        <w:t xml:space="preserve">tidak?  20 </w:t>
        <w:br/>
        <w:t xml:space="preserve">A Terang.  </w:t>
        <w:br/>
        <w:t xml:space="preserve">Q Cahaya datang dari mana?  </w:t>
        <w:br/>
        <w:t xml:space="preserve">A  Kedai.  </w:t>
        <w:br/>
        <w:t xml:space="preserve">Q Cahaya cukup kuat untuk tengok muka penyamun atau </w:t>
        <w:br/>
        <w:t xml:space="preserve">tidak?  25 </w:t>
        <w:br/>
        <w:t xml:space="preserve">A Cukup.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16 </w:t>
        <w:br/>
        <w:t xml:space="preserve"> Page 5 8 of Notes of Proceedings  5 </w:t>
        <w:br/>
        <w:t xml:space="preserve">Further cross -examination of PW4  </w:t>
        <w:br/>
        <w:t xml:space="preserve">Q  Kamu betul -betul yakin dan pasti saya berada di tempat </w:t>
        <w:br/>
        <w:t xml:space="preserve">kejadian pada pagi itu?  </w:t>
        <w:br/>
        <w:t xml:space="preserve">A Ya.  </w:t>
        <w:br/>
        <w:t xml:space="preserve">Q Tapi kamu tidak mempunyai bukti dan saksi bahawa boleh 10 </w:t>
        <w:br/>
        <w:t xml:space="preserve">membuktikan saya ada di situ.  </w:t>
        <w:br/>
        <w:t xml:space="preserve">A Suara yang saya dengar sekarang adalah juga suara pada </w:t>
        <w:br/>
        <w:t xml:space="preserve">malam itu, itu yang saya makin yakin.  </w:t>
        <w:br/>
        <w:t xml:space="preserve"> </w:t>
        <w:br/>
        <w:t xml:space="preserve">Further Re -Examination of PW4  15 </w:t>
        <w:br/>
        <w:t xml:space="preserve">DPP Refer:    "Q  Bagaimanakah kamu kenal pasti si OKT berada </w:t>
        <w:br/>
        <w:t xml:space="preserve">di situ seperti kamu nyatakan kamu didatangi </w:t>
        <w:br/>
        <w:t xml:space="preserve">oleh 2 orang yang tidak dikenali jam 2:30  AM </w:t>
        <w:br/>
        <w:t xml:space="preserve">dalam keadaan gelap?  </w:t>
        <w:br/>
        <w:t xml:space="preserve"> A Tidak gelap, ada lampu jadi saya nampak raut 20 </w:t>
        <w:br/>
        <w:t xml:space="preserve">muka dan lebih meyakinkan saya, suara. " </w:t>
        <w:br/>
        <w:t xml:space="preserve"> Q  Suara siapa ni?  </w:t>
        <w:br/>
        <w:t xml:space="preserve">  A  Suara dia. (points to the accused)  </w:t>
        <w:br/>
        <w:t xml:space="preserve">Based on the facts and circumstances of this case, I am  with the learned </w:t>
        <w:br/>
        <w:t xml:space="preserve">SCJ that the identification evidence of the accused was of good quality.  25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17 </w:t>
        <w:br/>
        <w:t xml:space="preserve"> [18] On the identi fication parade, the learned SCJ accepted the 5 </w:t>
        <w:br/>
        <w:t xml:space="preserve">evidence of PW  5 who testified that the identification parade was </w:t>
        <w:br/>
        <w:t xml:space="preserve">conducted in accordance to the Standard Operating Procedure (SOP). </w:t>
        <w:br/>
        <w:t xml:space="preserve">She accepted the testimonies of PW  5 and PW  4 and said that their </w:t>
        <w:br/>
        <w:t xml:space="preserve">testimonies  remain unshaken during cro ss-examin ation. The learned </w:t>
        <w:br/>
        <w:t xml:space="preserve">SCJ was satisfied that the identification parade was properly conducted 10 </w:t>
        <w:br/>
        <w:t xml:space="preserve">and there was no confusion as to the identification of the accused made </w:t>
        <w:br/>
        <w:t xml:space="preserve">by PW  4.  This Court found no reason to disturb on these findings.  </w:t>
        <w:br/>
        <w:t xml:space="preserve">[19]  In the case of Dorai Pandian a/l Munian &amp; Anor v PP  [2012] 10 </w:t>
        <w:br/>
        <w:t xml:space="preserve">CLJ 22; [2009] 1 LNS 234; [2009] 4 MLJ 525 , the court held that:  </w:t>
        <w:br/>
        <w:t xml:space="preserve">“The holding of an identification parade is a part of the 15 </w:t>
        <w:br/>
        <w:t xml:space="preserve">investigation process carried out by the investigating authority. The </w:t>
        <w:br/>
        <w:t xml:space="preserve">evidence of identification parade is relevant and admission under </w:t>
        <w:br/>
        <w:t xml:space="preserve">s. 9 of the Evidence Act 1950, and can be used to corroborate the </w:t>
        <w:br/>
        <w:t xml:space="preserve">substantive evidence given by the witnesses in court on </w:t>
        <w:br/>
        <w:t xml:space="preserve">identification of the accused as the perpetrator of t he alleged 20 </w:t>
        <w:br/>
        <w:t xml:space="preserve">offence. It is well settled that the substantive evidence is the </w:t>
        <w:br/>
        <w:t xml:space="preserve">evidence of identification in court’.  </w:t>
        <w:br/>
        <w:t xml:space="preserve">[20] Thus, there is no erred in l aw and fact when the learned SCJ held </w:t>
        <w:br/>
        <w:t xml:space="preserve">in her grounds of judgment that she was satisfied that the identificati on </w:t>
        <w:br/>
        <w:t xml:space="preserve">of the accused by PW  4 wa s safe to rely upon. PW  4’s evidence on the 25 </w:t>
        <w:br/>
        <w:t xml:space="preserve">identity of the accused was positive and reliable. He identified the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18 </w:t>
        <w:br/>
        <w:t xml:space="preserve"> accused together with another who is still at large to be the persons who 5 </w:t>
        <w:br/>
        <w:t xml:space="preserve">robbed him of his properties.  </w:t>
        <w:br/>
        <w:t xml:space="preserve"> </w:t>
        <w:br/>
        <w:t xml:space="preserve">Whether th e learned trial judge erred in law and in fact for not </w:t>
        <w:br/>
        <w:t xml:space="preserve">considering that the fact that the items in the charge were not </w:t>
        <w:br/>
        <w:t xml:space="preserve">proven by the prosecution.  10 </w:t>
        <w:br/>
        <w:t xml:space="preserve">[21] Learned counsel had submitted  that there was no physi cal </w:t>
        <w:br/>
        <w:t xml:space="preserve">evidence with the accused with the robbery and hence, PW  4’s evidence </w:t>
        <w:br/>
        <w:t xml:space="preserve">on identification is unsafe.  </w:t>
        <w:br/>
        <w:t xml:space="preserve">[22] With due respect, I do not see this submission hold any weight. A s </w:t>
        <w:br/>
        <w:t xml:space="preserve">submitted by the learned DPP and looking at Exhibit P6 which was not 15 </w:t>
        <w:br/>
        <w:t xml:space="preserve">transpired in the amended charge sheet in Exhibit P1, the different </w:t>
        <w:br/>
        <w:t xml:space="preserve">descriptions and featu res contended by the learned counsel is </w:t>
        <w:br/>
        <w:t xml:space="preserve">completely wrong as the numbers of items remained the same i.e. the </w:t>
        <w:br/>
        <w:t xml:space="preserve">eight items recovered and the o nly different is that Exhibit P6 in </w:t>
        <w:br/>
        <w:t xml:space="preserve">particular has described the colour of each and e very item discovered. 20 </w:t>
        <w:br/>
        <w:t xml:space="preserve">There was no mentioned anywhere in the Notes of Proceedings that the </w:t>
        <w:br/>
        <w:t xml:space="preserve">number of items in both Exhibit P1 and P6 respectively did not match </w:t>
        <w:br/>
        <w:t xml:space="preserve">each other and thus, the descriptions were all different.  </w:t>
        <w:br/>
        <w:t xml:space="preserve">[23]  Even if should the items were un discovered by PW  6 who was the </w:t>
        <w:br/>
        <w:t xml:space="preserve">investigating offic er in this case, the learned SCJ  was correct in holding 25 </w:t>
        <w:br/>
        <w:t xml:space="preserve">the view that despite the fact that no items were recovered by PW  6 in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19 </w:t>
        <w:br/>
        <w:t xml:space="preserve"> the course of the investigation, it does not mean that no robbery                  5 </w:t>
        <w:br/>
        <w:t xml:space="preserve">had taken placed. She proceeded with taking a position that the items </w:t>
        <w:br/>
        <w:t xml:space="preserve">might be disposed of prior to that as the incident occurred on                        </w:t>
        <w:br/>
        <w:t xml:space="preserve">17th October 2018 and the accused  was only apprehended on                        </w:t>
        <w:br/>
        <w:t xml:space="preserve">17th January 2019. The learned SCJ  has been insightful enough to draw </w:t>
        <w:br/>
        <w:t xml:space="preserve">an opinion by viewing that the items may be in the possessio n of another 10 </w:t>
        <w:br/>
        <w:t xml:space="preserve">person who was at large  still as mentioned in Exhibit P1,  from which the </w:t>
        <w:br/>
        <w:t xml:space="preserve">court has accepted PW  6’s explanation.  </w:t>
        <w:br/>
        <w:t xml:space="preserve">[24] To this the learned DPP had referred to the case of                     </w:t>
        <w:br/>
        <w:t xml:space="preserve">Gunalan Ramachandran &amp; Ors v PP  [2004] 4 CLJ 551  where                  </w:t>
        <w:br/>
        <w:t xml:space="preserve">JCA Abdul Hamid Mohama d (as he t hen was) at page 569 held that: - 15 </w:t>
        <w:br/>
        <w:t xml:space="preserve">“This is because, as far as I am aware, there is no law that the </w:t>
        <w:br/>
        <w:t xml:space="preserve">exhibit recovered must be produced in Court and if not the </w:t>
        <w:br/>
        <w:t xml:space="preserve">prosecution’s case must necessarily fall. It may or may not, again </w:t>
        <w:br/>
        <w:t xml:space="preserve">be depending on the facts and the circumstances of each case. </w:t>
        <w:br/>
        <w:t xml:space="preserve">Even in a murder trial, the dead body is not produced in Court. In 20 </w:t>
        <w:br/>
        <w:t xml:space="preserve">Sunny Ang v Public Prosecutor [1966] 2 MLJ 195 (FC),  the </w:t>
        <w:br/>
        <w:t xml:space="preserve">body of the victim was not even recovered, yet the accused was </w:t>
        <w:br/>
        <w:t xml:space="preserve">convicted of murder.”  </w:t>
        <w:br/>
        <w:t xml:space="preserve">[25] Further in the Federal Court case of Duis Aki m &amp; Ors v                 </w:t>
        <w:br/>
        <w:t xml:space="preserve">Public Prosecutor  (supra ) the prosecution’s case rested solely on a 25 </w:t>
        <w:br/>
        <w:t xml:space="preserve">single eye witness. Forensic evidence obtained from the crime scene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20 </w:t>
        <w:br/>
        <w:t xml:space="preserve"> was inconclusive and the murder weapon was not recovered. Despite 5 </w:t>
        <w:br/>
        <w:t xml:space="preserve">the absence of forensic evidence and the non -recovery of the murder </w:t>
        <w:br/>
        <w:t xml:space="preserve">weapon, the Federal Court dismissed the appeal and upheld the </w:t>
        <w:br/>
        <w:t xml:space="preserve">conviction of the appellant solely on the identification evidence of PW  1. </w:t>
        <w:br/>
        <w:t xml:space="preserve">[26] Applying to the present facts, I am with the learned DPP that the </w:t>
        <w:br/>
        <w:t xml:space="preserve">gene ral descriptions transpired in Exhibit P1 (the amended charge 10 </w:t>
        <w:br/>
        <w:t xml:space="preserve">sheet) as compared to one specifying the colours for each and every </w:t>
        <w:br/>
        <w:t xml:space="preserve">item in Exhibit P6 (Police Report) does not render the prosecution’s case </w:t>
        <w:br/>
        <w:t xml:space="preserve">fatal due to the fact that it does not change the fa ct that PW 4 was </w:t>
        <w:br/>
        <w:t xml:space="preserve">robbed by the accused and another person who is still at large.  </w:t>
        <w:br/>
        <w:t xml:space="preserve"> 15 </w:t>
        <w:br/>
        <w:t xml:space="preserve">Whether the learned trial judge erred in law and in fact for her </w:t>
        <w:br/>
        <w:t xml:space="preserve">failure to notice that there was no evidence to show that the </w:t>
        <w:br/>
        <w:t xml:space="preserve">prosecution had attempted to locate the second person allegedly </w:t>
        <w:br/>
        <w:t xml:space="preserve">committing the offence together with the Appellant.  </w:t>
        <w:br/>
        <w:t xml:space="preserve">[27] The learned SCJ  accepted PW  6’s explanation on the conduct of 20 </w:t>
        <w:br/>
        <w:t xml:space="preserve">his investigation and he was also cross examined by the accused on the </w:t>
        <w:br/>
        <w:t xml:space="preserve">issue and found his evidence unshaken.  </w:t>
        <w:br/>
        <w:t xml:space="preserve">[28] I am of the view that the evidence recorded in the notes of </w:t>
        <w:br/>
        <w:t xml:space="preserve">proceedings did not suggest that the accused was prejudiced or misled  </w:t>
        <w:br/>
        <w:t xml:space="preserve">despite the other person still at large remain unidentified.  25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21 </w:t>
        <w:br/>
        <w:t xml:space="preserve"> [29] PW 4 clearly testified that two ( 2) unidentified persons rob bed him 5 </w:t>
        <w:br/>
        <w:t xml:space="preserve">of his properties as mentioned in the Amended Charge . With this </w:t>
        <w:br/>
        <w:t xml:space="preserve">information , investigation was carried out by PW  6 where he testified </w:t>
        <w:br/>
        <w:t xml:space="preserve">that: </w:t>
        <w:br/>
        <w:t xml:space="preserve"> Pages 69 -70 of Notes of Proceedings  </w:t>
        <w:br/>
        <w:t xml:space="preserve">  Q  Apakah dapatan siasatan kamu mengenai kes ini?  10 </w:t>
        <w:br/>
        <w:t xml:space="preserve">A Dalam siasatan ini saya mendapati terdapat 2 orang lelaki yg </w:t>
        <w:br/>
        <w:t xml:space="preserve">telah menyamar dengan cara memperkenalkan diri sebagai </w:t>
        <w:br/>
        <w:t xml:space="preserve">polis Narkotik IPK Sabah. Salah seorang daripada lelaki ini </w:t>
        <w:br/>
        <w:t xml:space="preserve">telah mengeluarkan gari menyebabkan pengadu percaya </w:t>
        <w:br/>
        <w:t xml:space="preserve">bahawa mereka adalah polis. Pengadu telah dituduh ada 15 </w:t>
        <w:br/>
        <w:t xml:space="preserve">menyimpan dan menjual dadah dalam kedai menyebabkan </w:t>
        <w:br/>
        <w:t xml:space="preserve">pengadu rasa takut. Seterusnya pengadu telah digari di </w:t>
        <w:br/>
        <w:t xml:space="preserve">bahagian belakang dan dibawa masuk ke dalam kedai. </w:t>
        <w:br/>
        <w:t xml:space="preserve">Kedua -dua lelaki tersebut telah menjalankan soal siasat </w:t>
        <w:br/>
        <w:t xml:space="preserve">kepada pengadu l ebih kurang 30 minit sebelum saspek tutup 20 </w:t>
        <w:br/>
        <w:t xml:space="preserve">kepala dan muka pengadu menggunakan 1 plastik berwarna </w:t>
        <w:br/>
        <w:t xml:space="preserve">hitam. Kejadian tersebut berlaku pada jam lebih kurang </w:t>
        <w:br/>
        <w:t xml:space="preserve">2:30AM dan pengadu ditinggalkan dalam keadaan bergari </w:t>
        <w:br/>
        <w:t xml:space="preserve">dan kepala bertutup dari jam lebih kurang 3AM -5AM.   </w:t>
        <w:br/>
        <w:t xml:space="preserve"> 25 </w:t>
        <w:br/>
        <w:t xml:space="preserve">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22 </w:t>
        <w:br/>
        <w:t xml:space="preserve"> Q Apakah hasil daripada siasatan kamu?  5 </w:t>
        <w:br/>
        <w:t xml:space="preserve">A Hasil siasatan yang dijalankan mendapati pengadu cam ke </w:t>
        <w:br/>
        <w:t xml:space="preserve">atas OK T seterusnya kawad cam dijalankan dan saya  dapati </w:t>
        <w:br/>
        <w:t xml:space="preserve">pengadu mengesahka n OKT adalah orang yang berada di </w:t>
        <w:br/>
        <w:t xml:space="preserve">tempat keja dian semasa kejadian samun tersebu t berlaku.  </w:t>
        <w:br/>
        <w:t xml:space="preserve">[30]  PW 3, the arresting officer had also testified that the officers and 10 </w:t>
        <w:br/>
        <w:t xml:space="preserve">D9 personnel from IPK Sabah were directed to assist and to do </w:t>
        <w:br/>
        <w:t xml:space="preserve">intelligent surve illance : - </w:t>
        <w:br/>
        <w:t xml:space="preserve"> Page 19 of Notes of Proceedings  </w:t>
        <w:br/>
        <w:t xml:space="preserve">Q Mengapa penama Carlsten ditangkap oleh kamu?  </w:t>
        <w:br/>
        <w:t xml:space="preserve">A Pada 17.10.2018, kami telah dimaklumkan dengan 1 samun 15 </w:t>
        <w:br/>
        <w:t xml:space="preserve">yang berlaku di sebuah kedai di Pekan Kuala Penyu jadi </w:t>
        <w:br/>
        <w:t xml:space="preserve">pihak atas iaitu PT D9 telah mengarahkan pegawai dan </w:t>
        <w:br/>
        <w:t xml:space="preserve">anggota D9 IPK Sabah untuk membuat risikan dan </w:t>
        <w:br/>
        <w:t xml:space="preserve">membantu dalam kes ini. Kemudian sebelum da ri tarikh </w:t>
        <w:br/>
        <w:t xml:space="preserve">tangkapan, hasil dari risikan kami telah dapat mengenalpasti 20 </w:t>
        <w:br/>
        <w:t xml:space="preserve">pelaku iaitu OKT Carlsten dan 1 orang lagi rakan yang masih </w:t>
        <w:br/>
        <w:t xml:space="preserve">bebas terlibat dalam kes ini. Jadi kami telah mendapatkan </w:t>
        <w:br/>
        <w:t xml:space="preserve">maklumat tentang Carlsten dan lokasi dia tinggal. Pada </w:t>
        <w:br/>
        <w:t xml:space="preserve">17.01.2019, kami mendapat maklumat Carlsten berada di </w:t>
        <w:br/>
        <w:t xml:space="preserve">rumah ibunya bertempat di rumah tidak bernombor                      25 </w:t>
        <w:br/>
        <w:t xml:space="preserve">Kg Hungab Penampang. Saya dan beberapa anggota dari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23 </w:t>
        <w:br/>
        <w:t xml:space="preserve"> IPK telah datang ke rumah tersebut dan rumah tersebut 5 </w:t>
        <w:br/>
        <w:t xml:space="preserve">dalam keadaan berkunci. Kami memanggil dan penama </w:t>
        <w:br/>
        <w:t xml:space="preserve">Carlsten telah menyahut dan membuka pintu. Saya dapati </w:t>
        <w:br/>
        <w:t xml:space="preserve">hanya penama Carlsten sahaja yang berada di dalam rumah </w:t>
        <w:br/>
        <w:t xml:space="preserve">ketika itu. Saya telah memperkenalkan diri sebagai pegawai </w:t>
        <w:br/>
        <w:t xml:space="preserve">penangkap polis dan tujuan membuat penangkapan dan 10 </w:t>
        <w:br/>
        <w:t xml:space="preserve">seterusnya geledah rumah  tersebut untuk mencari barang </w:t>
        <w:br/>
        <w:t xml:space="preserve">kes yang terlibat dalam kes ini, itu saja.  </w:t>
        <w:br/>
        <w:t xml:space="preserve">[31] The strength of the Prosecution’s case remains intact despite no </w:t>
        <w:br/>
        <w:t xml:space="preserve">evidence as to feature of the other robber. The evidence in this case is </w:t>
        <w:br/>
        <w:t xml:space="preserve">overwhelming in view  of the identificat ion of the accused by PW  4 who 15 </w:t>
        <w:br/>
        <w:t xml:space="preserve">have the duration of 30 minutes inside the said shop with the Accused . </w:t>
        <w:br/>
        <w:t xml:space="preserve">PW 4 had observed the Accused  when  he had a conversation with him, </w:t>
        <w:br/>
        <w:t xml:space="preserve">who handcuffed and threatened PW  4 and asked where PW  4 placed </w:t>
        <w:br/>
        <w:t xml:space="preserve">the items whereas the other person was ransacking the shop.  As far as </w:t>
        <w:br/>
        <w:t xml:space="preserve">the identification of the Accused,  PW 4 had the time to observe him, 20 </w:t>
        <w:br/>
        <w:t xml:space="preserve">before the black plastic bag was used to cover PW  4’s head. The </w:t>
        <w:br/>
        <w:t xml:space="preserve">identification of the Accused by PW  4 as one  of the robbers is of good </w:t>
        <w:br/>
        <w:t xml:space="preserve">quality.  </w:t>
        <w:br/>
        <w:t xml:space="preserve"> </w:t>
        <w:br/>
        <w:t xml:space="preserve"> 25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24 </w:t>
        <w:br/>
        <w:t xml:space="preserve"> [32] From the evidence adduced, I am with the learned SCJ on her  5 </w:t>
        <w:br/>
        <w:t xml:space="preserve">finding of the offence of gang robbery and that the act was done by the </w:t>
        <w:br/>
        <w:t xml:space="preserve">accused and another still at large  in furthe rance of their common </w:t>
        <w:br/>
        <w:t xml:space="preserve">intention . Such  finding is reproduced  as follows:   </w:t>
        <w:br/>
        <w:t xml:space="preserve">“Gang robbery  </w:t>
        <w:br/>
        <w:t xml:space="preserve">[35] From the evidence adduced there was force used by the 10 </w:t>
        <w:br/>
        <w:t xml:space="preserve">accused and another person when they barged into his shop. After </w:t>
        <w:br/>
        <w:t xml:space="preserve">they robbed PW4’ s properties, they fled away from the scene. T he </w:t>
        <w:br/>
        <w:t xml:space="preserve">robbery was made  against PW4’ s will. The act of forcibly removing </w:t>
        <w:br/>
        <w:t xml:space="preserve">the said properties from PW4’ s shop without his consent amounted </w:t>
        <w:br/>
        <w:t xml:space="preserve">to theft.  15 </w:t>
        <w:br/>
        <w:t xml:space="preserve">[36] Further, the evidence adduced also showed that PW4 was </w:t>
        <w:br/>
        <w:t xml:space="preserve">frightened and terrified when the accused and another person still </w:t>
        <w:br/>
        <w:t xml:space="preserve">at large entered the said shop. He was afraid after being </w:t>
        <w:br/>
        <w:t xml:space="preserve">threatened by the accused. PW4 was traumatised after the </w:t>
        <w:br/>
        <w:t xml:space="preserve">incident.  20 </w:t>
        <w:br/>
        <w:t xml:space="preserve">[37]   PW4 lodged a police report [Exhibit P6] soon after the </w:t>
        <w:br/>
        <w:t xml:space="preserve">incident. It corroborated his story that his properties were indeed </w:t>
        <w:br/>
        <w:t xml:space="preserve">robbed by 2 men in which one of them were subsequently </w:t>
        <w:br/>
        <w:t xml:space="preserve">identified by him during the identification parade and doc k </w:t>
        <w:br/>
        <w:t xml:space="preserve">identification as the accused.  25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25 </w:t>
        <w:br/>
        <w:t xml:space="preserve"> That the act was done by the accused persons in furtherance of 5 </w:t>
        <w:br/>
        <w:t xml:space="preserve">their common intention .  </w:t>
        <w:br/>
        <w:t xml:space="preserve">[38] The role played by t he accused and the other person still at </w:t>
        <w:br/>
        <w:t xml:space="preserve">large showed that it was done in furtherance of their common </w:t>
        <w:br/>
        <w:t xml:space="preserve">intention. Both the accused and the person still at large identified </w:t>
        <w:br/>
        <w:t xml:space="preserve">themselves as narcotic p olice when they barged into PW4’ s shop. 10 </w:t>
        <w:br/>
        <w:t xml:space="preserve">The accused threatene d and handcuffed PW4 while the other </w:t>
        <w:br/>
        <w:t xml:space="preserve">person still at large ransacked his s hop and both fled away with </w:t>
        <w:br/>
        <w:t xml:space="preserve">PW4’ s properties as mentioned in the charg e. The accused also </w:t>
        <w:br/>
        <w:t xml:space="preserve">covered PW4’ s head with a black plastic bag [Exhibit P3(6)].  </w:t>
        <w:br/>
        <w:t xml:space="preserve"> 15 </w:t>
        <w:br/>
        <w:t xml:space="preserve">The Defence  </w:t>
        <w:br/>
        <w:t xml:space="preserve">[33] The learned counsel submitted that t he trial judge erred in law and </w:t>
        <w:br/>
        <w:t xml:space="preserve">in fact for rejecting the accused’s defence on the ground of afterthought </w:t>
        <w:br/>
        <w:t xml:space="preserve">defence and inconsistency when such defence, if tested against the </w:t>
        <w:br/>
        <w:t xml:space="preserve">Prosecution ’s evidence at the end of trial, would show that  the Accused 20 </w:t>
        <w:br/>
        <w:t xml:space="preserve">was not present at the crime scene on the date and time as stated in the </w:t>
        <w:br/>
        <w:t xml:space="preserve">charge.  </w:t>
        <w:br/>
        <w:t xml:space="preserve">[34] The counsel submits that the defence of alibi was a live subject </w:t>
        <w:br/>
        <w:t xml:space="preserve">during the Prosecution ’s stage and the Accused ’s defence that he was </w:t>
        <w:br/>
        <w:t xml:space="preserve">not at the scene of crime on 17.10.2018 at about 2.30 a .m. would 25 </w:t>
        <w:br/>
        <w:t xml:space="preserve">sustained.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26 </w:t>
        <w:br/>
        <w:t xml:space="preserve"> [35] Though the alibi notice under section 402A of the CPC was served 5 </w:t>
        <w:br/>
        <w:t xml:space="preserve">on the Prosecution on 25th July 2019, this alibi was not supported by any </w:t>
        <w:br/>
        <w:t xml:space="preserve">evidence.  PW 6 testified that: - </w:t>
        <w:br/>
        <w:t xml:space="preserve">Page s 71-72 of the Notes of Proceedings  </w:t>
        <w:br/>
        <w:t xml:space="preserve">Q  Apakah kesimpulan atau dapatan akhir kamu dalam kes ini?  </w:t>
        <w:br/>
        <w:t xml:space="preserve">A Dapatan akhir daripada kes ini, saya dapati OKT dicam oleh 10 </w:t>
        <w:br/>
        <w:t xml:space="preserve">pengadu berdasarkan laporan kawad cam yang dibuat oleh </w:t>
        <w:br/>
        <w:t xml:space="preserve">Insp Sudirman dan siasatan ke atas keluarga OKT dapati </w:t>
        <w:br/>
        <w:t xml:space="preserve">tiada keterangan yang menunjukkan OKT ada di rumah.  </w:t>
        <w:br/>
        <w:t xml:space="preserve">Q Boleh jelaskan dengan lebih lanjut tentang ‘siasatan ke atas </w:t>
        <w:br/>
        <w:t xml:space="preserve">keluarga OKT  dapati tiada keterangan yang menunjukkan 15 </w:t>
        <w:br/>
        <w:t xml:space="preserve">OKT ada di rumah ’?  </w:t>
        <w:br/>
        <w:t xml:space="preserve">A OKT telah menyatakan semasa kejadian OKT bersama </w:t>
        <w:br/>
        <w:t xml:space="preserve">keluarga di rumah iaitu di Penampang pada tarikh kejadia n </w:t>
        <w:br/>
        <w:t xml:space="preserve">dan OKT menyatakan semasa  kejadian OKT juga berada di </w:t>
        <w:br/>
        <w:t xml:space="preserve">Sarawak. Ha sil siasatan saya mendapati  keluarga OKT 20 </w:t>
        <w:br/>
        <w:t xml:space="preserve">hanya memaklumkan OKT ada di rumah pada tarikh 18hb. </w:t>
        <w:br/>
        <w:t xml:space="preserve">Dan pergerakan rekod keluar masuk yang diperik sa melalui </w:t>
        <w:br/>
        <w:t xml:space="preserve">Imigresen Sabah mendapati pada tahun 2018 tiada </w:t>
        <w:br/>
        <w:t xml:space="preserve">sebarang p ergerakan keluar masuk OKT sebaliknya hanya </w:t>
        <w:br/>
        <w:t xml:space="preserve">pada tahun 2019.  25 </w:t>
        <w:br/>
        <w:t xml:space="preserve">PW6 was not cross -examined on the above findings.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27 </w:t>
        <w:br/>
        <w:t xml:space="preserve"> [36] Further, a s submitted by the learned DPP , in the present case, 5 </w:t>
        <w:br/>
        <w:t xml:space="preserve">there were too many  major discrepancies in the alibi rai sed by the </w:t>
        <w:br/>
        <w:t xml:space="preserve">Accused . Firstly, t he learned  counsel in Para 17 Page 6/7 of their </w:t>
        <w:br/>
        <w:t xml:space="preserve">Written S ubmission in Enclosure 7 has personally admitted th at the </w:t>
        <w:br/>
        <w:t xml:space="preserve">evidence of the Accused  and DW  2 (Carlmila  Freddie J Simol),                      </w:t>
        <w:br/>
        <w:t xml:space="preserve">the Accused’ s sister differed from the contents of the alibi notice. It is 10 </w:t>
        <w:br/>
        <w:t xml:space="preserve">reproduced as follows:  </w:t>
        <w:br/>
        <w:t xml:space="preserve">“…secondly, although the evidence of the accused and DW2 </w:t>
        <w:br/>
        <w:t xml:space="preserve">differed from the contents of the alibi notice, the essence of the </w:t>
        <w:br/>
        <w:t xml:space="preserve">defence was proven …”  </w:t>
        <w:br/>
        <w:t xml:space="preserve">[37] Secondly, t he learned SCJ  was correct in taking the considered 15 </w:t>
        <w:br/>
        <w:t xml:space="preserve">view that the evidence of DW  2 was demolished by the evidence of the </w:t>
        <w:br/>
        <w:t xml:space="preserve">rebuttal witness i.e. PW  6 who testified that DW  2 informed him that the </w:t>
        <w:br/>
        <w:t xml:space="preserve">Accused  was with her on 18th October 2018 whereas the Notice of Alibi </w:t>
        <w:br/>
        <w:t xml:space="preserve">stated that DW  1 (the Accused) was in Sarawak on 17th October 2018. </w:t>
        <w:br/>
        <w:t xml:space="preserve">Upon investigation by PW  6, he found that DW  1 went to Sarawak in 20 </w:t>
        <w:br/>
        <w:t xml:space="preserve">April 2019 as exhibited in P14 and P15. This can be seen at Para 49 </w:t>
        <w:br/>
        <w:t xml:space="preserve">Page 14/18 of Groun ds of Judgment dated 05.02.2020  - Volume 1 </w:t>
        <w:br/>
        <w:t xml:space="preserve">Record of Appeal (pages 11 - 28) </w:t>
        <w:br/>
        <w:t xml:space="preserve">[38] Thirdly, the learned SCJ  was correct in holding the view that </w:t>
        <w:br/>
        <w:t xml:space="preserve">obviously, DW  2 was not in a position to know the where -about of the 25 </w:t>
        <w:br/>
        <w:t xml:space="preserve">Accused  from 2.30 a.m. to 4.00 a.m. on 17th October 2018.  This is due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28 </w:t>
        <w:br/>
        <w:t xml:space="preserve"> to the evidence given by DW  2 that DW  1 was in her house at                 5 </w:t>
        <w:br/>
        <w:t xml:space="preserve">Kampung Hungab, Penamp ang on 17th October 2018 from 11.00 p.m. to </w:t>
        <w:br/>
        <w:t xml:space="preserve">12.30 a.m. of which she did not know t he where -about of the Accused </w:t>
        <w:br/>
        <w:t xml:space="preserve">after she slept.  As such, the Court was in the consider ed view that              </w:t>
        <w:br/>
        <w:t xml:space="preserve">DW 2’s evidence was incapable of being supportive to th e alibi defence </w:t>
        <w:br/>
        <w:t xml:space="preserve">of the Accused . This was transpired in Para 48 Page 14/18 of the 10 </w:t>
        <w:br/>
        <w:t xml:space="preserve">Ground of Judgment - Volume 1 Record of Appeal (pages 11 - 28) </w:t>
        <w:br/>
        <w:t xml:space="preserve">[39] Fourthly, the alib i defence of the Accused  collapsed with the </w:t>
        <w:br/>
        <w:t xml:space="preserve">learned SCJ’s finding that the accused  had been positively identified by </w:t>
        <w:br/>
        <w:t xml:space="preserve">PW 4.  This was illustrated in the case of Duis Akim &amp; Ors v PP  [2014] </w:t>
        <w:br/>
        <w:t xml:space="preserve">1 MLJ 49  whereby the Federal Court held at page 50 as follows:  15 </w:t>
        <w:br/>
        <w:t xml:space="preserve">“With the trial judge’s finding that the appellants had been </w:t>
        <w:br/>
        <w:t xml:space="preserve">positively identified by PW1, the alibi defence of the first and </w:t>
        <w:br/>
        <w:t xml:space="preserve">second appellant s coll apsed. And as the third appellant did not rely </w:t>
        <w:br/>
        <w:t xml:space="preserve">on alibi but simply denied committing the offence, his denial </w:t>
        <w:br/>
        <w:t xml:space="preserve">collapsed as well.”  20 </w:t>
        <w:br/>
        <w:t xml:space="preserve">[40] Fifthly, the learned SCJ  also noted that the line of defence adopted </w:t>
        <w:br/>
        <w:t xml:space="preserve">by the Accused  was never put to any of the Prosecution’s witnesses </w:t>
        <w:br/>
        <w:t xml:space="preserve">during the Prosecution stage.  Having perused the notes of proceedings, </w:t>
        <w:br/>
        <w:t xml:space="preserve">there was no mentioned anywhere during the Prosecution’s  stage in the </w:t>
        <w:br/>
        <w:t xml:space="preserve">cross -examination of the witnesses that the Accused  was not at the 25 </w:t>
        <w:br/>
        <w:t xml:space="preserve">crime scene as charged.  As cited in the case of Ahmadi Moin v             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29 </w:t>
        <w:br/>
        <w:t xml:space="preserve"> Public Prosecutor  [2017] 1 LNS 303 , the Court of Appeal held as 5 </w:t>
        <w:br/>
        <w:t xml:space="preserve">follows:  </w:t>
        <w:br/>
        <w:t xml:space="preserve">“We found that the trial judge had duly considered all the evidence </w:t>
        <w:br/>
        <w:t xml:space="preserve">adduced before concluding that the defence of the appellant were </w:t>
        <w:br/>
        <w:t xml:space="preserve">mere a denial and an afterthought . It is the duty of the defence to </w:t>
        <w:br/>
        <w:t xml:space="preserve">put its case to the prosecution’s witnesses as might be  in a 10 </w:t>
        <w:br/>
        <w:t xml:space="preserve">position to admit or deny it to enable the prosecution to check on </w:t>
        <w:br/>
        <w:t xml:space="preserve">whether an accused’s version of facts is true of false. And thus </w:t>
        <w:br/>
        <w:t xml:space="preserve">avoid an adverse comment, that the defence is a recent invention, </w:t>
        <w:br/>
        <w:t xml:space="preserve">bare denial or an afterthought (Alcontara a/l Ambros s Anthony v </w:t>
        <w:br/>
        <w:t xml:space="preserve">PP [1996] 1 CLJ 705).  15 </w:t>
        <w:br/>
        <w:t xml:space="preserve">[41] The Accused alibi defence as per his  testimony during the </w:t>
        <w:br/>
        <w:t xml:space="preserve">defence’ s case quoted below was never put to any of the Prosecution </w:t>
        <w:br/>
        <w:t xml:space="preserve">witnesses: -  </w:t>
        <w:br/>
        <w:t xml:space="preserve">Page 6 -7 of 24 Notes of Proceedings (Defence Stage) –Volume </w:t>
        <w:br/>
        <w:t xml:space="preserve">2 Record of Appeal (pages 82 -105) 20 </w:t>
        <w:br/>
        <w:t xml:space="preserve">“Pada 17.10.2018 di mana saya dituduh membuat 1 rompakan di </w:t>
        <w:br/>
        <w:t xml:space="preserve">bawah Seksyen 395 di Kuala Penyu, saya boleh membuktikan </w:t>
        <w:br/>
        <w:t xml:space="preserve">saya ada saksi alibi adik saya sendiri pada hari kejadian. Saya </w:t>
        <w:br/>
        <w:t xml:space="preserve">sempat naik ke atas rumah di Kampung Hungab Penampan g </w:t>
        <w:br/>
        <w:t xml:space="preserve">untuk mengambil makanan serta minta dia duit untuk beli rokok 25 </w:t>
        <w:br/>
        <w:t xml:space="preserve">pada masa yang samada lebih kurang jam 11PM dekat jam 12AM.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30 </w:t>
        <w:br/>
        <w:t xml:space="preserve"> Pada ketika itu saya dalam keadaan lapar saya naik ke atas 5 </w:t>
        <w:br/>
        <w:t xml:space="preserve">rumah saya dapati adik saya sedang sibuk buat assignment, dia </w:t>
        <w:br/>
        <w:t xml:space="preserve">yang buka p intu supaya saya boleh naik atas makan, masa saya </w:t>
        <w:br/>
        <w:t xml:space="preserve">makan saya sempat tengok jam lebih kurang jam 1AM saya </w:t>
        <w:br/>
        <w:t xml:space="preserve">dimarahi oleh adik saya kerana seringkali minta dia duit untuk beli </w:t>
        <w:br/>
        <w:t xml:space="preserve">rokok, akhirnya dia bagi juga RM10 untuk beli rokok, lebih kurang 10 </w:t>
        <w:br/>
        <w:t xml:space="preserve">jam 1:30AM saya t urun dan start motor untuk pergi kedai di </w:t>
        <w:br/>
        <w:t xml:space="preserve">Kampung Hungab untuk beli rokok pada 17.10.2018”  </w:t>
        <w:br/>
        <w:t xml:space="preserve">[42] I am with the learned DPP  that the al ibi defence put by the </w:t>
        <w:br/>
        <w:t xml:space="preserve">Accused  as the defence stage  is a mere self -serving assertion as per </w:t>
        <w:br/>
        <w:t xml:space="preserve">the case of Sakri bin Yusuf v Public Prosecutor  [2011] 4 MLJ 714  at 15 </w:t>
        <w:br/>
        <w:t xml:space="preserve">page 724 whereby Ahmad Maarop JCA (as he then was) reiterated in </w:t>
        <w:br/>
        <w:t xml:space="preserve">his judgment, as follows:  </w:t>
        <w:br/>
        <w:t xml:space="preserve">“The nature of the defence is to be ascertained not only from the </w:t>
        <w:br/>
        <w:t xml:space="preserve">evidence of the accused himself but also from the trend of th e </w:t>
        <w:br/>
        <w:t xml:space="preserve">cross -examination of the prosecution witnesses and the arguments 20 </w:t>
        <w:br/>
        <w:t xml:space="preserve">of the accused’s counsel at the close of the trial. It is therefore </w:t>
        <w:br/>
        <w:t xml:space="preserve">important for the accused to put his essential and material case to </w:t>
        <w:br/>
        <w:t xml:space="preserve">the prosecution witnesses in cross -examination.  This is a principle </w:t>
        <w:br/>
        <w:t xml:space="preserve">of essential justice. Wherever the opponent has declined to avail </w:t>
        <w:br/>
        <w:t xml:space="preserve">himself to the opportunity to put his essential and material case in 25 </w:t>
        <w:br/>
        <w:t xml:space="preserve">cross -examination, it must follow that he believed that the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31 </w:t>
        <w:br/>
        <w:t xml:space="preserve"> testimony given could not be disputed at all. It is wrong to think 5 </w:t>
        <w:br/>
        <w:t xml:space="preserve">that is merely a technical rule of evidence. It is an essential rule of </w:t>
        <w:br/>
        <w:t xml:space="preserve">justice. (see Public Prosecutor v Dato’ Seri Anwar Ibrahim (No 3) </w:t>
        <w:br/>
        <w:t xml:space="preserve">[1999] 2 MLJ at pp 193 -194). The purpose of the defence having </w:t>
        <w:br/>
        <w:t xml:space="preserve">to put its case to the material wi tness for the prosecution was </w:t>
        <w:br/>
        <w:t xml:space="preserve">explained by the Federal Court in Alcontara a/I Ambross Anthony v 10 </w:t>
        <w:br/>
        <w:t xml:space="preserve">Public Prosecutor [1966] 1 MLJ 209:  </w:t>
        <w:br/>
        <w:t xml:space="preserve">In a criminal trial, the whole point and purpose of the defence </w:t>
        <w:br/>
        <w:t xml:space="preserve">having to put its case to such of the prosecution witnesses </w:t>
        <w:br/>
        <w:t xml:space="preserve">as might be in a position to admit or deny it, is to enable the </w:t>
        <w:br/>
        <w:t xml:space="preserve">prosecution to check on whether an accused’s version of the 15 </w:t>
        <w:br/>
        <w:t xml:space="preserve">facts is true or false, and thus avoid the adverse comment, </w:t>
        <w:br/>
        <w:t xml:space="preserve">that the defence is a recent invention in other words, ‘kept up </w:t>
        <w:br/>
        <w:t xml:space="preserve">its slee ve’ as it were – and revealed for the first time when </w:t>
        <w:br/>
        <w:t xml:space="preserve">the accused makes his defence from the witness box or the </w:t>
        <w:br/>
        <w:t xml:space="preserve">dock, thus detracting from the weight to be accorded to the 20 </w:t>
        <w:br/>
        <w:t xml:space="preserve">defence.”  </w:t>
        <w:br/>
        <w:t xml:space="preserve">[43] It is also in evidence that th e Accused  himself when                         </w:t>
        <w:br/>
        <w:t xml:space="preserve">cross -examined by the Prosecution in his defence, concede with PW  4’s </w:t>
        <w:br/>
        <w:t xml:space="preserve">identification: -  </w:t>
        <w:br/>
        <w:t xml:space="preserve">Page 11 of 24 Notes of Proceedings (Defence Stage) –Volume 25 </w:t>
        <w:br/>
        <w:t xml:space="preserve">2 Record of Appeal (pages 82 -105)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32 </w:t>
        <w:br/>
        <w:t xml:space="preserve"> Q Mangsa cam kamu melalui rupa kamu dan suara kam u 5 </w:t>
        <w:br/>
        <w:t xml:space="preserve">ketika di Mahkamah terbuka ini, setuju?  </w:t>
        <w:br/>
        <w:t xml:space="preserve">A Setuju.  </w:t>
        <w:br/>
        <w:t xml:space="preserve">Q Mangsa dapat cam kamu kerana dia melihat kamu ketika </w:t>
        <w:br/>
        <w:t xml:space="preserve">waktu kejadian dan mendengar suara kamu?  </w:t>
        <w:br/>
        <w:t xml:space="preserve">A Setuju kalau mengikut keterangan yang diberikan pengadu, 10 </w:t>
        <w:br/>
        <w:t xml:space="preserve">PW4.  </w:t>
        <w:br/>
        <w:t xml:space="preserve">[44] Thus,  the alibi defence of the Accused  collapsed with the learned </w:t>
        <w:br/>
        <w:t xml:space="preserve">SCJ’s  finding that the accused had been positively identified by PW  4. </w:t>
        <w:br/>
        <w:t xml:space="preserve">This was illustrated in the case of Duis Akim &amp; Ors v PP  (supra)  </w:t>
        <w:br/>
        <w:t xml:space="preserve">referred to above.  15 </w:t>
        <w:br/>
        <w:t xml:space="preserve"> </w:t>
        <w:br/>
        <w:t xml:space="preserve">The Appeal on Sentencing  </w:t>
        <w:br/>
        <w:t xml:space="preserve">[45] The Appellant/Ac cused was sentenced  to 16  years’ imprisonment </w:t>
        <w:br/>
        <w:t xml:space="preserve">from date of conviction and one (1) stroke of the whipping which the </w:t>
        <w:br/>
        <w:t xml:space="preserve">learned counsel submitted that it was manifestly excessive on account 20 </w:t>
        <w:br/>
        <w:t xml:space="preserve">that injuries -free incident, the cooperative Appellant and unsubstantiated </w:t>
        <w:br/>
        <w:t xml:space="preserve">allegation of t he Appellant being abused by the police . </w:t>
        <w:br/>
        <w:t xml:space="preserve">[46] In passing the sentence , the learned SCJ  had given her  reasons </w:t>
        <w:br/>
        <w:t xml:space="preserve">as follows: - </w:t>
        <w:br/>
        <w:t xml:space="preserve">[57]  The Court took into consideration of the following factors 25 </w:t>
        <w:br/>
        <w:t xml:space="preserve">before delivering her order: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33 </w:t>
        <w:br/>
        <w:t xml:space="preserve"> [i]  Public Interest  5 </w:t>
        <w:br/>
        <w:t xml:space="preserve">The Court gave due consideration to the Parliament's intention </w:t>
        <w:br/>
        <w:t xml:space="preserve">when passing the statute in seeking to control this offence.               </w:t>
        <w:br/>
        <w:t xml:space="preserve">By imposing such sentence, it will deter and prevent offender </w:t>
        <w:br/>
        <w:t xml:space="preserve">and would be offenders from committing the same offence                </w:t>
        <w:br/>
        <w:t xml:space="preserve">[See PP v. Teh Ah Cheng  [1976] 1 LNS 116, [1976] 2 MLJ 186; 10 </w:t>
        <w:br/>
        <w:t xml:space="preserve">Bhandulananda Jayatilake v. PP  [1981] 1 LNS 139, [1982]                </w:t>
        <w:br/>
        <w:t xml:space="preserve">1 MLJ 83].  </w:t>
        <w:br/>
        <w:t xml:space="preserve">[ii]  Seriousness and rampancy of the offence  </w:t>
        <w:br/>
        <w:t xml:space="preserve">The offence committed was very grave and serious. The nature </w:t>
        <w:br/>
        <w:t xml:space="preserve">of the crime has been on an increase and very rampant in our 15 </w:t>
        <w:br/>
        <w:t xml:space="preserve">society. There were some reports of gang robbery in the </w:t>
        <w:br/>
        <w:t xml:space="preserve">newspaper which may even result in grievous hurt and even </w:t>
        <w:br/>
        <w:t xml:space="preserve">death. Fortunately,  this did not happen to the </w:t>
        <w:br/>
        <w:t xml:space="preserve">complainant/victim (PW  4).  </w:t>
        <w:br/>
        <w:t xml:space="preserve">[iii] The nature and manner the offence was committed  20 </w:t>
        <w:br/>
        <w:t xml:space="preserve">The complainant/victim (PW  4) was put in fear when the </w:t>
        <w:br/>
        <w:t xml:space="preserve">Accused and another person entered his shop by </w:t>
        <w:br/>
        <w:t xml:space="preserve">impersonating the narcotic police, handcuffin g PW  4 and </w:t>
        <w:br/>
        <w:t xml:space="preserve">covering a black plastic bag over h is head before fleeing with </w:t>
        <w:br/>
        <w:t xml:space="preserve">PW 4’ s property. It happened after he finished work at about 25 </w:t>
        <w:br/>
        <w:t xml:space="preserve">2:30 a.m. on 17th Octo ber 2018. 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34 </w:t>
        <w:br/>
        <w:t xml:space="preserve"> [iv] Full trial  5 </w:t>
        <w:br/>
        <w:t xml:space="preserve">The Accused was convicted after a full trial where the </w:t>
        <w:br/>
        <w:t xml:space="preserve">Prosecution calle d six (6) witnesses and the defence called  </w:t>
        <w:br/>
        <w:t xml:space="preserve">two ( 2) witnesses including the Accused.  </w:t>
        <w:br/>
        <w:t xml:space="preserve">[v]  Plea in mitigation  </w:t>
        <w:br/>
        <w:t xml:space="preserve">The plea in mitigation by the Accused was considered by the 10 </w:t>
        <w:br/>
        <w:t xml:space="preserve">Court. (Refer to the Notes of Proceedings).  </w:t>
        <w:br/>
        <w:t xml:space="preserve">[vi] Prosecution’ s Reply  </w:t>
        <w:br/>
        <w:t xml:space="preserve">The Court also took into consideration the submission by the </w:t>
        <w:br/>
        <w:t xml:space="preserve">Prosecution (Refer to the Notes of Proceedings).  </w:t>
        <w:br/>
        <w:t xml:space="preserve">[vii] Previous conviction records  15 </w:t>
        <w:br/>
        <w:t xml:space="preserve">The Accused was convicted and sentenced to 5 years’  </w:t>
        <w:br/>
        <w:t xml:space="preserve">imprisonment starting from 20.06.2016 (BKI -62RS -39/11 -2017), </w:t>
        <w:br/>
        <w:t xml:space="preserve">fined of RM1, 600 in default 8 months’  imprisonment and            </w:t>
        <w:br/>
        <w:t xml:space="preserve">2 years’  police supervision and National Anti -Drug Agency </w:t>
        <w:br/>
        <w:t xml:space="preserve">Malaysia (BKI -83D-1748/12 -2017) and sentenced to 5 years’  20 </w:t>
        <w:br/>
        <w:t xml:space="preserve">imprisonment with effect from 07.08.2018 where stay of </w:t>
        <w:br/>
        <w:t xml:space="preserve">execution granted (BKI -83D-225/2 -2018) (refer to NOP) which </w:t>
        <w:br/>
        <w:t xml:space="preserve">was admitted by the accused. As such, the accused could be </w:t>
        <w:br/>
        <w:t xml:space="preserve">considered as a habitual offender.  </w:t>
        <w:br/>
        <w:t xml:space="preserve"> 25 </w:t>
        <w:br/>
        <w:t xml:space="preserve">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35 </w:t>
        <w:br/>
        <w:t xml:space="preserve"> [viii] Where whipping is discretionary  5 </w:t>
        <w:br/>
        <w:t xml:space="preserve">The term used "shall be punished with imprisonment … and </w:t>
        <w:br/>
        <w:t xml:space="preserve">shall also be liable to whipping" imposes this provision for </w:t>
        <w:br/>
        <w:t xml:space="preserve">imprisonment being coupled with discretionary whipping. By </w:t>
        <w:br/>
        <w:t xml:space="preserve">imposing the sentence of whipping it will deter the offender and </w:t>
        <w:br/>
        <w:t xml:space="preserve">would be offen ders from committing the same offence.  10 </w:t>
        <w:br/>
        <w:t xml:space="preserve">[ix] The sentences were not manifestly excessive as Section 395 </w:t>
        <w:br/>
        <w:t xml:space="preserve">PC carries a maximum sentence of twenty (20) years </w:t>
        <w:br/>
        <w:t xml:space="preserve">imprisonment and liable to whipping.  </w:t>
        <w:br/>
        <w:t xml:space="preserve">[47] Clearly, the learned SCJ  had outweighed the plea of mitigation in </w:t>
        <w:br/>
        <w:t xml:space="preserve">favour of the public interest in view of the seriousness of  the offence the 15 </w:t>
        <w:br/>
        <w:t xml:space="preserve">Accused person  was charged with .  The Accused also have the record </w:t>
        <w:br/>
        <w:t xml:space="preserve">of previous convictions . In my view , the learned SCJ  was not in error </w:t>
        <w:br/>
        <w:t xml:space="preserve">when she took the course she did as the imprison ment terms imposed is </w:t>
        <w:br/>
        <w:t xml:space="preserve">within her  discretionary limits and upon considering all  the relevant </w:t>
        <w:br/>
        <w:t xml:space="preserve">factors before her.  20 </w:t>
        <w:br/>
        <w:t xml:space="preserve"> </w:t>
        <w:br/>
        <w:t xml:space="preserve">CONCLUSION  </w:t>
        <w:br/>
        <w:t xml:space="preserve">[48]  Having perused through the Record of Appeal, the submission by </w:t>
        <w:br/>
        <w:t xml:space="preserve">both the Appellant and the Respondent and also the ground of </w:t>
        <w:br/>
        <w:t xml:space="preserve">judgment, I find that there is no reason to disturb the finding of facts by 25 </w:t>
        <w:br/>
        <w:t xml:space="preserve">the learned SCJ of the identification of the accused by PW4 . The alibi </w:t>
      </w:r>
    </w:p>
    <w:p>
      <w:r>
        <w:br w:type="page"/>
      </w:r>
    </w:p>
    <w:p>
      <w:r>
        <w:t xml:space="preserve">[BKI-42S-13/11 of 2019]  </w:t>
        <w:br/>
        <w:t xml:space="preserve"> (Carlsten Freddie Japat v. Public Prosecutor ) </w:t>
        <w:br/>
        <w:t xml:space="preserve"> </w:t>
        <w:br/>
        <w:t xml:space="preserve">36 </w:t>
        <w:br/>
        <w:t xml:space="preserve"> defence of the accused collapsed with the learned SCJ’s finding that the 5 </w:t>
        <w:br/>
        <w:t xml:space="preserve">accused had been positively identified by PW4. This was illustrated in </w:t>
        <w:br/>
        <w:t xml:space="preserve">the case of Duis Akim &amp; Ors v PP  (supra)  referred to above.  </w:t>
        <w:br/>
        <w:t xml:space="preserve">[49]  As to the sentencing, the learned SCJ was not in error when she </w:t>
        <w:br/>
        <w:t xml:space="preserve">took the course she did as the imprisonment terms imposed is within her </w:t>
        <w:br/>
        <w:t xml:space="preserve">discretionary limits and upon considering all the relevant factors before 10 </w:t>
        <w:br/>
        <w:t xml:space="preserve">her. </w:t>
        <w:br/>
        <w:t xml:space="preserve">[50] Based on the foregoing reasons, I affirm the conviction and </w:t>
        <w:br/>
        <w:t xml:space="preserve">sentence passed by the learned SCJ .  Appeal is dismissed accordingly.  </w:t>
        <w:br/>
        <w:t xml:space="preserve"> </w:t>
        <w:br/>
        <w:t xml:space="preserve">-sgd- 15 </w:t>
        <w:br/>
        <w:t xml:space="preserve">AMELATI PARNELL  </w:t>
        <w:br/>
        <w:t xml:space="preserve">Judicial Commissioner  </w:t>
        <w:br/>
        <w:t xml:space="preserve">High Court Kota Kinabalu  </w:t>
        <w:br/>
        <w:t xml:space="preserve">Sabah  </w:t>
        <w:br/>
        <w:t xml:space="preserve"> 20 </w:t>
        <w:br/>
        <w:t xml:space="preserve">Date of Delivering of Ruling: 22nd June 2021  </w:t>
        <w:br/>
        <w:t xml:space="preserve"> </w:t>
        <w:br/>
        <w:t xml:space="preserve">For the Appellant  :  Mr. Hamid bin Ismail  </w:t>
        <w:br/>
        <w:t xml:space="preserve">    Messrs.  Hamid &amp; Co . </w:t>
        <w:br/>
        <w:t xml:space="preserve">    Sabah  25 </w:t>
        <w:br/>
        <w:t xml:space="preserve">For the Respondent:  DPP Mohd Khairuddin bin Idris  </w:t>
        <w:br/>
        <w:t xml:space="preserve">    Deputy Public Prosecutor  </w:t>
        <w:br/>
        <w:t xml:space="preserve">    Jabatan Peguam Negara, Negeri Sabah  </w:t>
        <w:br/>
        <w:t xml:space="preserve">    Kota Kinabalu, Sabah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