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3e92898f8c545d8bb4543d32cb81aaebdeb4066e.png"/>
            <a:graphic>
              <a:graphicData uri="http://schemas.openxmlformats.org/drawingml/2006/picture">
                <pic:pic>
                  <pic:nvPicPr>
                    <pic:cNvPr id="1" name="image-3e92898f8c545d8bb4543d32cb81aaebdeb4066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o_provide_detailed_instructions_e7844d"/>
      <w:r>
        <w:rPr>
          <w:rFonts w:eastAsia="inter" w:cs="inter" w:ascii="inter" w:hAnsi="inter"/>
          <w:b/>
          <w:color w:val="000000"/>
          <w:sz w:val="39"/>
        </w:rPr>
        <w:t xml:space="preserve">No provide detailed instructions with drawings to create a physical model with cardboard and paper</w:t>
      </w:r>
      <w:bookmarkEnd w:id="0"/>
    </w:p>
    <w:p>
      <w:pPr>
        <w:spacing w:line="360" w:after="210" w:lineRule="auto"/>
      </w:pPr>
      <w:r>
        <w:rPr>
          <w:rFonts w:eastAsia="inter" w:cs="inter" w:ascii="inter" w:hAnsi="inter"/>
          <w:color w:val="000000"/>
        </w:rPr>
        <w:t xml:space="preserve">Here are step-by-step instructions to create a physical demo model using cardboard and paper, simulating your natural dye color standardization “machine.” This approach uses basic crafting techniques and sketches, making it suitable for middle school teams to build and present to judges.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materials_needed"/>
      <w:r>
        <w:rPr>
          <w:rFonts w:eastAsia="inter" w:cs="inter" w:ascii="inter" w:hAnsi="inter"/>
          <w:b/>
          <w:color w:val="000000"/>
          <w:sz w:val="24"/>
        </w:rPr>
        <w:t xml:space="preserve">Materials Needed</w:t>
      </w:r>
      <w:bookmarkEnd w:id="4"/>
    </w:p>
    <w:p>
      <w:pPr>
        <w:numPr>
          <w:ilvl w:val="0"/>
          <w:numId w:val="1"/>
        </w:numPr>
        <w:spacing w:line="360" w:before="105" w:after="105" w:lineRule="auto"/>
      </w:pPr>
      <w:r>
        <w:rPr>
          <w:rFonts w:eastAsia="inter" w:cs="inter" w:ascii="inter" w:hAnsi="inter"/>
          <w:color w:val="000000"/>
          <w:sz w:val="21"/>
        </w:rPr>
        <w:t xml:space="preserve">Cardboard sheets (recycled boxes work well)</w:t>
      </w:r>
    </w:p>
    <w:p>
      <w:pPr>
        <w:numPr>
          <w:ilvl w:val="0"/>
          <w:numId w:val="1"/>
        </w:numPr>
        <w:spacing w:line="360" w:before="105" w:after="105" w:lineRule="auto"/>
      </w:pPr>
      <w:r>
        <w:rPr>
          <w:rFonts w:eastAsia="inter" w:cs="inter" w:ascii="inter" w:hAnsi="inter"/>
          <w:color w:val="000000"/>
          <w:sz w:val="21"/>
        </w:rPr>
        <w:t xml:space="preserve">Colored paper in several shades (to represent dyed samples)</w:t>
      </w:r>
    </w:p>
    <w:p>
      <w:pPr>
        <w:numPr>
          <w:ilvl w:val="0"/>
          <w:numId w:val="1"/>
        </w:numPr>
        <w:spacing w:line="360" w:before="105" w:after="105" w:lineRule="auto"/>
      </w:pPr>
      <w:r>
        <w:rPr>
          <w:rFonts w:eastAsia="inter" w:cs="inter" w:ascii="inter" w:hAnsi="inter"/>
          <w:color w:val="000000"/>
          <w:sz w:val="21"/>
        </w:rPr>
        <w:t xml:space="preserve">White paper (for labels, diagrams, and display)</w:t>
      </w:r>
    </w:p>
    <w:p>
      <w:pPr>
        <w:numPr>
          <w:ilvl w:val="0"/>
          <w:numId w:val="1"/>
        </w:numPr>
        <w:spacing w:line="360" w:before="105" w:after="105" w:lineRule="auto"/>
      </w:pPr>
      <w:r>
        <w:rPr>
          <w:rFonts w:eastAsia="inter" w:cs="inter" w:ascii="inter" w:hAnsi="inter"/>
          <w:color w:val="000000"/>
          <w:sz w:val="21"/>
        </w:rPr>
        <w:t xml:space="preserve">Pencil or pen</w:t>
      </w:r>
    </w:p>
    <w:p>
      <w:pPr>
        <w:numPr>
          <w:ilvl w:val="0"/>
          <w:numId w:val="1"/>
        </w:numPr>
        <w:spacing w:line="360" w:before="105" w:after="105" w:lineRule="auto"/>
      </w:pPr>
      <w:r>
        <w:rPr>
          <w:rFonts w:eastAsia="inter" w:cs="inter" w:ascii="inter" w:hAnsi="inter"/>
          <w:color w:val="000000"/>
          <w:sz w:val="21"/>
        </w:rPr>
        <w:t xml:space="preserve">Ruler</w:t>
      </w:r>
    </w:p>
    <w:p>
      <w:pPr>
        <w:numPr>
          <w:ilvl w:val="0"/>
          <w:numId w:val="1"/>
        </w:numPr>
        <w:spacing w:line="360" w:before="105" w:after="105" w:lineRule="auto"/>
      </w:pPr>
      <w:r>
        <w:rPr>
          <w:rFonts w:eastAsia="inter" w:cs="inter" w:ascii="inter" w:hAnsi="inter"/>
          <w:color w:val="000000"/>
          <w:sz w:val="21"/>
        </w:rPr>
        <w:t xml:space="preserve">Scissors or craft knife</w:t>
      </w:r>
    </w:p>
    <w:p>
      <w:pPr>
        <w:numPr>
          <w:ilvl w:val="0"/>
          <w:numId w:val="1"/>
        </w:numPr>
        <w:spacing w:line="360" w:before="105" w:after="105" w:lineRule="auto"/>
      </w:pPr>
      <w:r>
        <w:rPr>
          <w:rFonts w:eastAsia="inter" w:cs="inter" w:ascii="inter" w:hAnsi="inter"/>
          <w:color w:val="000000"/>
          <w:sz w:val="21"/>
        </w:rPr>
        <w:t xml:space="preserve">Tape or glue stick</w:t>
      </w:r>
    </w:p>
    <w:p>
      <w:pPr>
        <w:numPr>
          <w:ilvl w:val="0"/>
          <w:numId w:val="1"/>
        </w:numPr>
        <w:spacing w:line="360" w:before="105" w:after="105" w:lineRule="auto"/>
      </w:pPr>
      <w:r>
        <w:rPr>
          <w:rFonts w:eastAsia="inter" w:cs="inter" w:ascii="inter" w:hAnsi="inter"/>
          <w:color w:val="000000"/>
          <w:sz w:val="21"/>
        </w:rPr>
        <w:t xml:space="preserve">Markers</w:t>
      </w:r>
    </w:p>
    <w:p>
      <w:pPr>
        <w:numPr>
          <w:ilvl w:val="0"/>
          <w:numId w:val="1"/>
        </w:numPr>
        <w:spacing w:line="360" w:before="105" w:after="105" w:lineRule="auto"/>
      </w:pPr>
      <w:r>
        <w:rPr>
          <w:rFonts w:eastAsia="inter" w:cs="inter" w:ascii="inter" w:hAnsi="inter"/>
          <w:color w:val="000000"/>
          <w:sz w:val="21"/>
        </w:rPr>
        <w:t xml:space="preserve">Optional: pom poms, pins, colored lights or stickers</w:t>
      </w:r>
    </w:p>
    <w:p>
      <w:pPr>
        <w:spacing w:line="360" w:before="315" w:after="105" w:lineRule="auto"/>
        <w:ind w:left="-30"/>
        <w:jc w:val="left"/>
      </w:pPr>
      <w:bookmarkStart w:id="5" w:name="build_steps"/>
      <w:r>
        <w:rPr>
          <w:rFonts w:eastAsia="inter" w:cs="inter" w:ascii="inter" w:hAnsi="inter"/>
          <w:b/>
          <w:color w:val="000000"/>
          <w:sz w:val="24"/>
        </w:rPr>
        <w:t xml:space="preserve">Build Steps</w:t>
      </w:r>
      <w:bookmarkEnd w:id="5"/>
    </w:p>
    <w:p>
      <w:pPr>
        <w:spacing w:line="360" w:before="315" w:after="105" w:lineRule="auto"/>
        <w:ind w:left="-30"/>
        <w:jc w:val="left"/>
      </w:pPr>
      <w:bookmarkStart w:id="6" w:name="bm_1_sketch_your_design"/>
      <w:r>
        <w:rPr>
          <w:rFonts w:eastAsia="inter" w:cs="inter" w:ascii="inter" w:hAnsi="inter"/>
          <w:b/>
          <w:color w:val="000000"/>
          <w:sz w:val="24"/>
        </w:rPr>
        <w:t xml:space="preserve">1. Sketch Your Design</w:t>
      </w:r>
      <w:bookmarkEnd w:id="6"/>
    </w:p>
    <w:p>
      <w:pPr>
        <w:numPr>
          <w:ilvl w:val="0"/>
          <w:numId w:val="2"/>
        </w:numPr>
        <w:spacing w:line="360" w:before="105" w:after="105" w:lineRule="auto"/>
      </w:pPr>
      <w:r>
        <w:rPr>
          <w:rFonts w:eastAsia="inter" w:cs="inter" w:ascii="inter" w:hAnsi="inter"/>
          <w:color w:val="000000"/>
          <w:sz w:val="21"/>
        </w:rPr>
        <w:t xml:space="preserve">Draw a simple diagram on paper of your machine, including:</w:t>
      </w:r>
    </w:p>
    <w:p>
      <w:pPr>
        <w:numPr>
          <w:ilvl w:val="1"/>
          <w:numId w:val="2"/>
        </w:numPr>
        <w:spacing w:line="360" w:before="105" w:after="105" w:lineRule="auto"/>
      </w:pPr>
      <w:r>
        <w:rPr>
          <w:rFonts w:eastAsia="inter" w:cs="inter" w:ascii="inter" w:hAnsi="inter"/>
          <w:color w:val="000000"/>
          <w:sz w:val="21"/>
        </w:rPr>
        <w:t xml:space="preserve">“Dye ingredient” section</w:t>
      </w:r>
    </w:p>
    <w:p>
      <w:pPr>
        <w:numPr>
          <w:ilvl w:val="1"/>
          <w:numId w:val="2"/>
        </w:numPr>
        <w:spacing w:line="360" w:before="105" w:after="105" w:lineRule="auto"/>
      </w:pPr>
      <w:r>
        <w:rPr>
          <w:rFonts w:eastAsia="inter" w:cs="inter" w:ascii="inter" w:hAnsi="inter"/>
          <w:color w:val="000000"/>
          <w:sz w:val="21"/>
        </w:rPr>
        <w:t xml:space="preserve">“Mixing area”</w:t>
      </w:r>
    </w:p>
    <w:p>
      <w:pPr>
        <w:numPr>
          <w:ilvl w:val="1"/>
          <w:numId w:val="2"/>
        </w:numPr>
        <w:spacing w:line="360" w:before="105" w:after="105" w:lineRule="auto"/>
      </w:pPr>
      <w:r>
        <w:rPr>
          <w:rFonts w:eastAsia="inter" w:cs="inter" w:ascii="inter" w:hAnsi="inter"/>
          <w:color w:val="000000"/>
          <w:sz w:val="21"/>
        </w:rPr>
        <w:t xml:space="preserve">“AI color standardization station”</w:t>
      </w:r>
    </w:p>
    <w:p>
      <w:pPr>
        <w:numPr>
          <w:ilvl w:val="1"/>
          <w:numId w:val="2"/>
        </w:numPr>
        <w:spacing w:line="360" w:before="105" w:after="105" w:lineRule="auto"/>
      </w:pPr>
      <w:r>
        <w:rPr>
          <w:rFonts w:eastAsia="inter" w:cs="inter" w:ascii="inter" w:hAnsi="inter"/>
          <w:color w:val="000000"/>
          <w:sz w:val="21"/>
        </w:rPr>
        <w:t xml:space="preserve">Display/output area for standardized color samples</w:t>
      </w:r>
    </w:p>
    <w:p>
      <w:pPr>
        <w:numPr>
          <w:ilvl w:val="0"/>
          <w:numId w:val="2"/>
        </w:numPr>
        <w:spacing w:line="360" w:before="105" w:after="105" w:lineRule="auto"/>
      </w:pPr>
      <w:r>
        <w:rPr>
          <w:rFonts w:eastAsia="inter" w:cs="inter" w:ascii="inter" w:hAnsi="inter"/>
          <w:color w:val="000000"/>
          <w:sz w:val="21"/>
        </w:rPr>
        <w:t xml:space="preserve">Decide on the basic box size (e.g., shoe box).</w:t>
      </w:r>
    </w:p>
    <w:p>
      <w:pPr>
        <w:spacing w:line="360" w:before="315" w:after="105" w:lineRule="auto"/>
        <w:ind w:left="-30"/>
        <w:jc w:val="left"/>
      </w:pPr>
      <w:bookmarkStart w:id="7" w:name="bm_2_cut_and_assemble_main_body"/>
      <w:r>
        <w:rPr>
          <w:rFonts w:eastAsia="inter" w:cs="inter" w:ascii="inter" w:hAnsi="inter"/>
          <w:b/>
          <w:color w:val="000000"/>
          <w:sz w:val="24"/>
        </w:rPr>
        <w:t xml:space="preserve">2. Cut and Assemble Main Body</w:t>
      </w:r>
      <w:bookmarkEnd w:id="7"/>
    </w:p>
    <w:p>
      <w:pPr>
        <w:numPr>
          <w:ilvl w:val="0"/>
          <w:numId w:val="3"/>
        </w:numPr>
        <w:spacing w:line="360" w:before="105" w:after="105" w:lineRule="auto"/>
      </w:pPr>
      <w:r>
        <w:rPr>
          <w:rFonts w:eastAsia="inter" w:cs="inter" w:ascii="inter" w:hAnsi="inter"/>
          <w:color w:val="000000"/>
          <w:sz w:val="21"/>
        </w:rPr>
        <w:t xml:space="preserve">Cut six pieces of cardboard to form a rectangular box (about the size of a shoe box).</w:t>
      </w:r>
    </w:p>
    <w:p>
      <w:pPr>
        <w:numPr>
          <w:ilvl w:val="0"/>
          <w:numId w:val="3"/>
        </w:numPr>
        <w:spacing w:line="360" w:before="105" w:after="105" w:lineRule="auto"/>
      </w:pPr>
      <w:r>
        <w:rPr>
          <w:rFonts w:eastAsia="inter" w:cs="inter" w:ascii="inter" w:hAnsi="inter"/>
          <w:color w:val="000000"/>
          <w:sz w:val="21"/>
        </w:rPr>
        <w:t xml:space="preserve">Tape or glue the sides together to create the main body of your prototype.</w:t>
      </w:r>
      <w:bookmarkStart w:id="8" w:name="fnref3_1"/>
      <w:bookmarkEnd w:id="8"/>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bookmarkStart w:id="9" w:name="bm_3_create_separate_sections"/>
      <w:r>
        <w:rPr>
          <w:rFonts w:eastAsia="inter" w:cs="inter" w:ascii="inter" w:hAnsi="inter"/>
          <w:b/>
          <w:color w:val="000000"/>
          <w:sz w:val="24"/>
        </w:rPr>
        <w:t xml:space="preserve">3. Create Separate Sections</w:t>
      </w:r>
      <w:bookmarkEnd w:id="9"/>
    </w:p>
    <w:p>
      <w:pPr>
        <w:numPr>
          <w:ilvl w:val="0"/>
          <w:numId w:val="4"/>
        </w:numPr>
        <w:spacing w:line="360" w:before="105" w:after="105" w:lineRule="auto"/>
      </w:pPr>
      <w:r>
        <w:rPr>
          <w:rFonts w:eastAsia="inter" w:cs="inter" w:ascii="inter" w:hAnsi="inter"/>
          <w:color w:val="000000"/>
          <w:sz w:val="21"/>
        </w:rPr>
        <w:t xml:space="preserve">Use smaller cardboard dividers inside the box to partition the main sections:</w:t>
      </w:r>
    </w:p>
    <w:p>
      <w:pPr>
        <w:numPr>
          <w:ilvl w:val="1"/>
          <w:numId w:val="4"/>
        </w:numPr>
        <w:spacing w:line="360" w:before="105" w:after="105" w:lineRule="auto"/>
      </w:pPr>
      <w:r>
        <w:rPr>
          <w:rFonts w:eastAsia="inter" w:cs="inter" w:ascii="inter" w:hAnsi="inter"/>
          <w:color w:val="000000"/>
          <w:sz w:val="21"/>
        </w:rPr>
        <w:t xml:space="preserve">A small compartment for “ingredient storage” (where colored paper or pom poms go)</w:t>
      </w:r>
    </w:p>
    <w:p>
      <w:pPr>
        <w:numPr>
          <w:ilvl w:val="1"/>
          <w:numId w:val="4"/>
        </w:numPr>
        <w:spacing w:line="360" w:before="105" w:after="105" w:lineRule="auto"/>
      </w:pPr>
      <w:r>
        <w:rPr>
          <w:rFonts w:eastAsia="inter" w:cs="inter" w:ascii="inter" w:hAnsi="inter"/>
          <w:color w:val="000000"/>
          <w:sz w:val="21"/>
        </w:rPr>
        <w:t xml:space="preserve">A central “mixing station” area</w:t>
      </w:r>
    </w:p>
    <w:p>
      <w:pPr>
        <w:numPr>
          <w:ilvl w:val="1"/>
          <w:numId w:val="4"/>
        </w:numPr>
        <w:spacing w:line="360" w:before="105" w:after="105" w:lineRule="auto"/>
      </w:pPr>
      <w:r>
        <w:rPr>
          <w:rFonts w:eastAsia="inter" w:cs="inter" w:ascii="inter" w:hAnsi="inter"/>
          <w:color w:val="000000"/>
          <w:sz w:val="21"/>
        </w:rPr>
        <w:t xml:space="preserve">An “AI analysis station” (display zone)</w:t>
      </w:r>
    </w:p>
    <w:p>
      <w:pPr>
        <w:numPr>
          <w:ilvl w:val="0"/>
          <w:numId w:val="4"/>
        </w:numPr>
        <w:spacing w:line="360" w:before="105" w:after="105" w:lineRule="auto"/>
      </w:pPr>
      <w:r>
        <w:rPr>
          <w:rFonts w:eastAsia="inter" w:cs="inter" w:ascii="inter" w:hAnsi="inter"/>
          <w:color w:val="000000"/>
          <w:sz w:val="21"/>
        </w:rPr>
        <w:t xml:space="preserve">You can glue these dividers in place.</w:t>
      </w:r>
    </w:p>
    <w:p>
      <w:pPr>
        <w:spacing w:line="360" w:before="315" w:after="105" w:lineRule="auto"/>
        <w:ind w:left="-30"/>
        <w:jc w:val="left"/>
      </w:pPr>
      <w:bookmarkStart w:id="10" w:name="bm_4_prepare_color_samples"/>
      <w:r>
        <w:rPr>
          <w:rFonts w:eastAsia="inter" w:cs="inter" w:ascii="inter" w:hAnsi="inter"/>
          <w:b/>
          <w:color w:val="000000"/>
          <w:sz w:val="24"/>
        </w:rPr>
        <w:t xml:space="preserve">4. Prepare Color Samples</w:t>
      </w:r>
      <w:bookmarkEnd w:id="10"/>
    </w:p>
    <w:p>
      <w:pPr>
        <w:numPr>
          <w:ilvl w:val="0"/>
          <w:numId w:val="5"/>
        </w:numPr>
        <w:spacing w:line="360" w:before="105" w:after="105" w:lineRule="auto"/>
      </w:pPr>
      <w:r>
        <w:rPr>
          <w:rFonts w:eastAsia="inter" w:cs="inter" w:ascii="inter" w:hAnsi="inter"/>
          <w:color w:val="000000"/>
          <w:sz w:val="21"/>
        </w:rPr>
        <w:t xml:space="preserve">Cut out several colored circles from paper (each one showing a different “natural dye” color). Write the dye source name underneath (e.g., “turmeric yellow,” “indigo blue”) using marker.</w:t>
      </w:r>
    </w:p>
    <w:p>
      <w:pPr>
        <w:numPr>
          <w:ilvl w:val="0"/>
          <w:numId w:val="5"/>
        </w:numPr>
        <w:spacing w:line="360" w:before="105" w:after="105" w:lineRule="auto"/>
      </w:pPr>
      <w:r>
        <w:rPr>
          <w:rFonts w:eastAsia="inter" w:cs="inter" w:ascii="inter" w:hAnsi="inter"/>
          <w:color w:val="000000"/>
          <w:sz w:val="21"/>
        </w:rPr>
        <w:t xml:space="preserve">For extra effect, glue these samples on small pieces of white cardboard to look like test cards.</w:t>
      </w:r>
      <w:bookmarkStart w:id="11" w:name="fnref1_1"/>
      <w:bookmarkEnd w:id="11"/>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2" w:name="bm_5_simulate_ai_standardization_station"/>
      <w:r>
        <w:rPr>
          <w:rFonts w:eastAsia="inter" w:cs="inter" w:ascii="inter" w:hAnsi="inter"/>
          <w:b/>
          <w:color w:val="000000"/>
          <w:sz w:val="24"/>
        </w:rPr>
        <w:t xml:space="preserve">5. Simulate “AI Standardization” Station</w:t>
      </w:r>
      <w:bookmarkEnd w:id="12"/>
    </w:p>
    <w:p>
      <w:pPr>
        <w:numPr>
          <w:ilvl w:val="0"/>
          <w:numId w:val="6"/>
        </w:numPr>
        <w:spacing w:line="360" w:before="105" w:after="105" w:lineRule="auto"/>
      </w:pPr>
      <w:r>
        <w:rPr>
          <w:rFonts w:eastAsia="inter" w:cs="inter" w:ascii="inter" w:hAnsi="inter"/>
          <w:color w:val="000000"/>
          <w:sz w:val="21"/>
        </w:rPr>
        <w:t xml:space="preserve">Near the mixing area, set up an “analysis board”: mount white paper or more cardboard as a flat display zone. This is where judges can place color cards or circles to imagine AI scanning.</w:t>
      </w:r>
    </w:p>
    <w:p>
      <w:pPr>
        <w:numPr>
          <w:ilvl w:val="0"/>
          <w:numId w:val="6"/>
        </w:numPr>
        <w:spacing w:line="360" w:before="105" w:after="105" w:lineRule="auto"/>
      </w:pPr>
      <w:r>
        <w:rPr>
          <w:rFonts w:eastAsia="inter" w:cs="inter" w:ascii="inter" w:hAnsi="inter"/>
          <w:color w:val="000000"/>
          <w:sz w:val="21"/>
        </w:rPr>
        <w:t xml:space="preserve">Optionally, draw color scales or spectra on the board to show before/after color correction.</w:t>
      </w:r>
    </w:p>
    <w:p>
      <w:pPr>
        <w:spacing w:line="360" w:before="315" w:after="105" w:lineRule="auto"/>
        <w:ind w:left="-30"/>
        <w:jc w:val="left"/>
      </w:pPr>
      <w:bookmarkStart w:id="13" w:name="bm_6_interactive_elements"/>
      <w:r>
        <w:rPr>
          <w:rFonts w:eastAsia="inter" w:cs="inter" w:ascii="inter" w:hAnsi="inter"/>
          <w:b/>
          <w:color w:val="000000"/>
          <w:sz w:val="24"/>
        </w:rPr>
        <w:t xml:space="preserve">6. Interactive Elements</w:t>
      </w:r>
      <w:bookmarkEnd w:id="13"/>
    </w:p>
    <w:p>
      <w:pPr>
        <w:numPr>
          <w:ilvl w:val="0"/>
          <w:numId w:val="7"/>
        </w:numPr>
        <w:spacing w:line="360" w:before="105" w:after="105" w:lineRule="auto"/>
      </w:pPr>
      <w:r>
        <w:rPr>
          <w:rFonts w:eastAsia="inter" w:cs="inter" w:ascii="inter" w:hAnsi="inter"/>
          <w:color w:val="000000"/>
          <w:sz w:val="21"/>
        </w:rPr>
        <w:t xml:space="preserve">Make simple “buttons” from round cardboard or paper, labeled “Scan,” “Standardize,” or “Analyze.” Stick these onto the front of the box so judges can “press” them during your demo.</w:t>
      </w:r>
      <w:bookmarkStart w:id="14" w:name="fnref3_2"/>
      <w:bookmarkEnd w:id="14"/>
      <w:hyperlink w:anchor="fn3">
        <w:r>
          <w:rPr>
            <w:rFonts w:eastAsia="inter" w:cs="inter" w:ascii="inter" w:hAnsi="inter"/>
            <w:color w:val="#000"/>
            <w:sz w:val="21"/>
            <w:u w:val="single"/>
            <w:vertAlign w:val="superscript"/>
          </w:rPr>
          <w:t xml:space="preserve">[3]</w:t>
        </w:r>
      </w:hyperlink>
    </w:p>
    <w:p>
      <w:pPr>
        <w:numPr>
          <w:ilvl w:val="0"/>
          <w:numId w:val="7"/>
        </w:numPr>
        <w:spacing w:line="360" w:before="105" w:after="105" w:lineRule="auto"/>
      </w:pPr>
      <w:r>
        <w:rPr>
          <w:rFonts w:eastAsia="inter" w:cs="inter" w:ascii="inter" w:hAnsi="inter"/>
          <w:color w:val="000000"/>
          <w:sz w:val="21"/>
        </w:rPr>
        <w:t xml:space="preserve">Use a few LED stickers or small plastic lights to show the process steps. LEDs can be non-functional for visual effect.</w:t>
      </w:r>
    </w:p>
    <w:p>
      <w:pPr>
        <w:spacing w:line="360" w:before="315" w:after="105" w:lineRule="auto"/>
        <w:ind w:left="-30"/>
        <w:jc w:val="left"/>
      </w:pPr>
      <w:bookmarkStart w:id="15" w:name="bm_7_decorate_and_label"/>
      <w:r>
        <w:rPr>
          <w:rFonts w:eastAsia="inter" w:cs="inter" w:ascii="inter" w:hAnsi="inter"/>
          <w:b/>
          <w:color w:val="000000"/>
          <w:sz w:val="24"/>
        </w:rPr>
        <w:t xml:space="preserve">7. Decorate and Label</w:t>
      </w:r>
      <w:bookmarkEnd w:id="15"/>
    </w:p>
    <w:p>
      <w:pPr>
        <w:numPr>
          <w:ilvl w:val="0"/>
          <w:numId w:val="8"/>
        </w:numPr>
        <w:spacing w:line="360" w:before="105" w:after="105" w:lineRule="auto"/>
      </w:pPr>
      <w:r>
        <w:rPr>
          <w:rFonts w:eastAsia="inter" w:cs="inter" w:ascii="inter" w:hAnsi="inter"/>
          <w:color w:val="000000"/>
          <w:sz w:val="21"/>
        </w:rPr>
        <w:t xml:space="preserve">Label all sections using cut-out paper or markers for clarity.</w:t>
      </w:r>
    </w:p>
    <w:p>
      <w:pPr>
        <w:numPr>
          <w:ilvl w:val="0"/>
          <w:numId w:val="8"/>
        </w:numPr>
        <w:spacing w:line="360" w:before="105" w:after="105" w:lineRule="auto"/>
      </w:pPr>
      <w:r>
        <w:rPr>
          <w:rFonts w:eastAsia="inter" w:cs="inter" w:ascii="inter" w:hAnsi="inter"/>
          <w:color w:val="000000"/>
          <w:sz w:val="21"/>
        </w:rPr>
        <w:t xml:space="preserve">Draw arrows and diagrams showing how the dye moves through each step.</w:t>
      </w:r>
    </w:p>
    <w:p>
      <w:pPr>
        <w:spacing w:line="360" w:before="315" w:after="105" w:lineRule="auto"/>
        <w:ind w:left="-30"/>
        <w:jc w:val="left"/>
      </w:pPr>
      <w:bookmarkStart w:id="16" w:name="bm_8_final_display_touches"/>
      <w:r>
        <w:rPr>
          <w:rFonts w:eastAsia="inter" w:cs="inter" w:ascii="inter" w:hAnsi="inter"/>
          <w:b/>
          <w:color w:val="000000"/>
          <w:sz w:val="24"/>
        </w:rPr>
        <w:t xml:space="preserve">8. Final Display Touches</w:t>
      </w:r>
      <w:bookmarkEnd w:id="16"/>
    </w:p>
    <w:p>
      <w:pPr>
        <w:numPr>
          <w:ilvl w:val="0"/>
          <w:numId w:val="9"/>
        </w:numPr>
        <w:spacing w:line="360" w:before="105" w:after="105" w:lineRule="auto"/>
      </w:pPr>
      <w:r>
        <w:rPr>
          <w:rFonts w:eastAsia="inter" w:cs="inter" w:ascii="inter" w:hAnsi="inter"/>
          <w:color w:val="000000"/>
          <w:sz w:val="21"/>
        </w:rPr>
        <w:t xml:space="preserve">Add an illustrated legend or comic-style diagram on the top or side of the box, showing the AI’s role in choosing standardized colors.</w:t>
      </w:r>
    </w:p>
    <w:p>
      <w:pPr>
        <w:numPr>
          <w:ilvl w:val="0"/>
          <w:numId w:val="9"/>
        </w:numPr>
        <w:spacing w:line="360" w:before="105" w:after="105" w:lineRule="auto"/>
      </w:pPr>
      <w:r>
        <w:rPr>
          <w:rFonts w:eastAsia="inter" w:cs="inter" w:ascii="inter" w:hAnsi="inter"/>
          <w:color w:val="000000"/>
          <w:sz w:val="21"/>
        </w:rPr>
        <w:t xml:space="preserve">Use colored tape, stickers, or paint for extra decoration.</w:t>
      </w:r>
    </w:p>
    <w:p>
      <w:pPr>
        <w:spacing w:line="360" w:before="315" w:after="105" w:lineRule="auto"/>
        <w:ind w:left="-30"/>
        <w:jc w:val="left"/>
      </w:pPr>
      <w:bookmarkStart w:id="17" w:name="example_layout_sketch"/>
      <w:r>
        <w:rPr>
          <w:rFonts w:eastAsia="inter" w:cs="inter" w:ascii="inter" w:hAnsi="inter"/>
          <w:b/>
          <w:color w:val="000000"/>
          <w:sz w:val="24"/>
        </w:rPr>
        <w:t xml:space="preserve">Example Layout (Sketch)</w:t>
      </w:r>
      <w:bookmarkEnd w:id="17"/>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Dye Storage | Mixing Area | AI Analysis Station|</w:t>
        <w:br/>
        <w:t xml:space="preserve">-------------------------------------------------</w:t>
        <w:br/>
        <w:t xml:space="preserve">| Colored cards/pom poms --&gt; color sample board  |</w:t>
        <w:br/>
        <w:t xml:space="preserve">|        Buttons: Scan, Standardize              |</w:t>
        <w:br/>
        <w:t xml:space="preserve">|   Arrows show flow from left to right          |</w:t>
        <w:br/>
        <w:t xml:space="preserve">-------------------------------------------------</w:t>
        <w:br/>
        <w:t xml:space="preserve"/>
      </w:r>
    </w:p>
    <w:p>
      <w:pPr>
        <w:spacing w:line="360" w:before="315" w:after="105" w:lineRule="auto"/>
        <w:ind w:left="-30"/>
        <w:jc w:val="left"/>
      </w:pPr>
      <w:bookmarkStart w:id="18" w:name="tips"/>
      <w:r>
        <w:rPr>
          <w:rFonts w:eastAsia="inter" w:cs="inter" w:ascii="inter" w:hAnsi="inter"/>
          <w:b/>
          <w:color w:val="000000"/>
          <w:sz w:val="24"/>
        </w:rPr>
        <w:t xml:space="preserve">Tips</w:t>
      </w:r>
      <w:bookmarkEnd w:id="18"/>
    </w:p>
    <w:p>
      <w:pPr>
        <w:numPr>
          <w:ilvl w:val="0"/>
          <w:numId w:val="10"/>
        </w:numPr>
        <w:spacing w:line="360" w:before="105" w:after="105" w:lineRule="auto"/>
      </w:pPr>
      <w:r>
        <w:rPr>
          <w:rFonts w:eastAsia="inter" w:cs="inter" w:ascii="inter" w:hAnsi="inter"/>
          <w:color w:val="000000"/>
          <w:sz w:val="21"/>
        </w:rPr>
        <w:t xml:space="preserve">Stack layers of cardboard for thicker walls if needed.</w:t>
      </w:r>
      <w:bookmarkStart w:id="19" w:name="fnref2_1"/>
      <w:bookmarkEnd w:id="19"/>
      <w:hyperlink w:anchor="fn2">
        <w:r>
          <w:rPr>
            <w:rFonts w:eastAsia="inter" w:cs="inter" w:ascii="inter" w:hAnsi="inter"/>
            <w:color w:val="#000"/>
            <w:sz w:val="21"/>
            <w:u w:val="single"/>
            <w:vertAlign w:val="superscript"/>
          </w:rPr>
          <w:t xml:space="preserve">[2]</w:t>
        </w:r>
      </w:hyperlink>
    </w:p>
    <w:p>
      <w:pPr>
        <w:numPr>
          <w:ilvl w:val="0"/>
          <w:numId w:val="10"/>
        </w:numPr>
        <w:spacing w:line="360" w:before="105" w:after="105" w:lineRule="auto"/>
      </w:pPr>
      <w:r>
        <w:rPr>
          <w:rFonts w:eastAsia="inter" w:cs="inter" w:ascii="inter" w:hAnsi="inter"/>
          <w:color w:val="000000"/>
          <w:sz w:val="21"/>
        </w:rPr>
        <w:t xml:space="preserve">Score cardboard lightly with scissors/craft knife for smooth bends/rounded corners.</w:t>
      </w:r>
      <w:bookmarkStart w:id="20" w:name="fnref2_2"/>
      <w:bookmarkEnd w:id="20"/>
      <w:hyperlink w:anchor="fn2">
        <w:r>
          <w:rPr>
            <w:rFonts w:eastAsia="inter" w:cs="inter" w:ascii="inter" w:hAnsi="inter"/>
            <w:color w:val="#000"/>
            <w:sz w:val="21"/>
            <w:u w:val="single"/>
            <w:vertAlign w:val="superscript"/>
          </w:rPr>
          <w:t xml:space="preserve">[2]</w:t>
        </w:r>
      </w:hyperlink>
      <w:bookmarkStart w:id="21" w:name="fnref3_3"/>
      <w:bookmarkEnd w:id="21"/>
      <w:hyperlink w:anchor="fn3">
        <w:r>
          <w:rPr>
            <w:rFonts w:eastAsia="inter" w:cs="inter" w:ascii="inter" w:hAnsi="inter"/>
            <w:color w:val="#000"/>
            <w:sz w:val="21"/>
            <w:u w:val="single"/>
            <w:vertAlign w:val="superscript"/>
          </w:rPr>
          <w:t xml:space="preserve">[3]</w:t>
        </w:r>
      </w:hyperlink>
    </w:p>
    <w:p>
      <w:pPr>
        <w:numPr>
          <w:ilvl w:val="0"/>
          <w:numId w:val="10"/>
        </w:numPr>
        <w:spacing w:line="360" w:before="105" w:after="105" w:lineRule="auto"/>
      </w:pPr>
      <w:r>
        <w:rPr>
          <w:rFonts w:eastAsia="inter" w:cs="inter" w:ascii="inter" w:hAnsi="inter"/>
          <w:color w:val="000000"/>
          <w:sz w:val="21"/>
        </w:rPr>
        <w:t xml:space="preserve">Create paper wheels or sliders if you want judges to “choose” a color for scanning.</w:t>
      </w:r>
    </w:p>
    <w:p>
      <w:pPr>
        <w:spacing w:line="360" w:after="210" w:lineRule="auto"/>
      </w:pPr>
      <w:r>
        <w:rPr>
          <w:rFonts w:eastAsia="inter" w:cs="inter" w:ascii="inter" w:hAnsi="inter"/>
          <w:color w:val="000000"/>
        </w:rPr>
        <w:t xml:space="preserve">This hands-on model is affordable, straightforward, and demonstrates both ancient and modern elements in the innovation project, making it both educational and visually appealing for Lego League judges.</w:t>
      </w:r>
      <w:bookmarkStart w:id="22" w:name="fnref1_2"/>
      <w:bookmarkEnd w:id="22"/>
      <w:hyperlink w:anchor="fn1">
        <w:r>
          <w:rPr>
            <w:rFonts w:eastAsia="inter" w:cs="inter" w:ascii="inter" w:hAnsi="inter"/>
            <w:color w:val="#000"/>
            <w:u w:val="single"/>
            <w:vertAlign w:val="superscript"/>
          </w:rPr>
          <w:t xml:space="preserve">[1]</w:t>
        </w:r>
      </w:hyperlink>
      <w:bookmarkStart w:id="23" w:name="fnref2_3"/>
      <w:bookmarkEnd w:id="23"/>
      <w:hyperlink w:anchor="fn2">
        <w:r>
          <w:rPr>
            <w:rFonts w:eastAsia="inter" w:cs="inter" w:ascii="inter" w:hAnsi="inter"/>
            <w:color w:val="#000"/>
            <w:u w:val="single"/>
            <w:vertAlign w:val="superscript"/>
          </w:rPr>
          <w:t xml:space="preserve">[2]</w:t>
        </w:r>
      </w:hyperlink>
      <w:bookmarkStart w:id="24" w:name="fnref3_4"/>
      <w:bookmarkEnd w:id="24"/>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5" w:name="fn1"/>
    <w:bookmarkEnd w:id="25"/>
    <w:p>
      <w:pPr>
        <w:numPr>
          <w:ilvl w:val="0"/>
          <w:numId w:val="12"/>
        </w:numPr>
        <w:spacing w:line="360" w:after="210" w:lineRule="auto"/>
      </w:pPr>
      <w:hyperlink r:id="rId6">
        <w:r>
          <w:rPr>
            <w:rFonts w:eastAsia="inter" w:cs="inter" w:ascii="inter" w:hAnsi="inter"/>
            <w:color w:val="#000"/>
            <w:sz w:val="18"/>
            <w:u w:val="single"/>
          </w:rPr>
          <w:t xml:space="preserve">https://www.easypeasyandfun.com/pattern-recognition-cardboard-activity/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 w:name="fn2"/>
    <w:bookmarkEnd w:id="26"/>
    <w:p>
      <w:pPr>
        <w:numPr>
          <w:ilvl w:val="0"/>
          <w:numId w:val="12"/>
        </w:numPr>
        <w:spacing w:line="360" w:after="210" w:lineRule="auto"/>
      </w:pPr>
      <w:hyperlink r:id="rId7">
        <w:r>
          <w:rPr>
            <w:rFonts w:eastAsia="inter" w:cs="inter" w:ascii="inter" w:hAnsi="inter"/>
            <w:color w:val="#000"/>
            <w:sz w:val="18"/>
            <w:u w:val="single"/>
          </w:rPr>
          <w:t xml:space="preserve">https://www.youtube.com/watch?v=qxXj2RhKjZY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 w:name="fn3"/>
    <w:bookmarkEnd w:id="27"/>
    <w:p>
      <w:pPr>
        <w:numPr>
          <w:ilvl w:val="0"/>
          <w:numId w:val="12"/>
        </w:numPr>
        <w:spacing w:line="360" w:after="210" w:lineRule="auto"/>
      </w:pPr>
      <w:hyperlink r:id="rId8">
        <w:r>
          <w:rPr>
            <w:rFonts w:eastAsia="inter" w:cs="inter" w:ascii="inter" w:hAnsi="inter"/>
            <w:color w:val="#000"/>
            <w:sz w:val="18"/>
            <w:u w:val="single"/>
          </w:rPr>
          <w:t xml:space="preserve">https://www.youtube.com/watch?v=k_9Q-KDSb9o</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 w:name="fn4"/>
    <w:bookmarkEnd w:id="28"/>
    <w:p>
      <w:pPr>
        <w:numPr>
          <w:ilvl w:val="0"/>
          <w:numId w:val="12"/>
        </w:numPr>
        <w:spacing w:line="360" w:after="210" w:lineRule="auto"/>
      </w:pPr>
      <w:hyperlink r:id="rId9">
        <w:r>
          <w:rPr>
            <w:rFonts w:eastAsia="inter" w:cs="inter" w:ascii="inter" w:hAnsi="inter"/>
            <w:color w:val="#000"/>
            <w:sz w:val="18"/>
            <w:u w:val="single"/>
          </w:rPr>
          <w:t xml:space="preserve">https://www.youtube.com/watch?v=V0agG54YfpE</w:t>
        </w:r>
      </w:hyperlink>
      <w:r>
        <w:rPr>
          <w:rFonts w:eastAsia="inter" w:cs="inter" w:ascii="inter" w:hAnsi="inter"/>
          <w:color w:val="000000"/>
          <w:sz w:val="18"/>
        </w:rPr>
        <w:t xml:space="preserve"> </w:t>
      </w:r>
    </w:p>
    <w:bookmarkStart w:id="29" w:name="fn5"/>
    <w:bookmarkEnd w:id="29"/>
    <w:p>
      <w:pPr>
        <w:numPr>
          <w:ilvl w:val="0"/>
          <w:numId w:val="12"/>
        </w:numPr>
        <w:spacing w:line="360" w:after="210" w:lineRule="auto"/>
      </w:pPr>
      <w:hyperlink r:id="rId10">
        <w:r>
          <w:rPr>
            <w:rFonts w:eastAsia="inter" w:cs="inter" w:ascii="inter" w:hAnsi="inter"/>
            <w:color w:val="#000"/>
            <w:sz w:val="18"/>
            <w:u w:val="single"/>
          </w:rPr>
          <w:t xml:space="preserve">https://www.gamedeveloper.com/business/a-free-training-workshop-for-cardboard-prototyping</w:t>
        </w:r>
      </w:hyperlink>
      <w:r>
        <w:rPr>
          <w:rFonts w:eastAsia="inter" w:cs="inter" w:ascii="inter" w:hAnsi="inter"/>
          <w:color w:val="000000"/>
          <w:sz w:val="18"/>
        </w:rPr>
        <w:t xml:space="preserve"> </w:t>
      </w:r>
    </w:p>
    <w:bookmarkStart w:id="30" w:name="fn6"/>
    <w:bookmarkEnd w:id="30"/>
    <w:p>
      <w:pPr>
        <w:numPr>
          <w:ilvl w:val="0"/>
          <w:numId w:val="12"/>
        </w:numPr>
        <w:spacing w:line="360" w:after="210" w:lineRule="auto"/>
      </w:pPr>
      <w:hyperlink r:id="rId11">
        <w:r>
          <w:rPr>
            <w:rFonts w:eastAsia="inter" w:cs="inter" w:ascii="inter" w:hAnsi="inter"/>
            <w:color w:val="#000"/>
            <w:sz w:val="18"/>
            <w:u w:val="single"/>
          </w:rPr>
          <w:t xml:space="preserve">https://www.teachengineering.org/activities/view/cub_creative_activity5</w:t>
        </w:r>
      </w:hyperlink>
      <w:r>
        <w:rPr>
          <w:rFonts w:eastAsia="inter" w:cs="inter" w:ascii="inter" w:hAnsi="inter"/>
          <w:color w:val="000000"/>
          <w:sz w:val="18"/>
        </w:rPr>
        <w:t xml:space="preserve"> </w:t>
      </w:r>
    </w:p>
    <w:bookmarkStart w:id="31" w:name="fn7"/>
    <w:bookmarkEnd w:id="31"/>
    <w:p>
      <w:pPr>
        <w:numPr>
          <w:ilvl w:val="0"/>
          <w:numId w:val="12"/>
        </w:numPr>
        <w:spacing w:line="360" w:after="210" w:lineRule="auto"/>
      </w:pPr>
      <w:hyperlink r:id="rId12">
        <w:r>
          <w:rPr>
            <w:rFonts w:eastAsia="inter" w:cs="inter" w:ascii="inter" w:hAnsi="inter"/>
            <w:color w:val="#000"/>
            <w:sz w:val="18"/>
            <w:u w:val="single"/>
          </w:rPr>
          <w:t xml:space="preserve">https://www.facebook.com/artteacherlife/posts/these-cardboard-collage-masks-are-the-prototypes-for-what-will-be-clay-masks-nex/1251364781732445/</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i-IN"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i-IN"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e92898f8c545d8bb4543d32cb81aaebdeb4066e.png" TargetMode="Internal"/><Relationship Id="rId6" Type="http://schemas.openxmlformats.org/officeDocument/2006/relationships/hyperlink" Target="https://www.easypeasyandfun.com/pattern-recognition-cardboard-activity/" TargetMode="External"/><Relationship Id="rId7" Type="http://schemas.openxmlformats.org/officeDocument/2006/relationships/hyperlink" Target="https://www.youtube.com/watch?v=qxXj2RhKjZY" TargetMode="External"/><Relationship Id="rId8" Type="http://schemas.openxmlformats.org/officeDocument/2006/relationships/hyperlink" Target="https://www.youtube.com/watch?v=k_9Q-KDSb9o" TargetMode="External"/><Relationship Id="rId9" Type="http://schemas.openxmlformats.org/officeDocument/2006/relationships/hyperlink" Target="https://www.youtube.com/watch?v=V0agG54YfpE" TargetMode="External"/><Relationship Id="rId10" Type="http://schemas.openxmlformats.org/officeDocument/2006/relationships/hyperlink" Target="https://www.gamedeveloper.com/business/a-free-training-workshop-for-cardboard-prototyping" TargetMode="External"/><Relationship Id="rId11" Type="http://schemas.openxmlformats.org/officeDocument/2006/relationships/hyperlink" Target="https://www.teachengineering.org/activities/view/cub_creative_activity5" TargetMode="External"/><Relationship Id="rId12" Type="http://schemas.openxmlformats.org/officeDocument/2006/relationships/hyperlink" Target="https://www.facebook.com/artteacherlife/posts/these-cardboard-collage-masks-are-the-prototypes-for-what-will-be-clay-masks-nex/125136478173244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2025-10-25T10:22:46.224Z</dcterms:created>
  <dcterms:modified xsi:type="dcterms:W3CDTF">2025-10-25T10:22:46.224Z</dcterms:modified>
</cp:coreProperties>
</file>