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A12A" w14:textId="6D1394FE" w:rsidR="00B0657F" w:rsidRPr="00C056A5" w:rsidRDefault="00B0657F" w:rsidP="00B0657F">
      <w:pPr>
        <w:tabs>
          <w:tab w:val="left" w:pos="0"/>
          <w:tab w:val="left" w:pos="709"/>
        </w:tabs>
        <w:spacing w:line="360" w:lineRule="auto"/>
        <w:ind w:right="-489" w:hanging="284"/>
        <w:rPr>
          <w:rFonts w:asciiTheme="majorHAnsi" w:hAnsiTheme="majorHAnsi"/>
          <w:szCs w:val="28"/>
        </w:rPr>
      </w:pPr>
      <w:r w:rsidRPr="00F350D0">
        <w:rPr>
          <w:rFonts w:asciiTheme="majorHAnsi" w:hAnsiTheme="majorHAnsi"/>
          <w:b/>
          <w:szCs w:val="28"/>
        </w:rPr>
        <w:t xml:space="preserve">Some possible </w:t>
      </w:r>
      <w:r w:rsidRPr="00F350D0">
        <w:rPr>
          <w:rFonts w:asciiTheme="majorHAnsi" w:hAnsiTheme="majorHAnsi"/>
          <w:b/>
          <w:i/>
          <w:szCs w:val="28"/>
        </w:rPr>
        <w:t>indicators</w:t>
      </w:r>
      <w:r>
        <w:rPr>
          <w:rFonts w:asciiTheme="majorHAnsi" w:hAnsiTheme="majorHAnsi"/>
          <w:b/>
          <w:szCs w:val="28"/>
        </w:rPr>
        <w:t xml:space="preserve"> of ending/transition anxieties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szCs w:val="28"/>
        </w:rPr>
        <w:t xml:space="preserve">Box </w:t>
      </w:r>
      <w:r>
        <w:rPr>
          <w:rFonts w:asciiTheme="majorHAnsi" w:hAnsiTheme="majorHAnsi"/>
          <w:szCs w:val="28"/>
        </w:rPr>
        <w:t>20</w:t>
      </w:r>
    </w:p>
    <w:p w14:paraId="0489875A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 xml:space="preserve">Wanting to leave early – </w:t>
      </w:r>
      <w:r>
        <w:rPr>
          <w:rFonts w:asciiTheme="majorHAnsi" w:hAnsiTheme="majorHAnsi"/>
          <w:bCs/>
        </w:rPr>
        <w:t xml:space="preserve">to </w:t>
      </w:r>
      <w:r w:rsidRPr="00C35783">
        <w:rPr>
          <w:rFonts w:asciiTheme="majorHAnsi" w:hAnsiTheme="majorHAnsi"/>
          <w:bCs/>
        </w:rPr>
        <w:t>avoid the ending</w:t>
      </w:r>
    </w:p>
    <w:p w14:paraId="2B1A38ED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Wanting to stay on longer or have extra time or </w:t>
      </w:r>
      <w:r w:rsidRPr="00C35783">
        <w:rPr>
          <w:rFonts w:asciiTheme="majorHAnsi" w:hAnsiTheme="majorHAnsi"/>
          <w:bCs/>
        </w:rPr>
        <w:t>manipulate boundaries</w:t>
      </w:r>
    </w:p>
    <w:p w14:paraId="28069C8A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Needing more time – either in the current lesson, or generally</w:t>
      </w:r>
    </w:p>
    <w:p w14:paraId="20B015B4" w14:textId="77777777" w:rsidR="00B0657F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6731A3">
        <w:rPr>
          <w:rFonts w:asciiTheme="majorHAnsi" w:hAnsiTheme="majorHAnsi"/>
          <w:bCs/>
        </w:rPr>
        <w:t>Br</w:t>
      </w:r>
      <w:r>
        <w:rPr>
          <w:rFonts w:asciiTheme="majorHAnsi" w:hAnsiTheme="majorHAnsi"/>
          <w:bCs/>
        </w:rPr>
        <w:t>avado – I don’t need this time/you</w:t>
      </w:r>
      <w:r w:rsidRPr="006731A3">
        <w:rPr>
          <w:rFonts w:asciiTheme="majorHAnsi" w:hAnsiTheme="majorHAnsi"/>
          <w:bCs/>
        </w:rPr>
        <w:t xml:space="preserve"> </w:t>
      </w:r>
      <w:proofErr w:type="spellStart"/>
      <w:r w:rsidRPr="006731A3">
        <w:rPr>
          <w:rFonts w:asciiTheme="majorHAnsi" w:hAnsiTheme="majorHAnsi"/>
          <w:bCs/>
        </w:rPr>
        <w:t>any more</w:t>
      </w:r>
      <w:proofErr w:type="spellEnd"/>
      <w:r w:rsidRPr="006731A3">
        <w:rPr>
          <w:rFonts w:asciiTheme="majorHAnsi" w:hAnsiTheme="majorHAnsi"/>
          <w:bCs/>
        </w:rPr>
        <w:t>. I’m fine. Everything is fine</w:t>
      </w:r>
    </w:p>
    <w:p w14:paraId="1E3D5D61" w14:textId="77777777" w:rsidR="00B0657F" w:rsidRPr="006731A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6731A3">
        <w:rPr>
          <w:rFonts w:asciiTheme="majorHAnsi" w:hAnsiTheme="majorHAnsi"/>
          <w:bCs/>
        </w:rPr>
        <w:t>Difficulty coming to the last (few) days (not wishing to face the ending)</w:t>
      </w:r>
    </w:p>
    <w:p w14:paraId="3334148D" w14:textId="2A854608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Rivalry with other children</w:t>
      </w:r>
      <w:r>
        <w:rPr>
          <w:rFonts w:asciiTheme="majorHAnsi" w:hAnsiTheme="majorHAnsi"/>
          <w:bCs/>
        </w:rPr>
        <w:t xml:space="preserve"> - </w:t>
      </w:r>
      <w:r w:rsidRPr="00C35783">
        <w:rPr>
          <w:rFonts w:asciiTheme="majorHAnsi" w:hAnsiTheme="majorHAnsi"/>
          <w:bCs/>
        </w:rPr>
        <w:t>who may co</w:t>
      </w:r>
      <w:r>
        <w:rPr>
          <w:rFonts w:asciiTheme="majorHAnsi" w:hAnsiTheme="majorHAnsi"/>
          <w:bCs/>
        </w:rPr>
        <w:t>ntinue seeing the teacher or TA</w:t>
      </w:r>
      <w:r w:rsidRPr="00C35783">
        <w:rPr>
          <w:rFonts w:asciiTheme="majorHAnsi" w:hAnsiTheme="majorHAnsi"/>
          <w:bCs/>
        </w:rPr>
        <w:t xml:space="preserve"> after they have gone</w:t>
      </w:r>
      <w:r>
        <w:rPr>
          <w:rFonts w:asciiTheme="majorHAnsi" w:hAnsiTheme="majorHAnsi"/>
          <w:bCs/>
        </w:rPr>
        <w:t>.</w:t>
      </w:r>
      <w:r w:rsidRPr="00C35783">
        <w:rPr>
          <w:rFonts w:asciiTheme="majorHAnsi" w:hAnsiTheme="majorHAnsi"/>
          <w:bCs/>
        </w:rPr>
        <w:t xml:space="preserve"> This may only be hinted at - other children using the room or equipment, (who did that? etc.), or it may be expressed in the metaphor - lots of babies or children in stories, rivalry in stories. </w:t>
      </w:r>
    </w:p>
    <w:p w14:paraId="7005358B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Papering over the cracks – by saying nice things</w:t>
      </w:r>
    </w:p>
    <w:p w14:paraId="12E40AE9" w14:textId="77777777" w:rsidR="00B0657F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Jollying along – even at the end precipitating hysterical behaviours and laughter</w:t>
      </w:r>
      <w:r>
        <w:rPr>
          <w:rFonts w:asciiTheme="majorHAnsi" w:hAnsiTheme="majorHAnsi"/>
          <w:bCs/>
        </w:rPr>
        <w:t xml:space="preserve"> </w:t>
      </w:r>
    </w:p>
    <w:p w14:paraId="51835865" w14:textId="55DC6C82" w:rsidR="00B0657F" w:rsidRPr="00C35783" w:rsidRDefault="00B0657F" w:rsidP="00B0657F">
      <w:pPr>
        <w:pStyle w:val="BodyText"/>
        <w:tabs>
          <w:tab w:val="left" w:pos="0"/>
          <w:tab w:val="left" w:pos="142"/>
          <w:tab w:val="left" w:pos="284"/>
        </w:tabs>
        <w:spacing w:line="480" w:lineRule="auto"/>
        <w:ind w:right="0" w:hanging="284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 xml:space="preserve"> (I remember a whole class getting hysterical for half an hour once at the end of term!)</w:t>
      </w:r>
    </w:p>
    <w:p w14:paraId="36E30D08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 xml:space="preserve">Finding it </w:t>
      </w:r>
      <w:r>
        <w:rPr>
          <w:rFonts w:asciiTheme="majorHAnsi" w:hAnsiTheme="majorHAnsi"/>
          <w:bCs/>
        </w:rPr>
        <w:t xml:space="preserve">unusually </w:t>
      </w:r>
      <w:r w:rsidRPr="00C35783">
        <w:rPr>
          <w:rFonts w:asciiTheme="majorHAnsi" w:hAnsiTheme="majorHAnsi"/>
          <w:bCs/>
        </w:rPr>
        <w:t xml:space="preserve">hard to ask for or accept help when they are struggling. (I don’t need you </w:t>
      </w:r>
      <w:proofErr w:type="spellStart"/>
      <w:r w:rsidRPr="00C35783">
        <w:rPr>
          <w:rFonts w:asciiTheme="majorHAnsi" w:hAnsiTheme="majorHAnsi"/>
          <w:bCs/>
        </w:rPr>
        <w:t>any more</w:t>
      </w:r>
      <w:proofErr w:type="spellEnd"/>
      <w:r w:rsidRPr="00C35783">
        <w:rPr>
          <w:rFonts w:asciiTheme="majorHAnsi" w:hAnsiTheme="majorHAnsi"/>
          <w:bCs/>
        </w:rPr>
        <w:t>!) Avoidant children will tend to withdraw more.</w:t>
      </w:r>
    </w:p>
    <w:p w14:paraId="3F77CCCA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 xml:space="preserve">Implying that the room/the equipment/the teacher </w:t>
      </w:r>
      <w:proofErr w:type="gramStart"/>
      <w:r w:rsidRPr="00C35783">
        <w:rPr>
          <w:rFonts w:asciiTheme="majorHAnsi" w:hAnsiTheme="majorHAnsi"/>
          <w:bCs/>
        </w:rPr>
        <w:t>are</w:t>
      </w:r>
      <w:proofErr w:type="gramEnd"/>
      <w:r w:rsidRPr="00C35783">
        <w:rPr>
          <w:rFonts w:asciiTheme="majorHAnsi" w:hAnsiTheme="majorHAnsi"/>
          <w:bCs/>
        </w:rPr>
        <w:t xml:space="preserve"> not good enough/useless etc. (</w:t>
      </w:r>
      <w:r>
        <w:rPr>
          <w:rFonts w:asciiTheme="majorHAnsi" w:hAnsiTheme="majorHAnsi"/>
          <w:bCs/>
        </w:rPr>
        <w:t xml:space="preserve">like </w:t>
      </w:r>
      <w:r w:rsidRPr="00C35783">
        <w:rPr>
          <w:rFonts w:asciiTheme="majorHAnsi" w:hAnsiTheme="majorHAnsi"/>
          <w:bCs/>
        </w:rPr>
        <w:t>good things turning bad)</w:t>
      </w:r>
      <w:r>
        <w:rPr>
          <w:rFonts w:asciiTheme="majorHAnsi" w:hAnsiTheme="majorHAnsi"/>
          <w:bCs/>
        </w:rPr>
        <w:t xml:space="preserve">. </w:t>
      </w:r>
      <w:r w:rsidRPr="00C35783">
        <w:rPr>
          <w:rFonts w:asciiTheme="majorHAnsi" w:hAnsiTheme="majorHAnsi"/>
          <w:bCs/>
        </w:rPr>
        <w:t xml:space="preserve"> Talk of things at home, </w:t>
      </w:r>
      <w:r>
        <w:rPr>
          <w:rFonts w:asciiTheme="majorHAnsi" w:hAnsiTheme="majorHAnsi"/>
          <w:bCs/>
        </w:rPr>
        <w:t xml:space="preserve">things </w:t>
      </w:r>
      <w:r w:rsidRPr="00C35783">
        <w:rPr>
          <w:rFonts w:asciiTheme="majorHAnsi" w:hAnsiTheme="majorHAnsi"/>
          <w:bCs/>
        </w:rPr>
        <w:t>in the new situation or with the new person - being better</w:t>
      </w:r>
    </w:p>
    <w:p w14:paraId="71F835E6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Being forgotten may come up in stories and play, or through direct comments</w:t>
      </w:r>
      <w:r>
        <w:rPr>
          <w:rFonts w:asciiTheme="majorHAnsi" w:hAnsiTheme="majorHAnsi"/>
          <w:bCs/>
        </w:rPr>
        <w:t>.</w:t>
      </w:r>
    </w:p>
    <w:p w14:paraId="5A38B48F" w14:textId="7DCE589C" w:rsidR="00B0657F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6731A3">
        <w:rPr>
          <w:rFonts w:asciiTheme="majorHAnsi" w:hAnsiTheme="majorHAnsi"/>
          <w:bCs/>
        </w:rPr>
        <w:t>Being rejected – this can show up in either direction. They can ‘push’ to be rejected through their acted</w:t>
      </w:r>
      <w:r>
        <w:rPr>
          <w:rFonts w:asciiTheme="majorHAnsi" w:hAnsiTheme="majorHAnsi"/>
          <w:bCs/>
        </w:rPr>
        <w:t>-</w:t>
      </w:r>
      <w:r w:rsidRPr="006731A3">
        <w:rPr>
          <w:rFonts w:asciiTheme="majorHAnsi" w:hAnsiTheme="majorHAnsi"/>
          <w:bCs/>
        </w:rPr>
        <w:t xml:space="preserve">out behaviour, or they can themselves reject </w:t>
      </w:r>
      <w:r w:rsidRPr="00C35783">
        <w:rPr>
          <w:rFonts w:asciiTheme="majorHAnsi" w:hAnsiTheme="majorHAnsi"/>
          <w:bCs/>
        </w:rPr>
        <w:t>(better to reject than to bear the pain of feeling rejected)</w:t>
      </w:r>
      <w:r>
        <w:rPr>
          <w:rFonts w:asciiTheme="majorHAnsi" w:hAnsiTheme="majorHAnsi"/>
          <w:bCs/>
        </w:rPr>
        <w:t>; or rejection can come up in stories or play.</w:t>
      </w:r>
    </w:p>
    <w:p w14:paraId="4C73C377" w14:textId="77777777" w:rsidR="00B0657F" w:rsidRPr="006731A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6731A3">
        <w:rPr>
          <w:rFonts w:asciiTheme="majorHAnsi" w:hAnsiTheme="majorHAnsi"/>
          <w:szCs w:val="27"/>
        </w:rPr>
        <w:t xml:space="preserve">Regression </w:t>
      </w:r>
      <w:r>
        <w:rPr>
          <w:rFonts w:asciiTheme="majorHAnsi" w:hAnsiTheme="majorHAnsi"/>
          <w:szCs w:val="27"/>
        </w:rPr>
        <w:t xml:space="preserve">- </w:t>
      </w:r>
      <w:r w:rsidRPr="006731A3">
        <w:rPr>
          <w:rFonts w:asciiTheme="majorHAnsi" w:hAnsiTheme="majorHAnsi"/>
          <w:bCs/>
        </w:rPr>
        <w:t xml:space="preserve">It is quite normal for children to regress at home or at school when an ending is approaching. Regression may show in needy or infantile behaviours or in ways of talking. - in the class or in the playground, or in the finishing of small group sessions. </w:t>
      </w:r>
    </w:p>
    <w:p w14:paraId="101E8D31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 xml:space="preserve">Doubts - regressed behaviour can evoke uncertainty on the part of the child, the teacher or </w:t>
      </w:r>
      <w:r>
        <w:rPr>
          <w:rFonts w:asciiTheme="majorHAnsi" w:hAnsiTheme="majorHAnsi"/>
          <w:bCs/>
        </w:rPr>
        <w:t xml:space="preserve">the </w:t>
      </w:r>
      <w:r w:rsidRPr="00C35783">
        <w:rPr>
          <w:rFonts w:asciiTheme="majorHAnsi" w:hAnsiTheme="majorHAnsi"/>
          <w:bCs/>
        </w:rPr>
        <w:t>SENCO – or parents, as to whether the right decision has been made - to finish a particular intervention for example. (This does not necessarily mean that a wrong decision has been made</w:t>
      </w:r>
      <w:r>
        <w:rPr>
          <w:rFonts w:asciiTheme="majorHAnsi" w:hAnsiTheme="majorHAnsi"/>
          <w:bCs/>
        </w:rPr>
        <w:t>)</w:t>
      </w:r>
      <w:r w:rsidRPr="00C35783">
        <w:rPr>
          <w:rFonts w:asciiTheme="majorHAnsi" w:hAnsiTheme="majorHAnsi"/>
          <w:bCs/>
        </w:rPr>
        <w:t xml:space="preserve">. It is probably just </w:t>
      </w:r>
      <w:r>
        <w:rPr>
          <w:rFonts w:asciiTheme="majorHAnsi" w:hAnsiTheme="majorHAnsi"/>
          <w:bCs/>
        </w:rPr>
        <w:t xml:space="preserve">that </w:t>
      </w:r>
      <w:r w:rsidRPr="00C35783">
        <w:rPr>
          <w:rFonts w:asciiTheme="majorHAnsi" w:hAnsiTheme="majorHAnsi"/>
          <w:bCs/>
        </w:rPr>
        <w:lastRenderedPageBreak/>
        <w:t>understandable anxieties about managing ‘alone’</w:t>
      </w:r>
      <w:r>
        <w:rPr>
          <w:rFonts w:asciiTheme="majorHAnsi" w:hAnsiTheme="majorHAnsi"/>
          <w:bCs/>
        </w:rPr>
        <w:t xml:space="preserve"> are surfacing</w:t>
      </w:r>
      <w:r w:rsidRPr="00C35783">
        <w:rPr>
          <w:rFonts w:asciiTheme="majorHAnsi" w:hAnsiTheme="majorHAnsi"/>
          <w:bCs/>
        </w:rPr>
        <w:t>, which the</w:t>
      </w:r>
      <w:r>
        <w:rPr>
          <w:rFonts w:asciiTheme="majorHAnsi" w:hAnsiTheme="majorHAnsi"/>
          <w:bCs/>
        </w:rPr>
        <w:t>y may just need a little understanding and help to come (and talk) through</w:t>
      </w:r>
      <w:r w:rsidRPr="00C35783">
        <w:rPr>
          <w:rFonts w:asciiTheme="majorHAnsi" w:hAnsiTheme="majorHAnsi"/>
          <w:bCs/>
        </w:rPr>
        <w:t>.</w:t>
      </w:r>
    </w:p>
    <w:p w14:paraId="7F1B45EC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-488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 xml:space="preserve"> ‘Acting-out the experience of breaking apart or chaos either within or outside the class. Rubbishing or destroying work (or other children’s </w:t>
      </w:r>
      <w:r>
        <w:rPr>
          <w:rFonts w:asciiTheme="majorHAnsi" w:hAnsiTheme="majorHAnsi"/>
          <w:bCs/>
        </w:rPr>
        <w:t xml:space="preserve">- </w:t>
      </w:r>
      <w:r w:rsidRPr="00C35783">
        <w:rPr>
          <w:rFonts w:asciiTheme="majorHAnsi" w:hAnsiTheme="majorHAnsi"/>
          <w:bCs/>
        </w:rPr>
        <w:t xml:space="preserve">or even </w:t>
      </w:r>
      <w:r>
        <w:rPr>
          <w:rFonts w:asciiTheme="majorHAnsi" w:hAnsiTheme="majorHAnsi"/>
          <w:bCs/>
        </w:rPr>
        <w:t xml:space="preserve">the </w:t>
      </w:r>
      <w:r w:rsidRPr="00C35783">
        <w:rPr>
          <w:rFonts w:asciiTheme="majorHAnsi" w:hAnsiTheme="majorHAnsi"/>
          <w:bCs/>
        </w:rPr>
        <w:t>teachers work)</w:t>
      </w:r>
    </w:p>
    <w:p w14:paraId="5456669E" w14:textId="77777777" w:rsidR="00B0657F" w:rsidRDefault="00B0657F" w:rsidP="00B0657F">
      <w:pPr>
        <w:pStyle w:val="Style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before="24" w:line="480" w:lineRule="auto"/>
        <w:ind w:left="0" w:hanging="284"/>
        <w:rPr>
          <w:rFonts w:asciiTheme="majorHAnsi" w:hAnsiTheme="majorHAnsi"/>
          <w:szCs w:val="27"/>
        </w:rPr>
      </w:pPr>
      <w:r>
        <w:rPr>
          <w:rFonts w:asciiTheme="majorHAnsi" w:hAnsiTheme="majorHAnsi"/>
          <w:szCs w:val="27"/>
        </w:rPr>
        <w:t xml:space="preserve">Anger with the teacher or the </w:t>
      </w:r>
      <w:r w:rsidRPr="00C35783">
        <w:rPr>
          <w:rFonts w:asciiTheme="majorHAnsi" w:hAnsiTheme="majorHAnsi"/>
          <w:szCs w:val="27"/>
        </w:rPr>
        <w:t>TA - little hints of this can be picked up and empa</w:t>
      </w:r>
      <w:r>
        <w:rPr>
          <w:rFonts w:asciiTheme="majorHAnsi" w:hAnsiTheme="majorHAnsi"/>
          <w:szCs w:val="27"/>
        </w:rPr>
        <w:t xml:space="preserve">thised with, and linked in to </w:t>
      </w:r>
      <w:r w:rsidRPr="00C35783">
        <w:rPr>
          <w:rFonts w:asciiTheme="majorHAnsi" w:hAnsiTheme="majorHAnsi"/>
          <w:szCs w:val="27"/>
        </w:rPr>
        <w:t>you not being there for them any more soon</w:t>
      </w:r>
      <w:r>
        <w:rPr>
          <w:rFonts w:asciiTheme="majorHAnsi" w:hAnsiTheme="majorHAnsi"/>
          <w:szCs w:val="27"/>
        </w:rPr>
        <w:t xml:space="preserve">. </w:t>
      </w:r>
    </w:p>
    <w:p w14:paraId="11ABAD38" w14:textId="77777777" w:rsidR="00B0657F" w:rsidRPr="00C35783" w:rsidRDefault="00B0657F" w:rsidP="00B0657F">
      <w:pPr>
        <w:pStyle w:val="Style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before="24" w:line="480" w:lineRule="auto"/>
        <w:ind w:left="0" w:hanging="284"/>
        <w:rPr>
          <w:rFonts w:asciiTheme="majorHAnsi" w:hAnsiTheme="majorHAnsi"/>
          <w:szCs w:val="27"/>
        </w:rPr>
      </w:pPr>
      <w:r>
        <w:rPr>
          <w:rFonts w:asciiTheme="majorHAnsi" w:hAnsiTheme="majorHAnsi"/>
          <w:szCs w:val="27"/>
        </w:rPr>
        <w:t xml:space="preserve">Sometimes anger and hurt can be acted out dangerously against a significant adult who is leaving soon. This will need lots of resilience, understanding and support for the adult as well as the child. It is best </w:t>
      </w:r>
      <w:r w:rsidRPr="006731A3">
        <w:rPr>
          <w:rFonts w:asciiTheme="majorHAnsi" w:hAnsiTheme="majorHAnsi"/>
          <w:b/>
          <w:szCs w:val="27"/>
        </w:rPr>
        <w:t>not to change the support person</w:t>
      </w:r>
      <w:r>
        <w:rPr>
          <w:rFonts w:asciiTheme="majorHAnsi" w:hAnsiTheme="majorHAnsi"/>
          <w:szCs w:val="27"/>
        </w:rPr>
        <w:t xml:space="preserve"> or class at this ending time as that will exacerbate the long-term difficulties.</w:t>
      </w:r>
    </w:p>
    <w:p w14:paraId="0220ED74" w14:textId="77777777" w:rsidR="00B0657F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Expressions of sadness. </w:t>
      </w:r>
      <w:r w:rsidRPr="00C35783">
        <w:rPr>
          <w:rFonts w:asciiTheme="majorHAnsi" w:hAnsiTheme="majorHAnsi"/>
          <w:bCs/>
        </w:rPr>
        <w:t>For some children sadness may be easier to acknowledge. The child may wonder (priva</w:t>
      </w:r>
      <w:r>
        <w:rPr>
          <w:rFonts w:asciiTheme="majorHAnsi" w:hAnsiTheme="majorHAnsi"/>
          <w:bCs/>
        </w:rPr>
        <w:t>tely) whether the teacher or learning support assistant</w:t>
      </w:r>
      <w:r w:rsidRPr="00C35783">
        <w:rPr>
          <w:rFonts w:asciiTheme="majorHAnsi" w:hAnsiTheme="majorHAnsi"/>
          <w:bCs/>
        </w:rPr>
        <w:t xml:space="preserve"> may also be sad. It may be helpful to acknowledge that possibility, if an opportunity arises.</w:t>
      </w:r>
    </w:p>
    <w:p w14:paraId="44421FC8" w14:textId="77777777" w:rsidR="00B0657F" w:rsidRPr="00F70D1D" w:rsidRDefault="00B0657F" w:rsidP="00B0657F">
      <w:pPr>
        <w:pStyle w:val="BodyText"/>
        <w:tabs>
          <w:tab w:val="left" w:pos="0"/>
          <w:tab w:val="left" w:pos="142"/>
          <w:tab w:val="left" w:pos="284"/>
        </w:tabs>
        <w:spacing w:line="480" w:lineRule="auto"/>
        <w:ind w:right="0" w:hanging="284"/>
        <w:rPr>
          <w:rFonts w:asciiTheme="majorHAnsi" w:hAnsiTheme="majorHAnsi"/>
          <w:bCs/>
        </w:rPr>
      </w:pPr>
      <w:r w:rsidRPr="00F70D1D">
        <w:rPr>
          <w:rFonts w:asciiTheme="majorHAnsi" w:hAnsiTheme="majorHAnsi"/>
        </w:rPr>
        <w:t>For other children sadness can be unbearable, because sad and hurting feelings in relation to previous losses and endings have not been supported and empathised with. It can e</w:t>
      </w:r>
      <w:r>
        <w:rPr>
          <w:rFonts w:asciiTheme="majorHAnsi" w:hAnsiTheme="majorHAnsi"/>
        </w:rPr>
        <w:t>ven feel like a black hole. Culturally boys can feel</w:t>
      </w:r>
      <w:r w:rsidRPr="00F70D1D">
        <w:rPr>
          <w:rFonts w:asciiTheme="majorHAnsi" w:hAnsiTheme="majorHAnsi"/>
        </w:rPr>
        <w:t xml:space="preserve"> encouraged to hide their sadness and vulnerability and act tough.</w:t>
      </w:r>
    </w:p>
    <w:p w14:paraId="37CA0EAE" w14:textId="77777777" w:rsidR="00B0657F" w:rsidRPr="00C35783" w:rsidRDefault="00B0657F" w:rsidP="00B0657F">
      <w:pPr>
        <w:pStyle w:val="BodyText"/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line="480" w:lineRule="auto"/>
        <w:ind w:left="0" w:right="0" w:hanging="284"/>
        <w:rPr>
          <w:rFonts w:asciiTheme="majorHAnsi" w:hAnsiTheme="majorHAnsi"/>
          <w:bCs/>
        </w:rPr>
      </w:pPr>
      <w:r w:rsidRPr="00C35783">
        <w:rPr>
          <w:rFonts w:asciiTheme="majorHAnsi" w:hAnsiTheme="majorHAnsi"/>
          <w:bCs/>
        </w:rPr>
        <w:t>Taking things (stealing?) from the room</w:t>
      </w:r>
      <w:r>
        <w:rPr>
          <w:rFonts w:asciiTheme="majorHAnsi" w:hAnsiTheme="majorHAnsi"/>
          <w:bCs/>
        </w:rPr>
        <w:t xml:space="preserve"> or the teacher could be</w:t>
      </w:r>
      <w:r w:rsidRPr="00C35783">
        <w:rPr>
          <w:rFonts w:asciiTheme="majorHAnsi" w:hAnsiTheme="majorHAnsi"/>
          <w:bCs/>
        </w:rPr>
        <w:t xml:space="preserve"> a way of concretely taking what they will no longer be allowed to have. (</w:t>
      </w:r>
      <w:proofErr w:type="gramStart"/>
      <w:r w:rsidRPr="00C35783">
        <w:rPr>
          <w:rFonts w:asciiTheme="majorHAnsi" w:hAnsiTheme="majorHAnsi"/>
          <w:bCs/>
        </w:rPr>
        <w:t>very</w:t>
      </w:r>
      <w:proofErr w:type="gramEnd"/>
      <w:r w:rsidRPr="00C35783">
        <w:rPr>
          <w:rFonts w:asciiTheme="majorHAnsi" w:hAnsiTheme="majorHAnsi"/>
          <w:bCs/>
        </w:rPr>
        <w:t xml:space="preserve"> damaged children who are unable to hold on to the good experience </w:t>
      </w:r>
      <w:r w:rsidRPr="00C35783">
        <w:rPr>
          <w:rFonts w:asciiTheme="majorHAnsi" w:hAnsiTheme="majorHAnsi"/>
          <w:bCs/>
          <w:i/>
          <w:iCs/>
        </w:rPr>
        <w:t>in their minds</w:t>
      </w:r>
      <w:r w:rsidRPr="00C35783">
        <w:rPr>
          <w:rFonts w:asciiTheme="majorHAnsi" w:hAnsiTheme="majorHAnsi"/>
          <w:bCs/>
        </w:rPr>
        <w:t xml:space="preserve"> and may therefore be </w:t>
      </w:r>
      <w:r w:rsidRPr="006731A3">
        <w:rPr>
          <w:rFonts w:asciiTheme="majorHAnsi" w:hAnsiTheme="majorHAnsi"/>
          <w:b/>
          <w:bCs/>
        </w:rPr>
        <w:t>driven</w:t>
      </w:r>
      <w:r w:rsidRPr="00C35783">
        <w:rPr>
          <w:rFonts w:asciiTheme="majorHAnsi" w:hAnsiTheme="majorHAnsi"/>
          <w:bCs/>
        </w:rPr>
        <w:t xml:space="preserve"> to concretely </w:t>
      </w:r>
      <w:r w:rsidRPr="00C35783">
        <w:rPr>
          <w:rFonts w:asciiTheme="majorHAnsi" w:hAnsiTheme="majorHAnsi"/>
          <w:bCs/>
          <w:i/>
          <w:iCs/>
        </w:rPr>
        <w:t>take</w:t>
      </w:r>
      <w:r w:rsidRPr="00C35783">
        <w:rPr>
          <w:rFonts w:asciiTheme="majorHAnsi" w:hAnsiTheme="majorHAnsi"/>
          <w:bCs/>
        </w:rPr>
        <w:t xml:space="preserve"> it)</w:t>
      </w:r>
    </w:p>
    <w:p w14:paraId="5DA1FD94" w14:textId="77777777" w:rsidR="00B0657F" w:rsidRDefault="00B0657F" w:rsidP="00B0657F">
      <w:pPr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after="0" w:line="480" w:lineRule="auto"/>
        <w:ind w:left="0" w:hanging="284"/>
        <w:rPr>
          <w:rFonts w:asciiTheme="majorHAnsi" w:hAnsiTheme="majorHAnsi"/>
        </w:rPr>
      </w:pPr>
      <w:r w:rsidRPr="00C35783">
        <w:rPr>
          <w:rFonts w:asciiTheme="majorHAnsi" w:hAnsiTheme="majorHAnsi"/>
        </w:rPr>
        <w:t>Wanting to take special things home and to give and receive presents can be a form of denial</w:t>
      </w:r>
      <w:r>
        <w:rPr>
          <w:rFonts w:asciiTheme="majorHAnsi" w:hAnsiTheme="majorHAnsi"/>
        </w:rPr>
        <w:t xml:space="preserve"> of the sadness</w:t>
      </w:r>
      <w:r w:rsidRPr="00C35783">
        <w:rPr>
          <w:rFonts w:asciiTheme="majorHAnsi" w:hAnsiTheme="majorHAnsi"/>
        </w:rPr>
        <w:t>, although it could also be an appropriate response to an acknowledgement of the loss of something good, and to a genuine feeling of gratitu</w:t>
      </w:r>
      <w:r>
        <w:rPr>
          <w:rFonts w:asciiTheme="majorHAnsi" w:hAnsiTheme="majorHAnsi"/>
        </w:rPr>
        <w:t xml:space="preserve">de. </w:t>
      </w:r>
    </w:p>
    <w:p w14:paraId="15E492EE" w14:textId="3E4D4FA4" w:rsidR="00F221D2" w:rsidRPr="00B0657F" w:rsidRDefault="00B0657F" w:rsidP="00B0657F">
      <w:pPr>
        <w:numPr>
          <w:ilvl w:val="0"/>
          <w:numId w:val="1"/>
        </w:numPr>
        <w:tabs>
          <w:tab w:val="clear" w:pos="360"/>
          <w:tab w:val="left" w:pos="0"/>
          <w:tab w:val="left" w:pos="142"/>
          <w:tab w:val="left" w:pos="284"/>
        </w:tabs>
        <w:spacing w:after="0" w:line="480" w:lineRule="auto"/>
        <w:ind w:left="0" w:right="-488" w:hanging="284"/>
        <w:rPr>
          <w:rFonts w:asciiTheme="majorHAnsi" w:hAnsiTheme="majorHAnsi"/>
        </w:rPr>
      </w:pPr>
      <w:r w:rsidRPr="000452D7">
        <w:rPr>
          <w:rFonts w:asciiTheme="majorHAnsi" w:hAnsiTheme="majorHAnsi"/>
          <w:bCs/>
        </w:rPr>
        <w:t xml:space="preserve">Unacknowledged feelings that their teacher or LSA will be having a much nicer time/having much better presents, than them over the holiday - can lead to acted out envy or rage. Christmas is a particularly difficult time for vulnerable children in this regard. Underlying the ‘high </w:t>
      </w:r>
      <w:proofErr w:type="gramStart"/>
      <w:r w:rsidRPr="000452D7">
        <w:rPr>
          <w:rFonts w:asciiTheme="majorHAnsi" w:hAnsiTheme="majorHAnsi"/>
          <w:bCs/>
        </w:rPr>
        <w:t>hopes’</w:t>
      </w:r>
      <w:proofErr w:type="gramEnd"/>
      <w:r w:rsidRPr="000452D7">
        <w:rPr>
          <w:rFonts w:asciiTheme="majorHAnsi" w:hAnsiTheme="majorHAnsi"/>
          <w:bCs/>
        </w:rPr>
        <w:t xml:space="preserve"> and excitement are big fears and resentments.</w:t>
      </w:r>
    </w:p>
    <w:sectPr w:rsidR="00F221D2" w:rsidRPr="00B0657F" w:rsidSect="00B0657F">
      <w:pgSz w:w="11906" w:h="16838"/>
      <w:pgMar w:top="936" w:right="827" w:bottom="892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8C9"/>
    <w:multiLevelType w:val="hybridMultilevel"/>
    <w:tmpl w:val="3E3A9A78"/>
    <w:lvl w:ilvl="0" w:tplc="120804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78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7F"/>
    <w:rsid w:val="008F2D68"/>
    <w:rsid w:val="00B0657F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CDEDB"/>
  <w15:chartTrackingRefBased/>
  <w15:docId w15:val="{C30A0A3C-570E-E04E-B82E-204F5A9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7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B0657F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en-GB"/>
    </w:rPr>
  </w:style>
  <w:style w:type="paragraph" w:styleId="BodyText">
    <w:name w:val="Body Text"/>
    <w:basedOn w:val="Normal"/>
    <w:link w:val="BodyTextChar"/>
    <w:rsid w:val="00B0657F"/>
    <w:pPr>
      <w:spacing w:after="0"/>
      <w:ind w:right="-154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B065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2025-07-18T15:22:00Z</dcterms:created>
  <dcterms:modified xsi:type="dcterms:W3CDTF">2025-07-18T15:26:00Z</dcterms:modified>
</cp:coreProperties>
</file>