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3.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8.png" ContentType="image/png"/>
  <Override PartName="/word/media/rId71.png" ContentType="image/png"/>
  <Override PartName="/word/media/rId74.png" ContentType="image/png"/>
  <Override PartName="/word/media/rId7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general-goals"/>
      <w:r>
        <w:t xml:space="preserve">General Goals</w:t>
      </w:r>
      <w:bookmarkEnd w:id="20"/>
    </w:p>
    <w:p>
      <w:pPr>
        <w:pStyle w:val="FirstParagraph"/>
      </w:pPr>
      <w:r>
        <w:t xml:space="preserve">&lt;Please use this template to prepare your manuscript for submission to the</w:t>
      </w:r>
      <w:r>
        <w:t xml:space="preserve"> </w:t>
      </w:r>
      <w:r>
        <w:t xml:space="preserve">journal for Modeling in Ophthalmology. You will find here many useful</w:t>
      </w:r>
      <w:r>
        <w:t xml:space="preserve"> </w:t>
      </w:r>
      <w:r>
        <w:t xml:space="preserve">instructions on how to organize and format your manuscript. The main body of</w:t>
      </w:r>
      <w:r>
        <w:t xml:space="preserve"> </w:t>
      </w:r>
      <w:r>
        <w:t xml:space="preserve">the manuscript should be contained in a .tex file and the bibliography in a</w:t>
      </w:r>
      <w:r>
        <w:t xml:space="preserve"> </w:t>
      </w:r>
      <w:r>
        <w:t xml:space="preserve">.bib file. The .tex file, the .bib file and the class file should be located in the</w:t>
      </w:r>
      <w:r>
        <w:t xml:space="preserve"> </w:t>
      </w:r>
      <w:r>
        <w:t xml:space="preserve">same folder. For the ease of reference, you are strongly encouraged to name</w:t>
      </w:r>
      <w:r>
        <w:t xml:space="preserve"> </w:t>
      </w:r>
      <w:r>
        <w:t xml:space="preserve">the .tex and .bib files as follows: &gt;</w:t>
      </w:r>
    </w:p>
    <w:p>
      <w:pPr>
        <w:pStyle w:val="Heading1"/>
      </w:pPr>
      <w:bookmarkStart w:id="21" w:name="abstract"/>
      <w:r>
        <w:t xml:space="preserve">Abstract</w:t>
      </w:r>
      <w:bookmarkEnd w:id="21"/>
    </w:p>
    <w:p>
      <w:pPr>
        <w:pStyle w:val="FirstParagraph"/>
      </w:pPr>
      <w:r>
        <w:t xml:space="preserve">&lt;Please provide an abstract of 350 words or less. The abstract must be</w:t>
      </w:r>
      <w:r>
        <w:t xml:space="preserve"> </w:t>
      </w:r>
      <w:r>
        <w:t xml:space="preserve">structured within the four subheadings above, namely</w:t>
      </w:r>
      <w:r>
        <w:t xml:space="preserve"> </w:t>
      </w:r>
      <w:r>
        <w:rPr>
          <w:i/>
        </w:rPr>
        <w:t xml:space="preserve">Purpose</w:t>
      </w:r>
      <w:r>
        <w:t xml:space="preserve">,</w:t>
      </w:r>
      <w:r>
        <w:t xml:space="preserve"> </w:t>
      </w:r>
      <w:r>
        <w:rPr>
          <w:i/>
        </w:rPr>
        <w:t xml:space="preserve">Methods</w:t>
      </w:r>
      <w:r>
        <w:t xml:space="preserve">,</w:t>
      </w:r>
      <w:r>
        <w:t xml:space="preserve"> </w:t>
      </w:r>
      <w:r>
        <w:rPr>
          <w:i/>
        </w:rPr>
        <w:t xml:space="preserve">Results</w:t>
      </w:r>
      <w:r>
        <w:t xml:space="preserve"> </w:t>
      </w:r>
      <w:r>
        <w:t xml:space="preserve">and</w:t>
      </w:r>
      <w:r>
        <w:t xml:space="preserve"> </w:t>
      </w:r>
      <w:r>
        <w:rPr>
          <w:i/>
        </w:rPr>
        <w:t xml:space="preserve">Conclusions</w:t>
      </w:r>
      <w:r>
        <w:t xml:space="preserve">. The abstract</w:t>
      </w:r>
      <w:r>
        <w:t xml:space="preserve"> </w:t>
      </w:r>
      <w:r>
        <w:t xml:space="preserve">should be informative and appealing to an interdisciplinary audience.&gt;</w:t>
      </w:r>
    </w:p>
    <w:p>
      <w:pPr>
        <w:pStyle w:val="Heading1"/>
      </w:pPr>
      <w:bookmarkStart w:id="22" w:name="prisma"/>
      <w:r>
        <w:t xml:space="preserve">PRISMA</w:t>
      </w:r>
      <w:bookmarkEnd w:id="22"/>
    </w:p>
    <w:p>
      <w:pPr>
        <w:pStyle w:val="FirstParagraph"/>
      </w:pPr>
      <w:r>
        <w:t xml:space="preserve">This diagram was automatically generated.</w:t>
      </w:r>
    </w:p>
    <w:p>
      <w:pPr>
        <w:pStyle w:val="BodyText"/>
      </w:pPr>
      <w:r>
        <w:t xml:space="preserve"> </w:t>
      </w:r>
      <w:r>
        <w:t xml:space="preserve">= [rectangle, rounded corners, draw=black, very thick, text width=10em, minimum height=3em, text centered, on chain]</w:t>
      </w:r>
    </w:p>
    <w:p>
      <w:pPr>
        <w:pStyle w:val="BodyText"/>
      </w:pPr>
      <w:r>
        <w:t xml:space="preserve"> </w:t>
      </w:r>
      <w:r>
        <w:t xml:space="preserve">= [ rectangle, rounded corners, draw=black, very thick, text width=10em, minimum height=3em, text centered]</w:t>
      </w:r>
    </w:p>
    <w:p>
      <w:pPr>
        <w:pStyle w:val="BodyText"/>
      </w:pPr>
      <w:r>
        <w:t xml:space="preserve"> </w:t>
      </w:r>
      <w:r>
        <w:t xml:space="preserve">= [ rectangle, rounded corners, draw=black, text width=7em, minimum height=2em, text centered, fill=blue!8, rotate=90]</w:t>
      </w:r>
    </w:p>
    <w:p>
      <w:pPr>
        <w:pStyle w:val="BodyText"/>
      </w:pPr>
      <w:r>
        <w:drawing>
          <wp:inline>
            <wp:extent cx="5334000" cy="3544032"/>
            <wp:effectExtent b="0" l="0" r="0" t="0"/>
            <wp:docPr descr="" title="" id="1" name="Picture"/>
            <a:graphic>
              <a:graphicData uri="http://schemas.openxmlformats.org/drawingml/2006/picture">
                <pic:pic>
                  <pic:nvPicPr>
                    <pic:cNvPr descr="75efe16af118abe3d6c76993c3343388ebc414a1.png" id="0" name="Picture"/>
                    <pic:cNvPicPr>
                      <a:picLocks noChangeArrowheads="1" noChangeAspect="1"/>
                    </pic:cNvPicPr>
                  </pic:nvPicPr>
                  <pic:blipFill>
                    <a:blip r:embed="rId23"/>
                    <a:stretch>
                      <a:fillRect/>
                    </a:stretch>
                  </pic:blipFill>
                  <pic:spPr bwMode="auto">
                    <a:xfrm>
                      <a:off x="0" y="0"/>
                      <a:ext cx="5334000" cy="3544032"/>
                    </a:xfrm>
                    <a:prstGeom prst="rect">
                      <a:avLst/>
                    </a:prstGeom>
                    <a:noFill/>
                    <a:ln w="9525">
                      <a:noFill/>
                      <a:headEnd/>
                      <a:tailEnd/>
                    </a:ln>
                  </pic:spPr>
                </pic:pic>
              </a:graphicData>
            </a:graphic>
          </wp:inline>
        </w:drawing>
      </w:r>
    </w:p>
    <w:p>
      <w:pPr>
        <w:pStyle w:val="BodyText"/>
      </w:pPr>
      <w:r>
        <w:drawing>
          <wp:inline>
            <wp:extent cx="4473809" cy="1472859"/>
            <wp:effectExtent b="0" l="0" r="0" t="0"/>
            <wp:docPr descr="" title="" id="1" name="Picture"/>
            <a:graphic>
              <a:graphicData uri="http://schemas.openxmlformats.org/drawingml/2006/picture">
                <pic:pic>
                  <pic:nvPicPr>
                    <pic:cNvPr descr="15169c1bf9dbd25065e07ccd8fcbe3fc683ed3a6.png" id="0" name="Picture"/>
                    <pic:cNvPicPr>
                      <a:picLocks noChangeArrowheads="1" noChangeAspect="1"/>
                    </pic:cNvPicPr>
                  </pic:nvPicPr>
                  <pic:blipFill>
                    <a:blip r:embed="rId24"/>
                    <a:stretch>
                      <a:fillRect/>
                    </a:stretch>
                  </pic:blipFill>
                  <pic:spPr bwMode="auto">
                    <a:xfrm>
                      <a:off x="0" y="0"/>
                      <a:ext cx="4473809" cy="1472859"/>
                    </a:xfrm>
                    <a:prstGeom prst="rect">
                      <a:avLst/>
                    </a:prstGeom>
                    <a:noFill/>
                    <a:ln w="9525">
                      <a:noFill/>
                      <a:headEnd/>
                      <a:tailEnd/>
                    </a:ln>
                  </pic:spPr>
                </pic:pic>
              </a:graphicData>
            </a:graphic>
          </wp:inline>
        </w:drawing>
      </w:r>
    </w:p>
    <w:p>
      <w:pPr>
        <w:pStyle w:val="BodyText"/>
      </w:pPr>
    </w:p>
    <w:p>
      <w:pPr>
        <w:pStyle w:val="Heading1"/>
      </w:pPr>
      <w:bookmarkStart w:id="25" w:name="organization-of-the-manuscript"/>
      <w:r>
        <w:t xml:space="preserve">Organization of the Manuscript</w:t>
      </w:r>
      <w:bookmarkEnd w:id="25"/>
    </w:p>
    <w:p>
      <w:pPr>
        <w:pStyle w:val="Heading2"/>
      </w:pPr>
      <w:bookmarkStart w:id="26" w:name="suggested-sections"/>
      <w:r>
        <w:t xml:space="preserve">Suggested sections</w:t>
      </w:r>
      <w:bookmarkEnd w:id="26"/>
    </w:p>
    <w:p>
      <w:pPr>
        <w:pStyle w:val="FirstParagraph"/>
      </w:pPr>
      <w:r>
        <w:t xml:space="preserve">You are strongly encouraged to organize the manuscript into five main sections</w:t>
      </w:r>
      <w:r>
        <w:t xml:space="preserve"> </w:t>
      </w:r>
      <w:r>
        <w:t xml:space="preserve">entitled</w:t>
      </w:r>
      <w:r>
        <w:t xml:space="preserve"> </w:t>
      </w:r>
      <w:r>
        <w:rPr>
          <w:i/>
        </w:rPr>
        <w:t xml:space="preserve">Introduction</w:t>
      </w:r>
      <w:r>
        <w:t xml:space="preserve">,</w:t>
      </w:r>
      <w:r>
        <w:t xml:space="preserve"> </w:t>
      </w:r>
      <w:r>
        <w:rPr>
          <w:i/>
        </w:rPr>
        <w:t xml:space="preserve">Methods</w:t>
      </w:r>
      <w:r>
        <w:t xml:space="preserve">,</w:t>
      </w:r>
      <w:r>
        <w:t xml:space="preserve"> </w:t>
      </w:r>
      <w:r>
        <w:rPr>
          <w:i/>
        </w:rPr>
        <w:t xml:space="preserve">Results</w:t>
      </w:r>
      <w:r>
        <w:t xml:space="preserve">,</w:t>
      </w:r>
      <w:r>
        <w:t xml:space="preserve"> </w:t>
      </w:r>
      <w:r>
        <w:rPr>
          <w:i/>
        </w:rPr>
        <w:t xml:space="preserve">Discussions</w:t>
      </w:r>
      <w:r>
        <w:t xml:space="preserve">,</w:t>
      </w:r>
      <w:r>
        <w:t xml:space="preserve"> </w:t>
      </w:r>
      <w:r>
        <w:rPr>
          <w:i/>
        </w:rPr>
        <w:t xml:space="preserve">Conclusions and future perspectives</w:t>
      </w:r>
      <w:r>
        <w:t xml:space="preserve">.</w:t>
      </w:r>
    </w:p>
    <w:p>
      <w:pPr>
        <w:pStyle w:val="Heading3"/>
      </w:pPr>
      <w:bookmarkStart w:id="27" w:name="introduction"/>
      <w:r>
        <w:t xml:space="preserve">Introduction</w:t>
      </w:r>
      <w:bookmarkEnd w:id="27"/>
    </w:p>
    <w:p>
      <w:pPr>
        <w:pStyle w:val="FirstParagraph"/>
      </w:pPr>
      <w:r>
        <w:t xml:space="preserve">Please provide an informative overview of the background motivating your work.</w:t>
      </w:r>
      <w:r>
        <w:t xml:space="preserve"> </w:t>
      </w:r>
      <w:r>
        <w:t xml:space="preserve">The introduction of your manuscript is particularly important as it helps</w:t>
      </w:r>
      <w:r>
        <w:t xml:space="preserve"> </w:t>
      </w:r>
      <w:r>
        <w:t xml:space="preserve">creating a forum among scientists of different expertise. Please be sure to</w:t>
      </w:r>
      <w:r>
        <w:t xml:space="preserve"> </w:t>
      </w:r>
      <w:r>
        <w:t xml:space="preserve">cite the relevant literature and to clearly identify open questions and/or</w:t>
      </w:r>
      <w:r>
        <w:t xml:space="preserve"> </w:t>
      </w:r>
      <w:r>
        <w:t xml:space="preserve">controversial issues in the field.</w:t>
      </w:r>
    </w:p>
    <w:p>
      <w:pPr>
        <w:pStyle w:val="Heading1"/>
      </w:pPr>
      <w:bookmarkStart w:id="28" w:name="categories-and-generated-summaries"/>
      <w:r>
        <w:t xml:space="preserve">Categories and Generated Summaries</w:t>
      </w:r>
      <w:bookmarkEnd w:id="28"/>
    </w:p>
    <w:p>
      <w:pPr>
        <w:pStyle w:val="FirstParagraph"/>
      </w:pPr>
      <w:r>
        <w:t xml:space="preserve">The following sections are automatically generated categories, all content is for appreciation only, the Qquant group is not responsible for misuse of this information.</w:t>
      </w:r>
    </w:p>
    <w:p>
      <w:pPr>
        <w:pStyle w:val="Heading2"/>
      </w:pPr>
      <w:bookmarkStart w:id="29" w:name="spelling-observations"/>
      <w:r>
        <w:t xml:space="preserve">&lt;Spelling Observations&gt;</w:t>
      </w:r>
      <w:bookmarkEnd w:id="29"/>
    </w:p>
    <w:p>
      <w:pPr>
        <w:pStyle w:val="FirstParagraph"/>
      </w:pPr>
      <w:r>
        <w:t xml:space="preserve">&lt;Please set spelling to English-US&gt;.</w:t>
      </w:r>
    </w:p>
    <w:p>
      <w:pPr>
        <w:pStyle w:val="Heading2"/>
      </w:pPr>
      <w:bookmarkStart w:id="30" w:name="abbreviations-special"/>
      <w:r>
        <w:t xml:space="preserve">&lt;Abbreviations Special&gt;</w:t>
      </w:r>
      <w:bookmarkEnd w:id="30"/>
    </w:p>
    <w:p>
      <w:pPr>
        <w:pStyle w:val="FirstParagraph"/>
      </w:pPr>
      <w:r>
        <w:t xml:space="preserve">&lt;Please use only abbreviations that are common and necessary to the exposition</w:t>
      </w:r>
      <w:r>
        <w:t xml:space="preserve"> </w:t>
      </w:r>
      <w:r>
        <w:t xml:space="preserve">of the text. Abbreviations should be widely understood by the qqt</w:t>
      </w:r>
      <w:r>
        <w:t xml:space="preserve"> </w:t>
      </w:r>
      <w:r>
        <w:t xml:space="preserve">multi-disciplinary audience that includes ophthalmologists, physiologists,</w:t>
      </w:r>
      <w:r>
        <w:t xml:space="preserve"> </w:t>
      </w:r>
      <w:r>
        <w:t xml:space="preserve">mathematicians, engineers and physicists. Introduce each abbreviation in</w:t>
      </w:r>
      <w:r>
        <w:t xml:space="preserve"> </w:t>
      </w:r>
      <w:r>
        <w:t xml:space="preserve">parentheses after the first use of the full term. Avoid abbreviations that have</w:t>
      </w:r>
      <w:r>
        <w:t xml:space="preserve"> </w:t>
      </w:r>
      <w:r>
        <w:t xml:space="preserve">meaning only within the context of the specific manuscript&gt;.</w:t>
      </w:r>
    </w:p>
    <w:p>
      <w:pPr>
        <w:pStyle w:val="Heading1"/>
      </w:pPr>
      <w:bookmarkStart w:id="31" w:name="arterial-allografts"/>
      <w:r>
        <w:t xml:space="preserve">Arterial Allografts</w:t>
      </w:r>
      <w:bookmarkEnd w:id="31"/>
    </w:p>
    <w:p>
      <w:pPr>
        <w:pStyle w:val="FirstParagraph"/>
      </w:pPr>
      <w:r>
        <w:t xml:space="preserve">Results of cryopreserved arterial allograft replacement for thoracic and thoracoabdominal aortic infections.BACKGROUND Primary and secondary thoracic aortic infections are rare but associated with high morbidity and mortality. There is currently no consensus on their optimal treatment. Arterial allografts have been shown to be resistant to bacterial colonization. Complete excision of infected material, especially synthetic grafts, combined with in situ aortic repair is considered the best treatment of abdominal aortic infections. The aim of this study was to assess the management of thoracic and thoracoabdominal aortic infections using arterial allografts. METHODS Between January 2009 and December 2017, all patients with thoracic and thoracoabdominal aortic native or graft infections underwent complete excision of infected material and in situ arterial allografting. The end points were the early mortality and morbidity rates and early and late rates of reinfection, graft degeneration, and graft related morbidity. RESULTS Thirty five patients with a mean age of 65.6 ± 9.2 years were included. Twenty one (60</w:t>
      </w:r>
    </w:p>
    <w:p>
      <w:pPr>
        <w:pStyle w:val="CaptionedFigure"/>
      </w:pPr>
      <w:r>
        <w:drawing>
          <wp:inline>
            <wp:extent cx="5334000" cy="5334000"/>
            <wp:effectExtent b="0" l="0" r="0" t="0"/>
            <wp:docPr descr="Wordcloud of most frequent terms within section arterial allografts." title="" id="1" name="Picture"/>
            <a:graphic>
              <a:graphicData uri="http://schemas.openxmlformats.org/drawingml/2006/picture">
                <pic:pic>
                  <pic:nvPicPr>
                    <pic:cNvPr descr="img/arterialallografts.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arterial allografts.</w:t>
      </w:r>
    </w:p>
    <w:p>
      <w:pPr>
        <w:pStyle w:val="BodyText"/>
      </w:pPr>
    </w:p>
    <w:p>
      <w:pPr>
        <w:pStyle w:val="TableCaption"/>
      </w:pPr>
      <w:r>
        <w:t xml:space="preserve">Articles adherent to section Arterial Allografts</w:t>
      </w:r>
    </w:p>
    <w:tbl>
      <w:tblPr>
        <w:tblStyle w:val="Table"/>
        <w:tblW w:type="pct" w:w="0.0"/>
        <w:tblLook w:firstRow="1"/>
        <w:tblCaption w:val="Articles adherent to section Arterial Allografts"/>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Results of cryopreserved arterial allograft replacement for thoracic and thoracoabdominal aortic infections.</w:t>
            </w:r>
            <w:r>
              <w:t xml:space="preserve"> </w:t>
            </w:r>
          </w:p>
        </w:tc>
        <w:tc>
          <w:p>
            <w:pPr>
              <w:pStyle w:val="Compact"/>
              <w:jc w:val="left"/>
            </w:pPr>
            <w:hyperlink r:id="rId33">
              <w:r>
                <w:rPr>
                  <w:rStyle w:val="Hyperlink"/>
                </w:rPr>
                <w:t xml:space="preserve">; 10.1016/j.jvs.2020.05.052</w:t>
              </w:r>
            </w:hyperlink>
          </w:p>
        </w:tc>
      </w:tr>
      <w:tr>
        <w:tc>
          <w:p>
            <w:pPr>
              <w:pStyle w:val="Compact"/>
              <w:jc w:val="left"/>
            </w:pPr>
            <w:r>
              <w:t xml:space="preserve">* Clickable item</w:t>
            </w:r>
          </w:p>
        </w:tc>
        <w:tc>
          <w:p/>
        </w:tc>
      </w:tr>
    </w:tbl>
    <w:p>
      <w:pPr>
        <w:pStyle w:val="BodyText"/>
      </w:pPr>
    </w:p>
    <w:p>
      <w:pPr>
        <w:pStyle w:val="Heading1"/>
      </w:pPr>
      <w:bookmarkStart w:id="34" w:name="classical-covid-19-symptoms"/>
      <w:r>
        <w:t xml:space="preserve">Classical Covid 19 Symptoms</w:t>
      </w:r>
      <w:bookmarkEnd w:id="34"/>
    </w:p>
    <w:p>
      <w:pPr>
        <w:pStyle w:val="FirstParagraph"/>
      </w:pPr>
      <w:r>
        <w:t xml:space="preserve">A case of COVID 19 reinfection in the UK.Protective immunity following COVID 19 infection is not yet fully understood. An understanding of COVID 19 reinfection will be key in guiding government and public health policy decisions in the coming months. This report describes two distinct infective episodes of COVID 19 occurring in the same individual, at the time of writing the first published case in the UK. In April 2020 a 25 year old UK doctor exhibited classical COVID 19 symptoms, including fevers, headaches, and fatigue. A COVID 19 nucleic acid amplification test (NAAT) at the time returned negative. However, a follow up antibody test in May 2020 returned positive. In October 2020 the same individual exhibited coryzal symptoms and headaches. He was COVID 19 NAAT tested and found to be positive. There was exposure to high viral load prior to reinfection. Overall the second infection was symptomatically milder, with a faster recovery. This evidence for reinfection poses challenges for public health and vaccination efforts to protect against the COVID 19 pandemic.</w:t>
      </w:r>
    </w:p>
    <w:p>
      <w:pPr>
        <w:pStyle w:val="CaptionedFigure"/>
      </w:pPr>
      <w:r>
        <w:drawing>
          <wp:inline>
            <wp:extent cx="5334000" cy="5334000"/>
            <wp:effectExtent b="0" l="0" r="0" t="0"/>
            <wp:docPr descr="Wordcloud of most frequent terms within section classical covid 19 symptoms." title="" id="1" name="Picture"/>
            <a:graphic>
              <a:graphicData uri="http://schemas.openxmlformats.org/drawingml/2006/picture">
                <pic:pic>
                  <pic:nvPicPr>
                    <pic:cNvPr descr="img/classicalcovid19symptoms.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classical covid 19 symptoms.</w:t>
      </w:r>
    </w:p>
    <w:p>
      <w:pPr>
        <w:pStyle w:val="BodyText"/>
      </w:pPr>
    </w:p>
    <w:p>
      <w:pPr>
        <w:pStyle w:val="TableCaption"/>
      </w:pPr>
      <w:r>
        <w:t xml:space="preserve">Articles adherent to section Classical Covid 19 Symptoms</w:t>
      </w:r>
    </w:p>
    <w:tbl>
      <w:tblPr>
        <w:tblStyle w:val="Table"/>
        <w:tblW w:type="pct" w:w="0.0"/>
        <w:tblLook w:firstRow="1"/>
        <w:tblCaption w:val="Articles adherent to section Classical Covid 19 Symptoms"/>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A case of COVID 19 reinfection in the UK.</w:t>
            </w:r>
            <w:r>
              <w:t xml:space="preserve"> </w:t>
            </w:r>
          </w:p>
        </w:tc>
        <w:tc>
          <w:p>
            <w:pPr>
              <w:pStyle w:val="Compact"/>
              <w:jc w:val="left"/>
            </w:pPr>
            <w:hyperlink r:id="rId36">
              <w:r>
                <w:rPr>
                  <w:rStyle w:val="Hyperlink"/>
                </w:rPr>
                <w:t xml:space="preserve">10.7861/clinmed.2020 0912</w:t>
              </w:r>
            </w:hyperlink>
          </w:p>
        </w:tc>
      </w:tr>
      <w:tr>
        <w:tc>
          <w:p>
            <w:pPr>
              <w:pStyle w:val="Compact"/>
              <w:jc w:val="left"/>
            </w:pPr>
            <w:r>
              <w:t xml:space="preserve">* Clickable item</w:t>
            </w:r>
          </w:p>
        </w:tc>
        <w:tc>
          <w:p/>
        </w:tc>
      </w:tr>
    </w:tbl>
    <w:p>
      <w:pPr>
        <w:pStyle w:val="BodyText"/>
      </w:pPr>
    </w:p>
    <w:p>
      <w:pPr>
        <w:pStyle w:val="Heading1"/>
      </w:pPr>
      <w:bookmarkStart w:id="37" w:name="culture-reinfection"/>
      <w:r>
        <w:t xml:space="preserve">Culture Reinfection</w:t>
      </w:r>
      <w:bookmarkEnd w:id="37"/>
    </w:p>
    <w:p>
      <w:pPr>
        <w:pStyle w:val="FirstParagraph"/>
      </w:pPr>
      <w:r>
        <w:t xml:space="preserve">Characterization of cerebrospinal fluid (CSF) microbiota from patients with CSF shunt infection and reinfection using high throughput sequencing of 16S ribosomal RNAgenes.BACKGROUND Nearly 20</w:t>
      </w:r>
    </w:p>
    <w:p>
      <w:pPr>
        <w:pStyle w:val="CaptionedFigure"/>
      </w:pPr>
      <w:r>
        <w:drawing>
          <wp:inline>
            <wp:extent cx="5334000" cy="5334000"/>
            <wp:effectExtent b="0" l="0" r="0" t="0"/>
            <wp:docPr descr="Wordcloud of most frequent terms within section culture reinfection." title="" id="1" name="Picture"/>
            <a:graphic>
              <a:graphicData uri="http://schemas.openxmlformats.org/drawingml/2006/picture">
                <pic:pic>
                  <pic:nvPicPr>
                    <pic:cNvPr descr="img/culturereinfection.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culture reinfection.</w:t>
      </w:r>
    </w:p>
    <w:p>
      <w:pPr>
        <w:pStyle w:val="BodyText"/>
      </w:pPr>
    </w:p>
    <w:p>
      <w:pPr>
        <w:pStyle w:val="TableCaption"/>
      </w:pPr>
      <w:r>
        <w:t xml:space="preserve">Articles adherent to section Culture Reinfection</w:t>
      </w:r>
    </w:p>
    <w:tbl>
      <w:tblPr>
        <w:tblStyle w:val="Table"/>
        <w:tblW w:type="pct" w:w="0.0"/>
        <w:tblLook w:firstRow="1"/>
        <w:tblCaption w:val="Articles adherent to section Culture Reinfection"/>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Characterization of cerebrospinal fluid (CSF) microbiota from patients with CSF shunt infection and reinfection using high throughput sequencing of 16S ribosomal RNAgenes.</w:t>
            </w:r>
            <w:r>
              <w:t xml:space="preserve"> </w:t>
            </w:r>
          </w:p>
        </w:tc>
        <w:tc>
          <w:p>
            <w:pPr>
              <w:pStyle w:val="Compact"/>
              <w:jc w:val="left"/>
            </w:pPr>
            <w:hyperlink r:id="rId39">
              <w:r>
                <w:rPr>
                  <w:rStyle w:val="Hyperlink"/>
                </w:rPr>
                <w:t xml:space="preserve">10.1371/journal.pone.0244643;</w:t>
              </w:r>
              <w:r>
                <w:rPr>
                  <w:rStyle w:val="Hyperlink"/>
                </w:rPr>
                <w:t xml:space="preserve"> </w:t>
              </w:r>
            </w:hyperlink>
          </w:p>
        </w:tc>
      </w:tr>
      <w:tr>
        <w:tc>
          <w:p>
            <w:pPr>
              <w:pStyle w:val="Compact"/>
              <w:jc w:val="left"/>
            </w:pPr>
            <w:r>
              <w:t xml:space="preserve">* Clickable item</w:t>
            </w:r>
          </w:p>
        </w:tc>
        <w:tc>
          <w:p/>
        </w:tc>
      </w:tr>
    </w:tbl>
    <w:p>
      <w:pPr>
        <w:pStyle w:val="BodyText"/>
      </w:pPr>
    </w:p>
    <w:p>
      <w:pPr>
        <w:pStyle w:val="Heading1"/>
      </w:pPr>
      <w:bookmarkStart w:id="40" w:name="direct-acting-antivirals"/>
      <w:r>
        <w:t xml:space="preserve">Direct Acting Antivirals</w:t>
      </w:r>
      <w:bookmarkEnd w:id="40"/>
    </w:p>
    <w:p>
      <w:pPr>
        <w:pStyle w:val="FirstParagraph"/>
      </w:pPr>
      <w:r>
        <w:t xml:space="preserve">Hepatitis C clinical management and debated issues.Hepatitis C virus represents an important global health issue with 71 million of infected people in the word. Direct acting antivirals are quite new molecules that hit specific Hepatitis C virus proteins useful for viral replication and assembly. Notably, Direct acting antivirals bring to high sustained virological response rates showing also a great safety profile. This treatment revolution had an impact on transplantation world, in fact the number of liver transplants due to Hepatitis C virus related cirrhosis and hepatocellular carcinoma is quickly decreasing. Even if this therapy has achieved excellent results in terms of morbility and mortality rates’ reduction, there are some debated issues to consider. In the present review the main clinical challenges in every day management of Hepatitis C virus patients treated with Direct acting antivirals and the debated effects of viral clearance (metabolic, cardiovascular, immunologic and neoplastic) are discussed. The detection of barriers that can preclude the delivery of Hepatitis C virus care, is the most complex challenge for the scientific community. To obtain the Hepatitis C virus global eradication by 2030, as the World Health Organization has set, will be complex and laborious and will need a further multilevel effort.</w:t>
      </w:r>
    </w:p>
    <w:p>
      <w:pPr>
        <w:pStyle w:val="CaptionedFigure"/>
      </w:pPr>
      <w:r>
        <w:drawing>
          <wp:inline>
            <wp:extent cx="5334000" cy="5334000"/>
            <wp:effectExtent b="0" l="0" r="0" t="0"/>
            <wp:docPr descr="Wordcloud of most frequent terms within section direct acting antivirals." title="" id="1" name="Picture"/>
            <a:graphic>
              <a:graphicData uri="http://schemas.openxmlformats.org/drawingml/2006/picture">
                <pic:pic>
                  <pic:nvPicPr>
                    <pic:cNvPr descr="img/directactingantivirals.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direct acting antivirals.</w:t>
      </w:r>
    </w:p>
    <w:p>
      <w:pPr>
        <w:pStyle w:val="BodyText"/>
      </w:pPr>
    </w:p>
    <w:p>
      <w:pPr>
        <w:pStyle w:val="TableCaption"/>
      </w:pPr>
      <w:r>
        <w:t xml:space="preserve">Articles adherent to section Direct Acting Antivirals</w:t>
      </w:r>
    </w:p>
    <w:tbl>
      <w:tblPr>
        <w:tblStyle w:val="Table"/>
        <w:tblW w:type="pct" w:w="0.0"/>
        <w:tblLook w:firstRow="1"/>
        <w:tblCaption w:val="Articles adherent to section Direct Acting Antivirals"/>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Hepatitis C clinical management and debated issues.</w:t>
            </w:r>
            <w:r>
              <w:t xml:space="preserve"> </w:t>
            </w:r>
          </w:p>
        </w:tc>
        <w:tc>
          <w:p>
            <w:pPr>
              <w:pStyle w:val="Compact"/>
              <w:jc w:val="left"/>
            </w:pPr>
            <w:hyperlink r:id="rId42">
              <w:r>
                <w:rPr>
                  <w:rStyle w:val="Hyperlink"/>
                </w:rPr>
                <w:t xml:space="preserve">10.23736/S0026 4806.20.07208 0</w:t>
              </w:r>
            </w:hyperlink>
          </w:p>
        </w:tc>
      </w:tr>
      <w:tr>
        <w:tc>
          <w:p>
            <w:pPr>
              <w:pStyle w:val="Compact"/>
              <w:jc w:val="left"/>
            </w:pPr>
            <w:r>
              <w:t xml:space="preserve">* Clickable item</w:t>
            </w:r>
          </w:p>
        </w:tc>
        <w:tc>
          <w:p/>
        </w:tc>
      </w:tr>
    </w:tbl>
    <w:p>
      <w:pPr>
        <w:pStyle w:val="BodyText"/>
      </w:pPr>
    </w:p>
    <w:p>
      <w:pPr>
        <w:pStyle w:val="Heading1"/>
      </w:pPr>
      <w:bookmarkStart w:id="43" w:name="ebv-infections"/>
      <w:r>
        <w:t xml:space="preserve">Ebv Infections</w:t>
      </w:r>
      <w:bookmarkEnd w:id="43"/>
    </w:p>
    <w:p>
      <w:pPr>
        <w:pStyle w:val="FirstParagraph"/>
      </w:pPr>
      <w:r>
        <w:t xml:space="preserve">Hemophagocytic lymphohistiocytosis secondary to Candida albicans and reactivated EBV</w:t>
      </w:r>
      <w:r>
        <w:t xml:space="preserve"> </w:t>
      </w:r>
      <w:r>
        <w:t xml:space="preserve">infections A case report and review of the literature.Hemophagocytic lymphohistiocytosis</w:t>
      </w:r>
      <w:r>
        <w:t xml:space="preserve"> </w:t>
      </w:r>
      <w:r>
        <w:t xml:space="preserve">(HLH) has been recognized as a potentially life threatening syndrome. This is the first case</w:t>
      </w:r>
      <w:r>
        <w:t xml:space="preserve"> </w:t>
      </w:r>
      <w:r>
        <w:t xml:space="preserve">of acquired HLH caused by dual infections with Candida albicans and reactivated EBV infections,</w:t>
      </w:r>
      <w:r>
        <w:t xml:space="preserve"> </w:t>
      </w:r>
      <w:r>
        <w:t xml:space="preserve">which focuses on the importance of morphological awareness of peripheral blood and bone marrow</w:t>
      </w:r>
      <w:r>
        <w:t xml:space="preserve"> </w:t>
      </w:r>
      <w:r>
        <w:t xml:space="preserve">because sometimes they are the only locations that HLH and fungal microorganisms can be</w:t>
      </w:r>
      <w:r>
        <w:t xml:space="preserve"> </w:t>
      </w:r>
      <w:r>
        <w:t xml:space="preserve">diagnosed. A 29 year old woman with a history of abdominal distension and 9 months of</w:t>
      </w:r>
      <w:r>
        <w:t xml:space="preserve"> </w:t>
      </w:r>
      <w:r>
        <w:t xml:space="preserve">intermittent fevers ($38.8°C) was admitted to the hematology department with treatment for</w:t>
      </w:r>
      <w:r>
        <w:t xml:space="preserve"> </w:t>
      </w:r>
      <w:r>
        <w:t xml:space="preserve">leukopenia and thrombocytopenia. Severe infection of bilateral pulmonary and marked</w:t>
      </w:r>
      <w:r>
        <w:t xml:space="preserve"> </w:t>
      </w:r>
      <w:r>
        <w:t xml:space="preserve">hepatosplenomegaly were detected by computed tomography. EB virus CA IgG, EB virus NA</w:t>
      </w:r>
      <w:r>
        <w:t xml:space="preserve"> </w:t>
      </w:r>
      <w:r>
        <w:t xml:space="preserve">IgG and EB virus CA IgM were positive. Scattered yeast like fungi were found on peripheral</w:t>
      </w:r>
      <w:r>
        <w:t xml:space="preserve"> </w:t>
      </w:r>
      <w:r>
        <w:t xml:space="preserve">blood and bone marrow (BM) smears. BM smears indicated prominent hemophagocytosis. Cultures</w:t>
      </w:r>
      <w:r>
        <w:t xml:space="preserve"> </w:t>
      </w:r>
      <w:r>
        <w:t xml:space="preserve">of bronchoalveolar lavage and BM confirmed the growth of C. albicans. A diagnosis of HLH</w:t>
      </w:r>
      <w:r>
        <w:t xml:space="preserve"> </w:t>
      </w:r>
      <w:r>
        <w:t xml:space="preserve">caused by dual infections with Candida albicans and reactivated EBV infections was</w:t>
      </w:r>
      <w:r>
        <w:t xml:space="preserve"> </w:t>
      </w:r>
      <w:r>
        <w:t xml:space="preserve">established based on the clinical features of the patient because 7 of the 8 diagnostic</w:t>
      </w:r>
      <w:r>
        <w:t xml:space="preserve"> </w:t>
      </w:r>
      <w:r>
        <w:t xml:space="preserve">criteria were met. She was treated with etoposide, dexamethasone for HLH, as well as highly</w:t>
      </w:r>
      <w:r>
        <w:t xml:space="preserve"> </w:t>
      </w:r>
      <w:r>
        <w:t xml:space="preserve">active antifungal and antiviral therapies for the underlying etiology of dual infections.</w:t>
      </w:r>
      <w:r>
        <w:t xml:space="preserve"> </w:t>
      </w:r>
      <w:r>
        <w:t xml:space="preserve">The patient eventually recovered following the effective treatment.</w:t>
      </w:r>
      <w:r>
        <w:t xml:space="preserve"> </w:t>
      </w:r>
      <w:r>
        <w:t xml:space="preserve">A timely and accurate diagnosis is crucial to the prognosis of the dangerous disease.</w:t>
      </w:r>
    </w:p>
    <w:p>
      <w:pPr>
        <w:pStyle w:val="CaptionedFigure"/>
      </w:pPr>
      <w:r>
        <w:drawing>
          <wp:inline>
            <wp:extent cx="5334000" cy="5334000"/>
            <wp:effectExtent b="0" l="0" r="0" t="0"/>
            <wp:docPr descr="Wordcloud of most frequent terms within section ebv infections." title="" id="1" name="Picture"/>
            <a:graphic>
              <a:graphicData uri="http://schemas.openxmlformats.org/drawingml/2006/picture">
                <pic:pic>
                  <pic:nvPicPr>
                    <pic:cNvPr descr="img/ebvinfections.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ebv infections.</w:t>
      </w:r>
    </w:p>
    <w:p>
      <w:pPr>
        <w:pStyle w:val="BodyText"/>
      </w:pPr>
    </w:p>
    <w:p>
      <w:pPr>
        <w:pStyle w:val="TableCaption"/>
      </w:pPr>
      <w:r>
        <w:t xml:space="preserve">Articles adherent to section Ebv Infections</w:t>
      </w:r>
    </w:p>
    <w:tbl>
      <w:tblPr>
        <w:tblStyle w:val="Table"/>
        <w:tblW w:type="pct" w:w="0.0"/>
        <w:tblLook w:firstRow="1"/>
        <w:tblCaption w:val="Articles adherent to section Ebv Infections"/>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Hemophagocytic lymphohistiocytosis secondary to Candida albicans and reactivated EBV infections A case report and review of the literature.</w:t>
            </w:r>
            <w:r>
              <w:t xml:space="preserve"> </w:t>
            </w:r>
          </w:p>
        </w:tc>
        <w:tc>
          <w:p/>
        </w:tc>
      </w:tr>
      <w:tr>
        <w:tc>
          <w:p>
            <w:pPr>
              <w:pStyle w:val="Compact"/>
              <w:jc w:val="left"/>
            </w:pPr>
            <w:r>
              <w:t xml:space="preserve">* Clickable item</w:t>
            </w:r>
          </w:p>
        </w:tc>
        <w:tc>
          <w:p/>
        </w:tc>
      </w:tr>
    </w:tbl>
    <w:p>
      <w:pPr>
        <w:pStyle w:val="BodyText"/>
      </w:pPr>
    </w:p>
    <w:p>
      <w:pPr>
        <w:pStyle w:val="Heading1"/>
      </w:pPr>
      <w:bookmarkStart w:id="45" w:name="gastrointestinal-diseases"/>
      <w:r>
        <w:t xml:space="preserve">Gastrointestinal Diseases</w:t>
      </w:r>
      <w:bookmarkEnd w:id="45"/>
    </w:p>
    <w:p>
      <w:pPr>
        <w:pStyle w:val="FirstParagraph"/>
      </w:pPr>
      <w:r>
        <w:t xml:space="preserve">Characteristics of late recurrent candidemia in adult patients.BACKGROUND AND OBJECTIVES Candida species are one of the most common causes of health care associated bloodstream infections. However, recurrent candidemia is rare, and the characteristics of late recurrent (LR) candidemia are partly unclear. Our aim was to evaluate the characteristics of LR candidemia in adult patients. PATIENTS AND METHODS A retrospective cohort study was performed in the hospital district of Helsinki and Uusimaa in Finland (2007 2016). All candidemia cases were searched in an electronic database during the study period. Patients with LR candidemia were compared with patients with a single candidemia episode to evaluate the characteristics of LR candidemia. LR candidemia was defined as having at least two episodes of candidemia more than 30 days apart. RESULTS We identified 24 episodes of LR candidemia in 20 patients. Patients with LR candidemia represented 6</w:t>
      </w:r>
    </w:p>
    <w:p>
      <w:pPr>
        <w:pStyle w:val="CaptionedFigure"/>
      </w:pPr>
      <w:r>
        <w:drawing>
          <wp:inline>
            <wp:extent cx="5334000" cy="5334000"/>
            <wp:effectExtent b="0" l="0" r="0" t="0"/>
            <wp:docPr descr="Wordcloud of most frequent terms within section gastrointestinal diseases." title="" id="1" name="Picture"/>
            <a:graphic>
              <a:graphicData uri="http://schemas.openxmlformats.org/drawingml/2006/picture">
                <pic:pic>
                  <pic:nvPicPr>
                    <pic:cNvPr descr="img/gastrointestinaldiseases.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gastrointestinal diseases.</w:t>
      </w:r>
    </w:p>
    <w:p>
      <w:pPr>
        <w:pStyle w:val="BodyText"/>
      </w:pPr>
    </w:p>
    <w:p>
      <w:pPr>
        <w:pStyle w:val="TableCaption"/>
      </w:pPr>
      <w:r>
        <w:t xml:space="preserve">Articles adherent to section Gastrointestinal Diseases</w:t>
      </w:r>
    </w:p>
    <w:tbl>
      <w:tblPr>
        <w:tblStyle w:val="Table"/>
        <w:tblW w:type="pct" w:w="0.0"/>
        <w:tblLook w:firstRow="1"/>
        <w:tblCaption w:val="Articles adherent to section Gastrointestinal Diseases"/>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Characteristics of late recurrent candidemia in adult patients.</w:t>
            </w:r>
            <w:r>
              <w:t xml:space="preserve"> </w:t>
            </w:r>
          </w:p>
        </w:tc>
        <w:tc>
          <w:p>
            <w:pPr>
              <w:pStyle w:val="Compact"/>
              <w:jc w:val="left"/>
            </w:pPr>
            <w:hyperlink r:id="rId47">
              <w:r>
                <w:rPr>
                  <w:rStyle w:val="Hyperlink"/>
                </w:rPr>
                <w:t xml:space="preserve">10.1111/myc.13236</w:t>
              </w:r>
            </w:hyperlink>
          </w:p>
        </w:tc>
      </w:tr>
      <w:tr>
        <w:tc>
          <w:p>
            <w:pPr>
              <w:pStyle w:val="Compact"/>
              <w:jc w:val="left"/>
            </w:pPr>
            <w:r>
              <w:t xml:space="preserve">* Clickable item</w:t>
            </w:r>
          </w:p>
        </w:tc>
        <w:tc>
          <w:p/>
        </w:tc>
      </w:tr>
    </w:tbl>
    <w:p>
      <w:pPr>
        <w:pStyle w:val="BodyText"/>
      </w:pPr>
    </w:p>
    <w:p>
      <w:pPr>
        <w:pStyle w:val="Heading1"/>
      </w:pPr>
      <w:bookmarkStart w:id="48" w:name="infectious-disease-epidemiology"/>
      <w:r>
        <w:t xml:space="preserve">Infectious Disease Epidemiology</w:t>
      </w:r>
      <w:bookmarkEnd w:id="48"/>
    </w:p>
    <w:p>
      <w:pPr>
        <w:pStyle w:val="FirstParagraph"/>
      </w:pPr>
      <w:r>
        <w:t xml:space="preserve">Responsible modelling Unit testing for infectious disease epidemiology.Infectious disease epidemiology is increasingly reliant on large scale computation and inference. Models have guided health policy for epidemics including COVID 19 and Ebola and endemic diseases including malaria and tuberculosis. Yet a coding bug may bias results, yielding incorrect conclusions and actions causing avoidable harm. We are ethically obliged to make our code as free of error as possible. Unit testing is a coding method to avoid such bugs, but it is rarely used in epidemiology. We demonstrate how unit testing can handle the particular quirks of infectious disease models and aim to increase the uptake of this methodology in our field.</w:t>
      </w:r>
    </w:p>
    <w:p>
      <w:pPr>
        <w:pStyle w:val="CaptionedFigure"/>
      </w:pPr>
      <w:r>
        <w:drawing>
          <wp:inline>
            <wp:extent cx="5334000" cy="5334000"/>
            <wp:effectExtent b="0" l="0" r="0" t="0"/>
            <wp:docPr descr="Wordcloud of most frequent terms within section infectious disease epidemiology." title="" id="1" name="Picture"/>
            <a:graphic>
              <a:graphicData uri="http://schemas.openxmlformats.org/drawingml/2006/picture">
                <pic:pic>
                  <pic:nvPicPr>
                    <pic:cNvPr descr="img/infectiousdiseaseepidemiology.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infectious disease epidemiology.</w:t>
      </w:r>
    </w:p>
    <w:p>
      <w:pPr>
        <w:pStyle w:val="BodyText"/>
      </w:pPr>
    </w:p>
    <w:p>
      <w:pPr>
        <w:pStyle w:val="TableCaption"/>
      </w:pPr>
      <w:r>
        <w:t xml:space="preserve">Articles adherent to section Infectious Disease Epidemiology</w:t>
      </w:r>
    </w:p>
    <w:tbl>
      <w:tblPr>
        <w:tblStyle w:val="Table"/>
        <w:tblW w:type="pct" w:w="0.0"/>
        <w:tblLook w:firstRow="1"/>
        <w:tblCaption w:val="Articles adherent to section Infectious Disease Epidemiology"/>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Responsible modelling Unit testing for infectious disease epidemiology.</w:t>
            </w:r>
            <w:r>
              <w:t xml:space="preserve"> </w:t>
            </w:r>
          </w:p>
        </w:tc>
        <w:tc>
          <w:p>
            <w:pPr>
              <w:pStyle w:val="Compact"/>
              <w:jc w:val="left"/>
            </w:pPr>
            <w:hyperlink r:id="rId50">
              <w:r>
                <w:rPr>
                  <w:rStyle w:val="Hyperlink"/>
                </w:rPr>
                <w:t xml:space="preserve">; 10.1016/j.epidem.2020.100425;</w:t>
              </w:r>
              <w:r>
                <w:rPr>
                  <w:rStyle w:val="Hyperlink"/>
                </w:rPr>
                <w:t xml:space="preserve"> </w:t>
              </w:r>
            </w:hyperlink>
          </w:p>
        </w:tc>
      </w:tr>
      <w:tr>
        <w:tc>
          <w:p>
            <w:pPr>
              <w:pStyle w:val="Compact"/>
              <w:jc w:val="left"/>
            </w:pPr>
            <w:r>
              <w:t xml:space="preserve">* Clickable item</w:t>
            </w:r>
          </w:p>
        </w:tc>
        <w:tc>
          <w:p/>
        </w:tc>
      </w:tr>
    </w:tbl>
    <w:p>
      <w:pPr>
        <w:pStyle w:val="BodyText"/>
      </w:pPr>
    </w:p>
    <w:p>
      <w:pPr>
        <w:pStyle w:val="Heading1"/>
      </w:pPr>
      <w:bookmarkStart w:id="51" w:name="p.-yoelii"/>
      <w:r>
        <w:t xml:space="preserve">P. Yoelii</w:t>
      </w:r>
      <w:bookmarkEnd w:id="51"/>
    </w:p>
    <w:p>
      <w:pPr>
        <w:pStyle w:val="FirstParagraph"/>
      </w:pPr>
      <w:r>
        <w:t xml:space="preserve">Immune characteristics of Plasmodium reinfections in mice following chloroquine cure of primary Plasmodium infections.OBJECTIVE To investigate the disease progression and immunoprotective characteristics in mice re infected with homogeneous/heterogeneous Plasmodium strains following cure of Plasmodium infections with chloroquine at the peak of parasitemia. METHODS C57BL/6 mice were infected with the non lethal P. yoelii 17XNL strain, and half of mice were given treatment with chloroquine at the peak of parasitemia (9 days post infection), while the other mice were self cured naturally. Then, all cured mice were re infected with the equivalent lethal P. yoelii 17XL or P. berghei ANKA strain 90 days following primary Plasmodium infections. The parasitemia levels during primary infections and reinfections were measured by microscopic examinations of Giemsa stained thin blood films, and the levels of the IgG antibody in sera and the percentages of memory T cell subsets in spleen cells were detected in mice using ELISA and flow cytometry before and after parasite reinfections, respectively. RESULTS Following primary infections with the P. yoelii 17XNL strain, the serum IgG antibody levels were (5.047 ± 0.924) pg/mL in the selfcured mice and (4.429 ± 0.624) pg/mL in the chloroquine treated mice, respectively (t = 0.437, P &gt; 0.05), which were both significantly higher than that in the uninfected mice (1.624 pg/mL ± 0.280 pg/mL) (F = 22.522, P &lt; 0.01). There was no significant difference in the serum IgG antibody level among self cured and chloroquine treated mice re infected with the P. yoelii 17XL strain or the P. berghei ANKA strain (F = 0.542, P &gt; 0.05); however, the serum IgG antibody levels were all significantly higher in selfcured and chloroquine treated mice re infected with the P. yoelii 17XLstrain[(15.487±1.173)pg/mLand(15.965±1.150)pg/mL] or the P. berghei ANKA strain [(14.644 ± 1.523) pg/mL and (15.185 ± 1.333) pg/mL] relative to primary infections (F = 67.383, P &lt; 0.01). There was no significant difference in the proportion of CD4(+) [(34.208 ± 2.106), (32.820 ± 1.930), (34.023 ± 2.289), (35.608 ± 1.779) pg/mL] or CD8(+) T memory cells [(17.935 ± 2.092), (18.918 ± 2.823), (17.103 ± 1.627), (17.873 ± 1.425) pg/mL] in self cured and chloroquine treated mice with primary infections with the P. yoelii 17XNL strain followed by re infections with the P. yoelii 17XL strain or the P. berghei ANKA strain (F = 0.944 and 0.390, both P &gt; 0.05); however, the proportions of the CD4(+) or CD8(+) T memory cells were significantly greater in self cured and chloroquine treated mice with primary infections with the P. yoelii 17XNL strain followed by re infections with the P. yoelii 17XL strain or the P. berghei ANKA strain than in mice with primary infections (F = 50.532 and 21.751, both P &lt; 0.01). CONCLUSIONS The cure of murine Plasmodium infections with chloroquine does not affect the production of effective immune protections in mice during parasite re infections. Following a primary infection, mice show a protection against re infections with either homogeneous or heterogeneous Plasmodium strains, and a higher level resistance to re infections with homogeneous parasite strains is found than with heterogeneous strains.</w:t>
      </w:r>
    </w:p>
    <w:p>
      <w:pPr>
        <w:pStyle w:val="CaptionedFigure"/>
      </w:pPr>
      <w:r>
        <w:drawing>
          <wp:inline>
            <wp:extent cx="5334000" cy="5334000"/>
            <wp:effectExtent b="0" l="0" r="0" t="0"/>
            <wp:docPr descr="Wordcloud of most frequent terms within section p. yoelii." title="" id="1" name="Picture"/>
            <a:graphic>
              <a:graphicData uri="http://schemas.openxmlformats.org/drawingml/2006/picture">
                <pic:pic>
                  <pic:nvPicPr>
                    <pic:cNvPr descr="img/p.yoelii.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p. yoelii.</w:t>
      </w:r>
    </w:p>
    <w:p>
      <w:pPr>
        <w:pStyle w:val="BodyText"/>
      </w:pPr>
    </w:p>
    <w:p>
      <w:pPr>
        <w:pStyle w:val="TableCaption"/>
      </w:pPr>
      <w:r>
        <w:t xml:space="preserve">Articles adherent to section P. Yoelii</w:t>
      </w:r>
    </w:p>
    <w:tbl>
      <w:tblPr>
        <w:tblStyle w:val="Table"/>
        <w:tblW w:type="pct" w:w="0.0"/>
        <w:tblLook w:firstRow="1"/>
        <w:tblCaption w:val="Articles adherent to section P. Yoelii"/>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Immune characteristics of Plasmodium reinfections in mice following chloroquine cure of primary Plasmodium infections.</w:t>
            </w:r>
            <w:r>
              <w:t xml:space="preserve"> </w:t>
            </w:r>
          </w:p>
        </w:tc>
        <w:tc>
          <w:p>
            <w:pPr>
              <w:pStyle w:val="Compact"/>
              <w:jc w:val="left"/>
            </w:pPr>
            <w:hyperlink r:id="rId53">
              <w:r>
                <w:rPr>
                  <w:rStyle w:val="Hyperlink"/>
                </w:rPr>
                <w:t xml:space="preserve">10.16250/j.32.1374.2020164</w:t>
              </w:r>
            </w:hyperlink>
          </w:p>
        </w:tc>
      </w:tr>
      <w:tr>
        <w:tc>
          <w:p>
            <w:pPr>
              <w:pStyle w:val="Compact"/>
              <w:jc w:val="left"/>
            </w:pPr>
            <w:r>
              <w:t xml:space="preserve">* Clickable item</w:t>
            </w:r>
          </w:p>
        </w:tc>
        <w:tc>
          <w:p/>
        </w:tc>
      </w:tr>
    </w:tbl>
    <w:p>
      <w:pPr>
        <w:pStyle w:val="BodyText"/>
      </w:pPr>
    </w:p>
    <w:p>
      <w:pPr>
        <w:pStyle w:val="Heading1"/>
      </w:pPr>
      <w:bookmarkStart w:id="54" w:name="prior-sars-cov-2-infection"/>
      <w:r>
        <w:t xml:space="preserve">Prior Sars Cov 2 Infection</w:t>
      </w:r>
      <w:bookmarkEnd w:id="54"/>
    </w:p>
    <w:p>
      <w:pPr>
        <w:pStyle w:val="FirstParagraph"/>
      </w:pPr>
      <w:r>
        <w:t xml:space="preserve">Prior SARS CoV 2 infection is associated with protection against symptomatic reinfection.• Whether SARS CoV 2 infection confers immunity to reinfection is uncertain. • The</w:t>
      </w:r>
      <w:r>
        <w:t xml:space="preserve"> </w:t>
      </w:r>
      <w:r>
        <w:t xml:space="preserve">‘</w:t>
      </w:r>
      <w:r>
        <w:t xml:space="preserve">second wave</w:t>
      </w:r>
      <w:r>
        <w:t xml:space="preserve">’</w:t>
      </w:r>
      <w:r>
        <w:t xml:space="preserve"> </w:t>
      </w:r>
      <w:r>
        <w:t xml:space="preserve">of transmission offered an opportunity to examine this. • We observed no symptomatic reinfections in a cohort of healthcare workers. • This apparent immunity to re infection was maintained for at least 6 months. • Further studies are required to define immunological mechanism(s) and durability.</w:t>
      </w:r>
    </w:p>
    <w:p>
      <w:pPr>
        <w:pStyle w:val="CaptionedFigure"/>
      </w:pPr>
      <w:r>
        <w:drawing>
          <wp:inline>
            <wp:extent cx="5334000" cy="5334000"/>
            <wp:effectExtent b="0" l="0" r="0" t="0"/>
            <wp:docPr descr="Wordcloud of most frequent terms within section prior sars cov 2 infection." title="" id="1" name="Picture"/>
            <a:graphic>
              <a:graphicData uri="http://schemas.openxmlformats.org/drawingml/2006/picture">
                <pic:pic>
                  <pic:nvPicPr>
                    <pic:cNvPr descr="img/priorsarscov2infection.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prior sars cov 2 infection.</w:t>
      </w:r>
    </w:p>
    <w:p>
      <w:pPr>
        <w:pStyle w:val="BodyText"/>
      </w:pPr>
    </w:p>
    <w:p>
      <w:pPr>
        <w:pStyle w:val="TableCaption"/>
      </w:pPr>
      <w:r>
        <w:t xml:space="preserve">Articles adherent to section Prior Sars Cov 2 Infection</w:t>
      </w:r>
    </w:p>
    <w:tbl>
      <w:tblPr>
        <w:tblStyle w:val="Table"/>
        <w:tblW w:type="pct" w:w="0.0"/>
        <w:tblLook w:firstRow="1"/>
        <w:tblCaption w:val="Articles adherent to section Prior Sars Cov 2 Infection"/>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Prior SARS CoV 2 infection is associated with protection against symptomatic reinfection.</w:t>
            </w:r>
            <w:r>
              <w:t xml:space="preserve"> </w:t>
            </w:r>
          </w:p>
        </w:tc>
        <w:tc>
          <w:p>
            <w:pPr>
              <w:pStyle w:val="Compact"/>
              <w:jc w:val="left"/>
            </w:pPr>
            <w:hyperlink r:id="rId56">
              <w:r>
                <w:rPr>
                  <w:rStyle w:val="Hyperlink"/>
                </w:rPr>
                <w:t xml:space="preserve">; 10.1016/j.jinf.2020.12.023</w:t>
              </w:r>
            </w:hyperlink>
          </w:p>
        </w:tc>
      </w:tr>
      <w:tr>
        <w:tc>
          <w:p>
            <w:pPr>
              <w:pStyle w:val="Compact"/>
              <w:jc w:val="left"/>
            </w:pPr>
            <w:r>
              <w:t xml:space="preserve">* Clickable item</w:t>
            </w:r>
          </w:p>
        </w:tc>
        <w:tc>
          <w:p/>
        </w:tc>
      </w:tr>
    </w:tbl>
    <w:p>
      <w:pPr>
        <w:pStyle w:val="BodyText"/>
      </w:pPr>
    </w:p>
    <w:p>
      <w:pPr>
        <w:pStyle w:val="Heading1"/>
      </w:pPr>
      <w:bookmarkStart w:id="57" w:name="recommendations-patients"/>
      <w:r>
        <w:t xml:space="preserve">Recommendations Patients</w:t>
      </w:r>
      <w:bookmarkEnd w:id="57"/>
    </w:p>
    <w:p>
      <w:pPr>
        <w:pStyle w:val="FirstParagraph"/>
      </w:pPr>
      <w:r>
        <w:t xml:space="preserve">Symptomatic relapse and long term sequelae of COVID 19 in a previously healthy 30 year old man.Much has been reported on the clinical course of severe COVID 19, but less is known about the natural history and sequalae of mildly symptomatic cases and the prospects of reinfection or recurrence of symptoms. We report a case of a patient with mildly symptomatic PCR confirmed COVID 19 who, after being symptom free for 2 weeks, redeveloped symptoms and was found to be PCR positive again &gt;4 weeks from original testing. Surprisingly, IgG and IgM antibody testing was negative 2 months after reinfection. Although no negative testing was performed between the two symptomatic bouts, this case raises the possibility of reinfection after controlling the virus and highlights the long period with which a patient can shed virus and experience symptoms after initial infection. Characterising variations in clinical symptoms and length of viral shedding after improvement is essential for informing recommendations on patients safely resuming contact with others.</w:t>
      </w:r>
    </w:p>
    <w:p>
      <w:pPr>
        <w:pStyle w:val="CaptionedFigure"/>
      </w:pPr>
      <w:r>
        <w:drawing>
          <wp:inline>
            <wp:extent cx="5334000" cy="5334000"/>
            <wp:effectExtent b="0" l="0" r="0" t="0"/>
            <wp:docPr descr="Wordcloud of most frequent terms within section recommendations patients." title="" id="1" name="Picture"/>
            <a:graphic>
              <a:graphicData uri="http://schemas.openxmlformats.org/drawingml/2006/picture">
                <pic:pic>
                  <pic:nvPicPr>
                    <pic:cNvPr descr="img/recommendationspatients.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recommendations patients.</w:t>
      </w:r>
    </w:p>
    <w:p>
      <w:pPr>
        <w:pStyle w:val="BodyText"/>
      </w:pPr>
    </w:p>
    <w:p>
      <w:pPr>
        <w:pStyle w:val="TableCaption"/>
      </w:pPr>
      <w:r>
        <w:t xml:space="preserve">Articles adherent to section Recommendations Patients</w:t>
      </w:r>
    </w:p>
    <w:tbl>
      <w:tblPr>
        <w:tblStyle w:val="Table"/>
        <w:tblW w:type="pct" w:w="0.0"/>
        <w:tblLook w:firstRow="1"/>
        <w:tblCaption w:val="Articles adherent to section Recommendations Patients"/>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Symptomatic relapse and long term sequelae of COVID 19 in a previously healthy 30 year old man.</w:t>
            </w:r>
            <w:r>
              <w:t xml:space="preserve"> </w:t>
            </w:r>
          </w:p>
        </w:tc>
        <w:tc>
          <w:p>
            <w:pPr>
              <w:pStyle w:val="Compact"/>
              <w:jc w:val="left"/>
            </w:pPr>
            <w:hyperlink r:id="rId59">
              <w:r>
                <w:rPr>
                  <w:rStyle w:val="Hyperlink"/>
                </w:rPr>
                <w:t xml:space="preserve">10.1136/bcr 2020 239825;</w:t>
              </w:r>
              <w:r>
                <w:rPr>
                  <w:rStyle w:val="Hyperlink"/>
                </w:rPr>
                <w:t xml:space="preserve"> </w:t>
              </w:r>
            </w:hyperlink>
          </w:p>
        </w:tc>
      </w:tr>
      <w:tr>
        <w:tc>
          <w:p>
            <w:pPr>
              <w:pStyle w:val="Compact"/>
              <w:jc w:val="left"/>
            </w:pPr>
            <w:r>
              <w:t xml:space="preserve">* Clickable item</w:t>
            </w:r>
          </w:p>
        </w:tc>
        <w:tc>
          <w:p/>
        </w:tc>
      </w:tr>
    </w:tbl>
    <w:p>
      <w:pPr>
        <w:pStyle w:val="BodyText"/>
      </w:pPr>
    </w:p>
    <w:p>
      <w:pPr>
        <w:pStyle w:val="Heading1"/>
      </w:pPr>
      <w:bookmarkStart w:id="60" w:name="sars-cov"/>
      <w:r>
        <w:t xml:space="preserve">Sars Cov</w:t>
      </w:r>
      <w:bookmarkEnd w:id="60"/>
    </w:p>
    <w:p>
      <w:pPr>
        <w:pStyle w:val="FirstParagraph"/>
      </w:pPr>
      <w:r>
        <w:t xml:space="preserve">SARS CoV 2 reinfection and implications for vaccine development.Coronavirus disease 2019 (COVID 19) pandemic continues to constitute a public health emergency of international concern. Multiple vaccine candidates for COVID 19, which is caused by severe acute respiratory syndrome coronavirus 2 (SARS CoV 2), have entered clinical trials. However, some evidence suggests that patients who have recovered from COVID 19 can be reinfected. For example, in China, two discharged COVID 19 patients who had recovered and fulfilled the discharge criteria for COVID 19 were retested positive to a reverse transcription polymerase chain reaction (RT PCR) assay for the virus. This finding is critical and could hamper COVID 19 vaccine development. This review offers literature based evidence of reinfection with SARS CoV 2, provides explanation for the possibility of SARS CoV 2 reinfection both from the agent and host points of view, and discusses its implication for COVID 19 vaccine development.Antibody response and therapy in COVID 19 patients what can be learned for vaccine development The newly emerged severe acute respiratory syndrome coronavirus 2 (SARS CoV 2) has infected millions of people and caused tremendous morbidity and mortality worldwide. Effective treatment for coronavirus disease 2019 (COVID 19) due to SARS CoV 2 infection is lacking, and different therapeutic strategies are under testing. Host humoral and cellular immunity to SARS CoV 2 infection is a critical determinant for patients’ outcomes. SARS CoV 2 infection results in seroconversion and production of anti SARS CoV 2 antibodies. The antibodies may suppress viral replication through neutralization but might also participate in COVID 19 pathogenesis through a process termed antibody dependent enhancement. Rapid progress has been made in the research of antibody response and therapy in COVID 19 patients, including characterization of the clinical features of antibody responses in different populations infected by SARS CoV 2, treatment of COVID 19 patients with convalescent plasma and intravenous immunoglobin products, isolation and characterization of a large panel of monoclonal neutralizing antibodies and early clinical testing, as well as clinical results from several COVID 19 vaccine candidates. In this review, we summarize the recent progress and discuss the implications of these findings in vaccine development.Covid 19 reinfections what is the clinical relevance .Every day additional confirmed case of SARS CoV 2 reinfection are being reported across the globe. In the Netherlands more than 50 cases of probable reinfections have been identified. With more than 500 thousand people in the Netherlands who have been infected with SARS CoV 2 up till now this number does seems to be quite low. Still, important questions have to be asked. How do we define reinfection and how do these reinfections compare to other (corona) viruses What is the immunological significance What is the duration of protective immunity And what does Covid 19 reinfections mean for the prevention and development of a vaccine The described cases of re infections do teach us that a SARS CoV 2 vaccine should also be considered for people with a documented Covid 19 infection in the past and that general precautions, such as the use of face masks and social distancing, still apply to those with a previous SARS CoV 2 infection.Immunological characteristics govern the transition of COVID 19 to endemicity.We are currently faced with the question of how the severity of infection with severe acute respiratory syndrome coronavirus 2 (SARS CoV 2) may change in the years ahead. Our analysis of immunological and epidemiological data on endemic human coronaviruses (HCoVs) shows that infection blocking immunity wanes rapidly but that disease reducing immunity is long lived. Our model, incorporating these components of immunity, recapitulates both the current severity of SARS CoV 2 infection and the benign nature of HCoVs, suggesting that once the endemic phase is reached and primary exposure is in childhood, SARS CoV 2 may be no more virulent than the common cold. We predict a different outcome for an emergent coronavirus that causes severe disease in children. These results reinforce the importance of behavioral containment during pandemic vaccine rollout, while prompting us to evaluate scenarios for continuing vaccination in the endemic phase.Understanding the outcomes of COVID 19 does the current model of an acute respiratory infection really fit Although coronavirus disease 2019 (COVID 19) is regarded as an acute, resolving infection followed by the development of protective immunity, recent systematic literature review documents evidence for often highly prolonged shedding of severe acute respiratory syndrome coronavirus 2 (SARS CoV 2) in respiratory and faecal samples, periodic recurrence of PCR positivity in a substantial proportion of individuals and increasingly documented instances of reinfection associated with a lack of protective immunity. This pattern of infection is quite distinct from the acute/resolving nature of other human pathogenic respiratory viruses, such as influenza A virus and respiratory syncytial virus. Prolonged shedding of SARS CoV 2 furthermore occurs irrespective of disease severity or development of virus neutralizing antibodies. SARS CoV 2 possesses an intensely structured RNA genome, an attribute shared with other human and veterinary coronaviruses and with other mammalian RNA viruses such as hepatitis C virus. These are capable of long term persistence, possibly through poorly understood RNA structure mediated effects on innate and adaptive host immune responses. The assumption that resolution of COVID 19 and the appearance of anti SARS CoV 2 IgG antibodies represents virus clearance and protection from reinfection, implicit for example in the susceptible infected recovered (SIR) model used for epidemic prediction, should be rigorously re evaluated.Coronavirus disease 2019 (COVID 19) pandemic continues to constitute a public health emergency of international concern. Multiple vaccine candidates for COVID 19, which is caused by severe acute respiratory syndrome coronavirus 2 (SARS CoV 2), have entered clinical trials. Some evidence suggests that patients who have recovered from CO VID 19 can be reinfected. This finding is critical and could hamper vaccine development.</w:t>
      </w:r>
    </w:p>
    <w:p>
      <w:pPr>
        <w:pStyle w:val="CaptionedFigure"/>
      </w:pPr>
      <w:r>
        <w:drawing>
          <wp:inline>
            <wp:extent cx="5334000" cy="5334000"/>
            <wp:effectExtent b="0" l="0" r="0" t="0"/>
            <wp:docPr descr="Wordcloud of most frequent terms within section sars cov." title="" id="1" name="Picture"/>
            <a:graphic>
              <a:graphicData uri="http://schemas.openxmlformats.org/drawingml/2006/picture">
                <pic:pic>
                  <pic:nvPicPr>
                    <pic:cNvPr descr="img/sarscov.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sars cov.</w:t>
      </w:r>
    </w:p>
    <w:p>
      <w:pPr>
        <w:pStyle w:val="BodyText"/>
      </w:pPr>
    </w:p>
    <w:p>
      <w:pPr>
        <w:pStyle w:val="TableCaption"/>
      </w:pPr>
      <w:r>
        <w:t xml:space="preserve">Articles adherent to section Sars Cov</w:t>
      </w:r>
    </w:p>
    <w:tbl>
      <w:tblPr>
        <w:tblStyle w:val="Table"/>
        <w:tblW w:type="pct" w:w="0.0"/>
        <w:tblLook w:firstRow="1"/>
        <w:tblCaption w:val="Articles adherent to section Sars Cov"/>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SARS CoV 2 reinfection and implications for vaccine development.</w:t>
            </w:r>
            <w:r>
              <w:t xml:space="preserve"> </w:t>
            </w:r>
          </w:p>
        </w:tc>
        <w:tc>
          <w:p>
            <w:pPr>
              <w:pStyle w:val="Compact"/>
              <w:jc w:val="left"/>
            </w:pPr>
            <w:hyperlink r:id="rId62">
              <w:r>
                <w:rPr>
                  <w:rStyle w:val="Hyperlink"/>
                </w:rPr>
                <w:t xml:space="preserve">10.1080/21645515.2020.1830683</w:t>
              </w:r>
            </w:hyperlink>
          </w:p>
        </w:tc>
      </w:tr>
      <w:tr>
        <w:tc>
          <w:p>
            <w:pPr>
              <w:pStyle w:val="Compact"/>
              <w:jc w:val="left"/>
            </w:pPr>
            <w:r>
              <w:t xml:space="preserve">Antibody response and therapy in COVID 19 patients what can be learned for vaccine development</w:t>
            </w:r>
            <w:r>
              <w:t xml:space="preserve"> </w:t>
            </w:r>
          </w:p>
        </w:tc>
        <w:tc>
          <w:p>
            <w:pPr>
              <w:pStyle w:val="Compact"/>
              <w:jc w:val="left"/>
            </w:pPr>
            <w:hyperlink r:id="rId63">
              <w:r>
                <w:rPr>
                  <w:rStyle w:val="Hyperlink"/>
                </w:rPr>
                <w:t xml:space="preserve">10.1007/s11427 020 1859 y</w:t>
              </w:r>
            </w:hyperlink>
          </w:p>
        </w:tc>
      </w:tr>
      <w:tr>
        <w:tc>
          <w:p>
            <w:pPr>
              <w:pStyle w:val="Compact"/>
              <w:jc w:val="left"/>
            </w:pPr>
            <w:r>
              <w:t xml:space="preserve">Covid 19 reinfections what is the clinical relevance .</w:t>
            </w:r>
            <w:r>
              <w:t xml:space="preserve"> </w:t>
            </w:r>
          </w:p>
        </w:tc>
        <w:tc>
          <w:p>
            <w:pPr>
              <w:pStyle w:val="Compact"/>
              <w:jc w:val="left"/>
            </w:pPr>
            <w:hyperlink r:id="rId64"/>
          </w:p>
        </w:tc>
      </w:tr>
      <w:tr>
        <w:tc>
          <w:p>
            <w:pPr>
              <w:pStyle w:val="Compact"/>
              <w:jc w:val="left"/>
            </w:pPr>
            <w:r>
              <w:t xml:space="preserve">Immunological characteristics govern the transition of COVID 19 to endemicity.</w:t>
            </w:r>
            <w:r>
              <w:t xml:space="preserve"> </w:t>
            </w:r>
          </w:p>
        </w:tc>
        <w:tc>
          <w:p>
            <w:pPr>
              <w:pStyle w:val="Compact"/>
              <w:jc w:val="left"/>
            </w:pPr>
            <w:hyperlink r:id="rId65">
              <w:r>
                <w:rPr>
                  <w:rStyle w:val="Hyperlink"/>
                </w:rPr>
                <w:t xml:space="preserve">10.1126/science.abe6522</w:t>
              </w:r>
            </w:hyperlink>
          </w:p>
        </w:tc>
      </w:tr>
      <w:tr>
        <w:tc>
          <w:p>
            <w:pPr>
              <w:pStyle w:val="Compact"/>
              <w:jc w:val="left"/>
            </w:pPr>
            <w:r>
              <w:t xml:space="preserve">Understanding the outcomes of COVID 19 does the current model of an acute respiratory infection really fit</w:t>
            </w:r>
            <w:r>
              <w:t xml:space="preserve"> </w:t>
            </w:r>
          </w:p>
        </w:tc>
        <w:tc>
          <w:p>
            <w:pPr>
              <w:pStyle w:val="Compact"/>
              <w:jc w:val="left"/>
            </w:pPr>
            <w:hyperlink r:id="rId66">
              <w:r>
                <w:rPr>
                  <w:rStyle w:val="Hyperlink"/>
                </w:rPr>
                <w:t xml:space="preserve">10.1099/jgv.0.001545;</w:t>
              </w:r>
              <w:r>
                <w:rPr>
                  <w:rStyle w:val="Hyperlink"/>
                </w:rPr>
                <w:t xml:space="preserve"> </w:t>
              </w:r>
            </w:hyperlink>
          </w:p>
        </w:tc>
      </w:tr>
      <w:tr>
        <w:tc>
          <w:p>
            <w:pPr>
              <w:pStyle w:val="Compact"/>
              <w:jc w:val="left"/>
            </w:pPr>
            <w:r>
              <w:t xml:space="preserve">* Clickable item</w:t>
            </w:r>
          </w:p>
        </w:tc>
        <w:tc>
          <w:p/>
        </w:tc>
      </w:tr>
    </w:tbl>
    <w:p>
      <w:pPr>
        <w:pStyle w:val="BodyText"/>
      </w:pPr>
    </w:p>
    <w:p>
      <w:pPr>
        <w:pStyle w:val="Heading1"/>
      </w:pPr>
      <w:bookmarkStart w:id="67" w:name="X0efd96917d4afb1ce9780679a922bdd9f75ea1f"/>
      <w:r>
        <w:t xml:space="preserve">Severe Acute Respiratory Syndrome Coronavirus</w:t>
      </w:r>
      <w:bookmarkEnd w:id="67"/>
    </w:p>
    <w:p>
      <w:pPr>
        <w:pStyle w:val="FirstParagraph"/>
      </w:pPr>
      <w:r>
        <w:t xml:space="preserve">The Importance and Challenges of Identifying SARS CoV 2 Reinfections.Reports of severe acute respiratory syndrome coronavirus 2 (SARS CoV 2) reinfection have raised important questions about the strength and durability of the immune response to primary infection, which are key factors in predicting the course of the pandemic. Identifying reinfection requires detecting the virus at two different time points and using viral genomic data to distinguish reinfection from persistent viral carriage. This process is hindered by challenges of logistics and capacity, such as banking samples from primary infection and performing viral genome sequencing. These challenges may help to explain why very few cases have been described to date. In addition, reinfection may be a rare phenomenon, but detailed prospective studies are needed to rigorously assess its frequency. To provide context for future investigations of SARS CoV 2 reinfection, we review 16 cases that have been published to date or are available in preprint. Reinfection occurred across demographic spectra and in patients whose initial infections were both asymptomatic/mild and moderate/severe. For cases in which severity could be compared between episodes, half of reinfections were less severe, raising the possibility of partial immune protection. Although many patients had a positive total immunoglobulin or IgG result at the time of reinfection, very little examination of their immune response was performed. Further work is needed to elucidate the frequency, determinants, and consequences of SARS CoV 2 reinfection. Establishing the necessary frameworks for surveillance and investigation will rely heavily on clinical laboratories and clinical investigators, and we propose several considerations to guide the medical community in identifying and characterizing SARS CoV 2 reinfections.</w:t>
      </w:r>
    </w:p>
    <w:p>
      <w:pPr>
        <w:pStyle w:val="CaptionedFigure"/>
      </w:pPr>
      <w:r>
        <w:drawing>
          <wp:inline>
            <wp:extent cx="5334000" cy="5334000"/>
            <wp:effectExtent b="0" l="0" r="0" t="0"/>
            <wp:docPr descr="Wordcloud of most frequent terms within section severe acute respiratory syndrome coronavirus." title="" id="1" name="Picture"/>
            <a:graphic>
              <a:graphicData uri="http://schemas.openxmlformats.org/drawingml/2006/picture">
                <pic:pic>
                  <pic:nvPicPr>
                    <pic:cNvPr descr="img/severeacuterespiratorysyndromecoronavirus.png" id="0" name="Picture"/>
                    <pic:cNvPicPr>
                      <a:picLocks noChangeArrowheads="1" noChangeAspect="1"/>
                    </pic:cNvPicPr>
                  </pic:nvPicPr>
                  <pic:blipFill>
                    <a:blip r:embed="rId6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severe acute respiratory syndrome coronavirus.</w:t>
      </w:r>
    </w:p>
    <w:p>
      <w:pPr>
        <w:pStyle w:val="BodyText"/>
      </w:pPr>
    </w:p>
    <w:p>
      <w:pPr>
        <w:pStyle w:val="TableCaption"/>
      </w:pPr>
      <w:r>
        <w:t xml:space="preserve">Articles adherent to section Severe Acute Respiratory Syndrome Coronavirus</w:t>
      </w:r>
    </w:p>
    <w:tbl>
      <w:tblPr>
        <w:tblStyle w:val="Table"/>
        <w:tblW w:type="pct" w:w="0.0"/>
        <w:tblLook w:firstRow="1"/>
        <w:tblCaption w:val="Articles adherent to section Severe Acute Respiratory Syndrome Coronavirus"/>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The Importance and Challenges of Identifying SARS CoV 2 Reinfections.</w:t>
            </w:r>
            <w:r>
              <w:t xml:space="preserve"> </w:t>
            </w:r>
          </w:p>
        </w:tc>
        <w:tc>
          <w:p>
            <w:pPr>
              <w:pStyle w:val="Compact"/>
              <w:jc w:val="left"/>
            </w:pPr>
            <w:hyperlink r:id="rId69">
              <w:r>
                <w:rPr>
                  <w:rStyle w:val="Hyperlink"/>
                </w:rPr>
                <w:t xml:space="preserve">10.1128/JCM.02769 20;</w:t>
              </w:r>
              <w:r>
                <w:rPr>
                  <w:rStyle w:val="Hyperlink"/>
                </w:rPr>
                <w:t xml:space="preserve"> </w:t>
              </w:r>
            </w:hyperlink>
          </w:p>
        </w:tc>
      </w:tr>
      <w:tr>
        <w:tc>
          <w:p>
            <w:pPr>
              <w:pStyle w:val="Compact"/>
              <w:jc w:val="left"/>
            </w:pPr>
            <w:r>
              <w:t xml:space="preserve">* Clickable item</w:t>
            </w:r>
          </w:p>
        </w:tc>
        <w:tc>
          <w:p/>
        </w:tc>
      </w:tr>
    </w:tbl>
    <w:p>
      <w:pPr>
        <w:pStyle w:val="BodyText"/>
      </w:pPr>
    </w:p>
    <w:p>
      <w:pPr>
        <w:pStyle w:val="Heading1"/>
      </w:pPr>
      <w:bookmarkStart w:id="70" w:name="X2ee6eca8ee05fac287c074cb94b4fb2fcd3bd01"/>
      <w:r>
        <w:t xml:space="preserve">Situ Aortoiliac Reconstruction Cryopreserved Allografts</w:t>
      </w:r>
      <w:bookmarkEnd w:id="70"/>
    </w:p>
    <w:p>
      <w:pPr>
        <w:pStyle w:val="FirstParagraph"/>
      </w:pPr>
      <w:r>
        <w:t xml:space="preserve">Long term results of cryopreserved allografts in aortoiliac graft infections.OBJECTIVE Different graft materials have been proposed for in situ reconstruction in the setting of vascular graft infection (VGI). We analyzed the long term outcomes after in situ aortoiliac reconstruction with cryopreserved allografts. METHODS We performed a retrospective analysis of patients who had undergone in situ aortoiliac reconstruction with cryopreserved arterial allografts for VGI from 2000 to 2015. The end points were the perioperative and long term mortality and graft related complications, including stenosis, occlusion, pseudoaneurysm, and reinfection. RESULTS A total of 33 patients (91</w:t>
      </w:r>
    </w:p>
    <w:p>
      <w:pPr>
        <w:pStyle w:val="CaptionedFigure"/>
      </w:pPr>
      <w:r>
        <w:drawing>
          <wp:inline>
            <wp:extent cx="5334000" cy="5334000"/>
            <wp:effectExtent b="0" l="0" r="0" t="0"/>
            <wp:docPr descr="Wordcloud of most frequent terms within section situ aortoiliac reconstruction cryopreserved allografts." title="" id="1" name="Picture"/>
            <a:graphic>
              <a:graphicData uri="http://schemas.openxmlformats.org/drawingml/2006/picture">
                <pic:pic>
                  <pic:nvPicPr>
                    <pic:cNvPr descr="img/situaortoiliacreconstructioncryopreservedallografts.png" id="0"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situ aortoiliac reconstruction cryopreserved allografts.</w:t>
      </w:r>
    </w:p>
    <w:p>
      <w:pPr>
        <w:pStyle w:val="BodyText"/>
      </w:pPr>
    </w:p>
    <w:p>
      <w:pPr>
        <w:pStyle w:val="TableCaption"/>
      </w:pPr>
      <w:r>
        <w:t xml:space="preserve">Articles adherent to section Situ Aortoiliac Reconstruction Cryopreserved Allografts</w:t>
      </w:r>
    </w:p>
    <w:tbl>
      <w:tblPr>
        <w:tblStyle w:val="Table"/>
        <w:tblW w:type="pct" w:w="0.0"/>
        <w:tblLook w:firstRow="1"/>
        <w:tblCaption w:val="Articles adherent to section Situ Aortoiliac Reconstruction Cryopreserved Allografts"/>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Long term results of cryopreserved allografts in aortoiliac graft infections.</w:t>
            </w:r>
            <w:r>
              <w:t xml:space="preserve"> </w:t>
            </w:r>
          </w:p>
        </w:tc>
        <w:tc>
          <w:p>
            <w:pPr>
              <w:pStyle w:val="Compact"/>
              <w:jc w:val="left"/>
            </w:pPr>
            <w:hyperlink r:id="rId72">
              <w:r>
                <w:rPr>
                  <w:rStyle w:val="Hyperlink"/>
                </w:rPr>
                <w:t xml:space="preserve">; 10.1016/j.jvs.2020.12.070</w:t>
              </w:r>
            </w:hyperlink>
          </w:p>
        </w:tc>
      </w:tr>
      <w:tr>
        <w:tc>
          <w:p>
            <w:pPr>
              <w:pStyle w:val="Compact"/>
              <w:jc w:val="left"/>
            </w:pPr>
            <w:r>
              <w:t xml:space="preserve">* Clickable item</w:t>
            </w:r>
          </w:p>
        </w:tc>
        <w:tc>
          <w:p/>
        </w:tc>
      </w:tr>
    </w:tbl>
    <w:p>
      <w:pPr>
        <w:pStyle w:val="BodyText"/>
      </w:pPr>
    </w:p>
    <w:p>
      <w:pPr>
        <w:pStyle w:val="Heading1"/>
      </w:pPr>
      <w:bookmarkStart w:id="73" w:name="spontaneous-clearance"/>
      <w:r>
        <w:t xml:space="preserve">Spontaneous Clearance</w:t>
      </w:r>
      <w:bookmarkEnd w:id="73"/>
    </w:p>
    <w:p>
      <w:pPr>
        <w:pStyle w:val="FirstParagraph"/>
      </w:pPr>
      <w:r>
        <w:t xml:space="preserve">HCV reinfection rates after cure or spontaneous clearance among HIV infected and uninfected men who have sex with men.BACKGROUND &amp; AIMS Hepatitis C virus (HCV) reinfection among high risk groups threatens HCV elimination goals. We assessed HCV reinfection rates among men who have sex with men (MSM) in British Columbia (BC), Canada. METHODS We used data from the BC Hepatitis Testers Cohort, which includes nearly 1.7 million individuals tested for HCV or HIV in BC. MSM who had either achieved sustained virologic response (SVR) after successful HCV treatment, or spontaneous clearance (SC) and had ≥1 subsequent HCV RNA measurement, were followed from the date of SVR or SC until the earliest of reinfection, death, or last HCV RNA measurement. Predictors of reinfection were identified by Cox proportional modelling. The earliest study start date was 6 November 1997 and latest end date was 13 April 2018. RESULTS Of 1349 HCV positive MSM who met the inclusion criteria, 493 had SC while 856 achieved SVR. 349 (25.65</w:t>
      </w:r>
    </w:p>
    <w:p>
      <w:pPr>
        <w:pStyle w:val="CaptionedFigure"/>
      </w:pPr>
      <w:r>
        <w:drawing>
          <wp:inline>
            <wp:extent cx="5334000" cy="5334000"/>
            <wp:effectExtent b="0" l="0" r="0" t="0"/>
            <wp:docPr descr="Wordcloud of most frequent terms within section spontaneous clearance." title="" id="1" name="Picture"/>
            <a:graphic>
              <a:graphicData uri="http://schemas.openxmlformats.org/drawingml/2006/picture">
                <pic:pic>
                  <pic:nvPicPr>
                    <pic:cNvPr descr="img/spontaneousclearance.png" id="0" name="Picture"/>
                    <pic:cNvPicPr>
                      <a:picLocks noChangeArrowheads="1" noChangeAspect="1"/>
                    </pic:cNvPicPr>
                  </pic:nvPicPr>
                  <pic:blipFill>
                    <a:blip r:embed="rId7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spontaneous clearance.</w:t>
      </w:r>
    </w:p>
    <w:p>
      <w:pPr>
        <w:pStyle w:val="BodyText"/>
      </w:pPr>
    </w:p>
    <w:p>
      <w:pPr>
        <w:pStyle w:val="TableCaption"/>
      </w:pPr>
      <w:r>
        <w:t xml:space="preserve">Articles adherent to section Spontaneous Clearance</w:t>
      </w:r>
    </w:p>
    <w:tbl>
      <w:tblPr>
        <w:tblStyle w:val="Table"/>
        <w:tblW w:type="pct" w:w="0.0"/>
        <w:tblLook w:firstRow="1"/>
        <w:tblCaption w:val="Articles adherent to section Spontaneous Clearance"/>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HCV reinfection rates after cure or spontaneous clearance among HIV infected and uninfected men who have sex with men.</w:t>
            </w:r>
            <w:r>
              <w:t xml:space="preserve"> </w:t>
            </w:r>
          </w:p>
        </w:tc>
        <w:tc>
          <w:p>
            <w:pPr>
              <w:pStyle w:val="Compact"/>
              <w:jc w:val="left"/>
            </w:pPr>
            <w:hyperlink r:id="rId75">
              <w:r>
                <w:rPr>
                  <w:rStyle w:val="Hyperlink"/>
                </w:rPr>
                <w:t xml:space="preserve">10.1111/liv.14762</w:t>
              </w:r>
            </w:hyperlink>
          </w:p>
        </w:tc>
      </w:tr>
      <w:tr>
        <w:tc>
          <w:p>
            <w:pPr>
              <w:pStyle w:val="Compact"/>
              <w:jc w:val="left"/>
            </w:pPr>
            <w:r>
              <w:t xml:space="preserve">* Clickable item</w:t>
            </w:r>
          </w:p>
        </w:tc>
        <w:tc>
          <w:p/>
        </w:tc>
      </w:tr>
    </w:tbl>
    <w:p>
      <w:pPr>
        <w:pStyle w:val="BodyText"/>
      </w:pPr>
    </w:p>
    <w:p>
      <w:pPr>
        <w:pStyle w:val="Heading1"/>
      </w:pPr>
      <w:bookmarkStart w:id="76" w:name="susceptibility-infections"/>
      <w:r>
        <w:t xml:space="preserve">Susceptibility Infections</w:t>
      </w:r>
      <w:bookmarkEnd w:id="76"/>
    </w:p>
    <w:p>
      <w:pPr>
        <w:pStyle w:val="FirstParagraph"/>
      </w:pPr>
      <w:r>
        <w:t xml:space="preserve">Homotypic and Heterotypic Protection and Risk of Reinfection Following Natural Norovirus Infection in a Highly Endemic Setting.BACKGROUND Norovirus is a leading cause of acute gastroenteritis worldwide, yet there is limited information on homotypic or heterotypic protection following natural infection to guide vaccine development. METHODS A total of 6020 stools collected from 299 Peruvian children between 2010 and 2014 were tested by norovirus real time reverse transcription polymerase chain reaction followed by sequence based genotyping. Cox proportional hazards models were used to derive adjusted hazard ratios (HRs) of infection among children with vs without prior exposure. RESULTS Norovirus was detected in 1288 (21.3</w:t>
      </w:r>
    </w:p>
    <w:p>
      <w:pPr>
        <w:pStyle w:val="CaptionedFigure"/>
      </w:pPr>
      <w:r>
        <w:drawing>
          <wp:inline>
            <wp:extent cx="5334000" cy="5334000"/>
            <wp:effectExtent b="0" l="0" r="0" t="0"/>
            <wp:docPr descr="Wordcloud of most frequent terms within section susceptibility infections." title="" id="1" name="Picture"/>
            <a:graphic>
              <a:graphicData uri="http://schemas.openxmlformats.org/drawingml/2006/picture">
                <pic:pic>
                  <pic:nvPicPr>
                    <pic:cNvPr descr="img/susceptibilityinfections.png" id="0" name="Picture"/>
                    <pic:cNvPicPr>
                      <a:picLocks noChangeArrowheads="1" noChangeAspect="1"/>
                    </pic:cNvPicPr>
                  </pic:nvPicPr>
                  <pic:blipFill>
                    <a:blip r:embed="rId7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Wordcloud of most frequent terms within section susceptibility infections.</w:t>
      </w:r>
    </w:p>
    <w:p>
      <w:pPr>
        <w:pStyle w:val="BodyText"/>
      </w:pPr>
    </w:p>
    <w:p>
      <w:pPr>
        <w:pStyle w:val="TableCaption"/>
      </w:pPr>
      <w:r>
        <w:t xml:space="preserve">Articles adherent to section Susceptibility Infections</w:t>
      </w:r>
    </w:p>
    <w:tbl>
      <w:tblPr>
        <w:tblStyle w:val="Table"/>
        <w:tblW w:type="pct" w:w="0.0"/>
        <w:tblLook w:firstRow="1"/>
        <w:tblCaption w:val="Articles adherent to section Susceptibility Infections"/>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left"/>
            </w:pPr>
            <w:r>
              <w:t xml:space="preserve">DOI*</w:t>
            </w:r>
          </w:p>
        </w:tc>
      </w:tr>
      <w:tr>
        <w:tc>
          <w:p>
            <w:pPr>
              <w:pStyle w:val="Compact"/>
              <w:jc w:val="left"/>
            </w:pPr>
            <w:r>
              <w:t xml:space="preserve">Homotypic and Heterotypic Protection and Risk of Reinfection Following Natural Norovirus Infection in a Highly Endemic Setting.</w:t>
            </w:r>
            <w:r>
              <w:t xml:space="preserve"> </w:t>
            </w:r>
          </w:p>
        </w:tc>
        <w:tc>
          <w:p>
            <w:pPr>
              <w:pStyle w:val="Compact"/>
              <w:jc w:val="left"/>
            </w:pPr>
            <w:hyperlink r:id="rId78">
              <w:r>
                <w:rPr>
                  <w:rStyle w:val="Hyperlink"/>
                </w:rPr>
                <w:t xml:space="preserve">10.1093/cid/ciaa019</w:t>
              </w:r>
            </w:hyperlink>
          </w:p>
        </w:tc>
      </w:tr>
      <w:tr>
        <w:tc>
          <w:p>
            <w:pPr>
              <w:pStyle w:val="Compact"/>
              <w:jc w:val="left"/>
            </w:pPr>
            <w:r>
              <w:t xml:space="preserve">* Clickable item</w:t>
            </w:r>
          </w:p>
        </w:tc>
        <w:tc>
          <w:p/>
        </w:tc>
      </w:tr>
    </w:tbl>
    <w:p>
      <w:pPr>
        <w:pStyle w:val="BodyText"/>
      </w:pPr>
    </w:p>
    <w:p>
      <w:pPr>
        <w:pStyle w:val="Heading1"/>
      </w:pPr>
      <w:bookmarkStart w:id="79" w:name="prospero-systematic-review"/>
      <w:r>
        <w:t xml:space="preserve">Prospero systematic review</w:t>
      </w:r>
      <w:bookmarkEnd w:id="79"/>
    </w:p>
    <w:p>
      <w:pPr>
        <w:pStyle w:val="Heading2"/>
      </w:pPr>
      <w:bookmarkStart w:id="80" w:name="review-title"/>
      <w:r>
        <w:t xml:space="preserve">* Review title</w:t>
      </w:r>
      <w:bookmarkEnd w:id="80"/>
    </w:p>
    <w:p>
      <w:pPr>
        <w:pStyle w:val="FirstParagraph"/>
      </w:pPr>
      <w:r>
        <w:t xml:space="preserve">Give the working title of the review, for example the one used for obtaining funding. Ideally the title should state succinctly</w:t>
      </w:r>
      <w:r>
        <w:t xml:space="preserve"> </w:t>
      </w:r>
      <w:r>
        <w:t xml:space="preserve">the interventions or exposures being reviewed and the associated health or social problems. Where appropriate, the title</w:t>
      </w:r>
      <w:r>
        <w:t xml:space="preserve"> </w:t>
      </w:r>
      <w:r>
        <w:t xml:space="preserve">should use the PI(E)COS structure to contain information on the Participants, Intervention (or Exposure) and Comparison</w:t>
      </w:r>
      <w:r>
        <w:t xml:space="preserve"> </w:t>
      </w:r>
      <w:r>
        <w:t xml:space="preserve">groups, the Outcomes to be measured and Study designs to be included.</w:t>
      </w:r>
      <w:r>
        <w:t xml:space="preserve"> </w:t>
      </w:r>
      <w:r>
        <w:t xml:space="preserve">Acronyms may be included in titles, but should not be used alone without expansion unless they are regarded as more</w:t>
      </w:r>
      <w:r>
        <w:t xml:space="preserve"> </w:t>
      </w:r>
      <w:r>
        <w:t xml:space="preserve">usual than the expansion (e.g. HIV).</w:t>
      </w:r>
      <w:r>
        <w:t xml:space="preserve"> </w:t>
      </w:r>
      <w:r>
        <w:t xml:space="preserve">The title in this field must be in English. If the original title is in a different language the English version must be entered</w:t>
      </w:r>
      <w:r>
        <w:t xml:space="preserve"> </w:t>
      </w:r>
      <w:r>
        <w:t xml:space="preserve">here, with the non-English version entered into the field labeled</w:t>
      </w:r>
      <w:r>
        <w:t xml:space="preserve"> </w:t>
      </w:r>
      <w:r>
        <w:t xml:space="preserve">“</w:t>
      </w:r>
      <w:r>
        <w:t xml:space="preserve">Original Language Title</w:t>
      </w:r>
      <w:r>
        <w:t xml:space="preserve">”</w:t>
      </w:r>
      <w:r>
        <w:t xml:space="preserve">.</w:t>
      </w:r>
      <w:r>
        <w:t xml:space="preserve"> </w:t>
      </w:r>
      <w:r>
        <w:t xml:space="preserve">If the final title of the review differs, this can be displayed in the Publication of Final Report Field.</w:t>
      </w:r>
      <w:r>
        <w:t xml:space="preserve"> </w:t>
      </w:r>
      <w:r>
        <w:t xml:space="preserve">Example: Systematic review and meta-analysis of recurrence and survival following pre- versus post-operative radiation</w:t>
      </w:r>
      <w:r>
        <w:t xml:space="preserve"> </w:t>
      </w:r>
      <w:r>
        <w:t xml:space="preserve">in localized, resectable soft-tissue sarcoma.</w:t>
      </w:r>
    </w:p>
    <w:p>
      <w:pPr>
        <w:pStyle w:val="Heading2"/>
      </w:pPr>
      <w:bookmarkStart w:id="81" w:name="original-language-title"/>
      <w:r>
        <w:t xml:space="preserve">Original language title</w:t>
      </w:r>
      <w:bookmarkEnd w:id="81"/>
    </w:p>
    <w:p>
      <w:pPr>
        <w:pStyle w:val="FirstParagraph"/>
      </w:pPr>
      <w:r>
        <w:t xml:space="preserve">For reviews in languages other than English, this field should be used to enter the title in the language of the review. This</w:t>
      </w:r>
      <w:r>
        <w:t xml:space="preserve"> </w:t>
      </w:r>
      <w:r>
        <w:t xml:space="preserve">will be displayed together with the English language title.</w:t>
      </w:r>
      <w:r>
        <w:t xml:space="preserve"> </w:t>
      </w:r>
      <w:r>
        <w:t xml:space="preserve">Example: Revisión sistemática y meta-análisis de la recurrencia y la supervivencia tras la fase de radiación en</w:t>
      </w:r>
      <w:r>
        <w:t xml:space="preserve"> </w:t>
      </w:r>
      <w:r>
        <w:t xml:space="preserve">comparación con post-operatorio en el sarcoma localizados resecables de tejido blando.</w:t>
      </w:r>
    </w:p>
    <w:p>
      <w:pPr>
        <w:pStyle w:val="Heading2"/>
      </w:pPr>
      <w:bookmarkStart w:id="82" w:name="anticipated-or-actual-start-date"/>
      <w:r>
        <w:t xml:space="preserve">* Anticipated or actual start date</w:t>
      </w:r>
      <w:bookmarkEnd w:id="82"/>
    </w:p>
    <w:p>
      <w:pPr>
        <w:pStyle w:val="FirstParagraph"/>
      </w:pPr>
      <w:r>
        <w:t xml:space="preserve">Give the date when the systematic review commenced, or is expected to commence.</w:t>
      </w:r>
      <w:r>
        <w:t xml:space="preserve"> </w:t>
      </w:r>
      <w:r>
        <w:t xml:space="preserve">For the purposes of PROSPERO, the date of commencement for the systematic review can be defined as any point after</w:t>
      </w:r>
      <w:r>
        <w:t xml:space="preserve"> </w:t>
      </w:r>
      <w:r>
        <w:t xml:space="preserve">completion of a protocol but before formal screening of the identified studies against the eligibility criteria begins.</w:t>
      </w:r>
      <w:r>
        <w:t xml:space="preserve"> </w:t>
      </w:r>
      <w:r>
        <w:t xml:space="preserve">A protocol can be deemed complete when it is approved by a funder or the person commissioning the review; when peer</w:t>
      </w:r>
      <w:r>
        <w:t xml:space="preserve"> </w:t>
      </w:r>
      <w:r>
        <w:t xml:space="preserve">review is complete; when the protocol is published or when the authors decide that it is complete and they do not</w:t>
      </w:r>
      <w:r>
        <w:t xml:space="preserve"> </w:t>
      </w:r>
      <w:r>
        <w:t xml:space="preserve">anticipate any major revisions to the design of the systematic review.</w:t>
      </w:r>
      <w:r>
        <w:t xml:space="preserve"> </w:t>
      </w:r>
      <w:r>
        <w:t xml:space="preserve">This field may be edited at any time. All edits to published records will appear in the record audit trail. A brief explanation of</w:t>
      </w:r>
      <w:r>
        <w:t xml:space="preserve"> </w:t>
      </w:r>
      <w:r>
        <w:t xml:space="preserve">the reason for changes should be given in the Revision Notes facility.</w:t>
      </w:r>
    </w:p>
    <w:p>
      <w:pPr>
        <w:pStyle w:val="BodyText"/>
      </w:pPr>
      <w:r>
        <w:rPr>
          <w:b/>
        </w:rPr>
        <w:t xml:space="preserve">Example</w:t>
      </w:r>
      <w:r>
        <w:t xml:space="preserve">: 01 June 2011.</w:t>
      </w:r>
    </w:p>
    <w:p>
      <w:pPr>
        <w:pStyle w:val="Heading2"/>
      </w:pPr>
      <w:bookmarkStart w:id="83" w:name="anticipated-completion-date"/>
      <w:r>
        <w:t xml:space="preserve">* Anticipated completion date</w:t>
      </w:r>
      <w:bookmarkEnd w:id="83"/>
    </w:p>
    <w:p>
      <w:pPr>
        <w:pStyle w:val="FirstParagraph"/>
      </w:pPr>
      <w:r>
        <w:t xml:space="preserve">Give the date by which the review is expected to be completed. In the absence of an agreed contractual date, a realistic</w:t>
      </w:r>
      <w:r>
        <w:t xml:space="preserve"> </w:t>
      </w:r>
      <w:r>
        <w:t xml:space="preserve">anticipated date for completion should be set. It can be modified should the schedule change. When this date is reached,</w:t>
      </w:r>
      <w:r>
        <w:t xml:space="preserve"> </w:t>
      </w:r>
      <w:r>
        <w:t xml:space="preserve">the named contact will receive an automated email to ask them to provide an update on progress.</w:t>
      </w:r>
      <w:r>
        <w:t xml:space="preserve"> </w:t>
      </w:r>
      <w:r>
        <w:t xml:space="preserve">This field may be edited at any time. All edits will appear in the record audit trail. A brief explanation of the reason for</w:t>
      </w:r>
      <w:r>
        <w:t xml:space="preserve"> </w:t>
      </w:r>
      <w:r>
        <w:t xml:space="preserve">changes should be given in the Revision Notes facility.</w:t>
      </w:r>
    </w:p>
    <w:p>
      <w:pPr>
        <w:pStyle w:val="BodyText"/>
      </w:pPr>
      <w:r>
        <w:rPr>
          <w:b/>
        </w:rPr>
        <w:t xml:space="preserve">Example</w:t>
      </w:r>
      <w:r>
        <w:t xml:space="preserve">: 01 June 2011.</w:t>
      </w:r>
    </w:p>
    <w:p>
      <w:pPr>
        <w:pStyle w:val="Heading2"/>
      </w:pPr>
      <w:bookmarkStart w:id="84" w:name="Xf5fc2b91a287650a6e5173a207a3dbb19a2d053"/>
      <w:r>
        <w:t xml:space="preserve">* Stage of review at time of this submission</w:t>
      </w:r>
      <w:bookmarkEnd w:id="84"/>
    </w:p>
    <w:p>
      <w:pPr>
        <w:pStyle w:val="FirstParagraph"/>
      </w:pPr>
      <w:r>
        <w:t xml:space="preserve">Indicate the stage of progress of the review by ticking the relevant Started and Completed boxes. Additional information</w:t>
      </w:r>
      <w:r>
        <w:t xml:space="preserve"> </w:t>
      </w:r>
      <w:r>
        <w:t xml:space="preserve">may be added in the free text box provided.</w:t>
      </w:r>
      <w:r>
        <w:t xml:space="preserve"> </w:t>
      </w:r>
      <w:r>
        <w:t xml:space="preserve">Please note: Reviews that have progressed beyond the point of completing data extraction at the time of initial registration</w:t>
      </w:r>
      <w:r>
        <w:t xml:space="preserve"> </w:t>
      </w:r>
      <w:r>
        <w:t xml:space="preserve">are not eligible for inclusion in PROSPERO. Should evidence of incorrect status and/or completion date being supplied at</w:t>
      </w:r>
      <w:r>
        <w:t xml:space="preserve"> </w:t>
      </w:r>
      <w:r>
        <w:t xml:space="preserve">the time of submission come to light, the content of the PROSPERO record will be removed leaving only the title and</w:t>
      </w:r>
      <w:r>
        <w:t xml:space="preserve"> </w:t>
      </w:r>
      <w:r>
        <w:t xml:space="preserve">named contact details and a statement that inaccuracies in the stage of the review date had been identified.</w:t>
      </w:r>
      <w:r>
        <w:t xml:space="preserve"> </w:t>
      </w:r>
      <w:r>
        <w:t xml:space="preserve">This field should be updated when any amendments are made to a published record and on completion and publication of</w:t>
      </w:r>
      <w:r>
        <w:t xml:space="preserve"> </w:t>
      </w:r>
      <w:r>
        <w:t xml:space="preserve">the review. If this field was pre-populated from the initial screening questions then you are not able to edit it until the record</w:t>
      </w:r>
      <w:r>
        <w:t xml:space="preserve"> </w:t>
      </w:r>
      <w:r>
        <w:t xml:space="preserve">is published.</w:t>
      </w:r>
      <w:r>
        <w:t xml:space="preserve"> </w:t>
      </w:r>
      <w:r>
        <w:t xml:space="preserve">The review has not yet started: Yes</w:t>
      </w:r>
    </w:p>
    <w:p>
      <w:pPr>
        <w:pStyle w:val="Heading2"/>
      </w:pPr>
      <w:bookmarkStart w:id="85" w:name="named-contact"/>
      <w:r>
        <w:t xml:space="preserve">* Named contact</w:t>
      </w:r>
      <w:bookmarkEnd w:id="85"/>
    </w:p>
    <w:p>
      <w:pPr>
        <w:pStyle w:val="FirstParagraph"/>
      </w:pPr>
      <w:r>
        <w:t xml:space="preserve">The named contact acts as the guarantor for the accuracy of the information presented in the register record. This should</w:t>
      </w:r>
      <w:r>
        <w:t xml:space="preserve"> </w:t>
      </w:r>
      <w:r>
        <w:t xml:space="preserve">be the lead reviewer or a representative of the review team. This person is also responsible for submitting details of any</w:t>
      </w:r>
      <w:r>
        <w:t xml:space="preserve"> </w:t>
      </w:r>
      <w:r>
        <w:t xml:space="preserve">amendments while the review is ongoing and publication details after the review is completed. The named contact is the</w:t>
      </w:r>
      <w:r>
        <w:t xml:space="preserve"> </w:t>
      </w:r>
      <w:r>
        <w:t xml:space="preserve">person to whom users of PROSPERO would send questions or comments.</w:t>
      </w:r>
    </w:p>
    <w:p>
      <w:pPr>
        <w:pStyle w:val="BodyText"/>
      </w:pPr>
      <w:r>
        <w:t xml:space="preserve">This field is automatically populated from the named contact’s signing in details. The named contact’s name will be</w:t>
      </w:r>
      <w:r>
        <w:t xml:space="preserve"> </w:t>
      </w:r>
      <w:r>
        <w:t xml:space="preserve">displayed in the public record.</w:t>
      </w:r>
    </w:p>
    <w:p>
      <w:pPr>
        <w:pStyle w:val="BodyText"/>
      </w:pPr>
      <w:r>
        <w:rPr>
          <w:b/>
        </w:rPr>
        <w:t xml:space="preserve">Example</w:t>
      </w:r>
      <w:r>
        <w:t xml:space="preserve">: Dr Joseph Bloggs</w:t>
      </w:r>
      <w:r>
        <w:t xml:space="preserve"> </w:t>
      </w:r>
      <w:r>
        <w:t xml:space="preserve">N.B. To change the named contact for a published record, send details of the existing and new contact to crdregister@york.ac.uk</w:t>
      </w:r>
    </w:p>
    <w:p>
      <w:pPr>
        <w:pStyle w:val="BodyText"/>
      </w:pPr>
      <w:r>
        <w:t xml:space="preserve">Email salutation (e.g. "Dr Smith" or "Joanne") for correspondence:</w:t>
      </w:r>
    </w:p>
    <w:p>
      <w:pPr>
        <w:pStyle w:val="Heading2"/>
      </w:pPr>
      <w:bookmarkStart w:id="86" w:name="named-contact-email"/>
      <w:r>
        <w:t xml:space="preserve">* Named contact email</w:t>
      </w:r>
      <w:bookmarkEnd w:id="86"/>
    </w:p>
    <w:p>
      <w:pPr>
        <w:pStyle w:val="FirstParagraph"/>
      </w:pPr>
      <w:r>
        <w:t xml:space="preserve">Give the electronic mail address of the named contact. This may be a generic email address to which the named contact</w:t>
      </w:r>
      <w:r>
        <w:t xml:space="preserve"> </w:t>
      </w:r>
      <w:r>
        <w:t xml:space="preserve">has access.</w:t>
      </w:r>
    </w:p>
    <w:p>
      <w:pPr>
        <w:pStyle w:val="BodyText"/>
      </w:pPr>
      <w:r>
        <w:t xml:space="preserve">This field is automatically populated from the named contact’s joining details, but can be changed if required. The email</w:t>
      </w:r>
      <w:r>
        <w:t xml:space="preserve"> </w:t>
      </w:r>
      <w:r>
        <w:t xml:space="preserve">address supplied here will be displayed in the public record.</w:t>
      </w:r>
    </w:p>
    <w:p>
      <w:pPr>
        <w:pStyle w:val="BodyText"/>
      </w:pPr>
      <w:r>
        <w:rPr>
          <w:b/>
        </w:rPr>
        <w:t xml:space="preserve">Examples:</w:t>
      </w:r>
      <w:r>
        <w:t xml:space="preserve"> </w:t>
      </w:r>
      <w:r>
        <w:t xml:space="preserve">joseph.bloggs@city.ac.uk or research.secretary@city.ac.uk</w:t>
      </w:r>
    </w:p>
    <w:p>
      <w:pPr>
        <w:pStyle w:val="Heading2"/>
      </w:pPr>
      <w:bookmarkStart w:id="87" w:name="named-contact-address"/>
      <w:r>
        <w:t xml:space="preserve">Named contact address</w:t>
      </w:r>
      <w:bookmarkEnd w:id="87"/>
    </w:p>
    <w:p>
      <w:pPr>
        <w:pStyle w:val="FirstParagraph"/>
      </w:pPr>
      <w:r>
        <w:t xml:space="preserve">PLEASE NOTE this information will be published in the PROSPERO record so please do not enter private information</w:t>
      </w:r>
    </w:p>
    <w:p>
      <w:pPr>
        <w:pStyle w:val="BodyText"/>
      </w:pPr>
      <w:r>
        <w:t xml:space="preserve">Give the full postal address for the named contact. (N.B. This field is automatically populated from the named contact’s</w:t>
      </w:r>
      <w:r>
        <w:t xml:space="preserve"> </w:t>
      </w:r>
      <w:r>
        <w:t xml:space="preserve">joining details.)</w:t>
      </w:r>
      <w:r>
        <w:t xml:space="preserve"> </w:t>
      </w:r>
      <w:r>
        <w:t xml:space="preserve">This address will be displayed in the public record. If you do not wish it to appear in the public record delete the content of</w:t>
      </w:r>
      <w:r>
        <w:t xml:space="preserve"> </w:t>
      </w:r>
      <w:r>
        <w:t xml:space="preserve">this field.</w:t>
      </w:r>
    </w:p>
    <w:p>
      <w:pPr>
        <w:pStyle w:val="BodyText"/>
      </w:pPr>
      <w:r>
        <w:rPr>
          <w:b/>
        </w:rPr>
        <w:t xml:space="preserve">Example:</w:t>
      </w:r>
      <w:r>
        <w:t xml:space="preserve"> </w:t>
      </w:r>
      <w:r>
        <w:t xml:space="preserve">Alcuin B Block,University of York, York, YO10 5DD, UK</w:t>
      </w:r>
    </w:p>
    <w:p>
      <w:pPr>
        <w:pStyle w:val="Heading2"/>
      </w:pPr>
      <w:bookmarkStart w:id="88" w:name="named-contact-phone-number"/>
      <w:r>
        <w:t xml:space="preserve">Named contact phone number</w:t>
      </w:r>
      <w:bookmarkEnd w:id="88"/>
    </w:p>
    <w:p>
      <w:pPr>
        <w:pStyle w:val="FirstParagraph"/>
      </w:pPr>
      <w:r>
        <w:t xml:space="preserve">Give the telephone number for the named contact, including international dialling code.</w:t>
      </w:r>
      <w:r>
        <w:t xml:space="preserve"> </w:t>
      </w:r>
      <w:r>
        <w:t xml:space="preserve">(N.B. This field is automatically populated from the named contact’s joining details.)</w:t>
      </w:r>
    </w:p>
    <w:p>
      <w:pPr>
        <w:pStyle w:val="BodyText"/>
      </w:pPr>
      <w:r>
        <w:t xml:space="preserve">This number will be displayed in the public record. If you do not wish it to appear in the public record delete the content of</w:t>
      </w:r>
      <w:r>
        <w:t xml:space="preserve"> </w:t>
      </w:r>
      <w:r>
        <w:t xml:space="preserve">this field.</w:t>
      </w:r>
    </w:p>
    <w:p>
      <w:pPr>
        <w:pStyle w:val="BodyText"/>
      </w:pPr>
      <w:r>
        <w:rPr>
          <w:b/>
        </w:rPr>
        <w:t xml:space="preserve">Example:</w:t>
      </w:r>
      <w:r>
        <w:t xml:space="preserve"> </w:t>
      </w:r>
      <w:r>
        <w:t xml:space="preserve">+44 (0)10904 321040</w:t>
      </w:r>
    </w:p>
    <w:p>
      <w:pPr>
        <w:pStyle w:val="Heading2"/>
      </w:pPr>
      <w:bookmarkStart w:id="89" w:name="organisational-affiliation-of-the-review"/>
      <w:r>
        <w:t xml:space="preserve">* Organisational affiliation of the review</w:t>
      </w:r>
      <w:bookmarkEnd w:id="89"/>
    </w:p>
    <w:p>
      <w:pPr>
        <w:pStyle w:val="FirstParagraph"/>
      </w:pPr>
      <w:r>
        <w:t xml:space="preserve">Full title of the organisational affiliations for this review and website address if available. This field may be completed as</w:t>
      </w:r>
      <w:r>
        <w:t xml:space="preserve"> </w:t>
      </w:r>
      <w:r>
        <w:t xml:space="preserve">‘</w:t>
      </w:r>
      <w:r>
        <w:t xml:space="preserve">None</w:t>
      </w:r>
      <w:r>
        <w:t xml:space="preserve">’</w:t>
      </w:r>
      <w:r>
        <w:t xml:space="preserve"> </w:t>
      </w:r>
      <w:r>
        <w:t xml:space="preserve">if the review is not affiliated to any organisation</w:t>
      </w:r>
    </w:p>
    <w:p>
      <w:pPr>
        <w:pStyle w:val="BodyText"/>
      </w:pPr>
      <w:r>
        <w:rPr>
          <w:b/>
        </w:rPr>
        <w:t xml:space="preserve">Example:</w:t>
      </w:r>
      <w:r>
        <w:t xml:space="preserve"> </w:t>
      </w:r>
      <w:r>
        <w:t xml:space="preserve">Andalusian Agency for Health Technology Assessment (AETSA)</w:t>
      </w:r>
    </w:p>
    <w:p>
      <w:pPr>
        <w:pStyle w:val="BodyText"/>
      </w:pPr>
      <w:r>
        <w:rPr>
          <w:b/>
        </w:rPr>
        <w:t xml:space="preserve">Organisation web address:</w:t>
      </w:r>
    </w:p>
    <w:p>
      <w:pPr>
        <w:pStyle w:val="Heading2"/>
      </w:pPr>
      <w:bookmarkStart w:id="90" w:name="Xc84340f72002bafac2413f14db5d3412b5f2455"/>
      <w:r>
        <w:t xml:space="preserve">* Review team members and their organisational affiliations</w:t>
      </w:r>
      <w:bookmarkEnd w:id="90"/>
    </w:p>
    <w:p>
      <w:pPr>
        <w:pStyle w:val="FirstParagraph"/>
      </w:pPr>
      <w:r>
        <w:t xml:space="preserve">Give the personal details and the organisational affiliations of each member of the review team. Affiliation refers to groups</w:t>
      </w:r>
      <w:r>
        <w:t xml:space="preserve"> </w:t>
      </w:r>
      <w:r>
        <w:t xml:space="preserve">or organisations to which review team members belong.</w:t>
      </w:r>
      <w:r>
        <w:t xml:space="preserve"> </w:t>
      </w:r>
      <w:r>
        <w:rPr>
          <w:b/>
        </w:rPr>
        <w:t xml:space="preserve">NOTE: email and country are now mandatory fields for each</w:t>
      </w:r>
      <w:r>
        <w:rPr>
          <w:b/>
        </w:rPr>
        <w:t xml:space="preserve"> </w:t>
      </w:r>
      <w:r>
        <w:rPr>
          <w:b/>
        </w:rPr>
        <w:t xml:space="preserve">person..</w:t>
      </w:r>
      <w:r>
        <w:t xml:space="preserve"> </w:t>
      </w:r>
      <w:r>
        <w:t xml:space="preserve">Affiliation refers to groups or organisations to which review team members belong.</w:t>
      </w:r>
    </w:p>
    <w:p>
      <w:pPr>
        <w:pStyle w:val="BodyText"/>
      </w:pPr>
      <w:r>
        <w:t xml:space="preserve">Review team members will be listed</w:t>
      </w:r>
      <w:r>
        <w:t xml:space="preserve"> </w:t>
      </w:r>
      <w:r>
        <w:t xml:space="preserve">‘</w:t>
      </w:r>
      <w:r>
        <w:t xml:space="preserve">manuscript</w:t>
      </w:r>
      <w:r>
        <w:t xml:space="preserve">’</w:t>
      </w:r>
      <w:r>
        <w:t xml:space="preserve"> </w:t>
      </w:r>
      <w:r>
        <w:t xml:space="preserve">style in the order entered in this list. The named contact will be</w:t>
      </w:r>
      <w:r>
        <w:t xml:space="preserve"> </w:t>
      </w:r>
      <w:r>
        <w:t xml:space="preserve">automatically added to this field, but can be deleted if not a member of the review team. To place the named contact</w:t>
      </w:r>
      <w:r>
        <w:t xml:space="preserve"> </w:t>
      </w:r>
      <w:r>
        <w:t xml:space="preserve">somewhere other than first in order, delete the automatic entry and enter members’ details in the required order.</w:t>
      </w:r>
    </w:p>
    <w:p>
      <w:pPr>
        <w:pStyle w:val="BodyText"/>
      </w:pPr>
      <w:r>
        <w:t xml:space="preserve">Membership of the review team and details of affiliations can be updated at any time.</w:t>
      </w:r>
      <w:r>
        <w:t xml:space="preserve"> </w:t>
      </w:r>
      <w:r>
        <w:t xml:space="preserve">All edits will appear in the record audit trail.</w:t>
      </w:r>
    </w:p>
    <w:p>
      <w:pPr>
        <w:pStyle w:val="BodyText"/>
      </w:pPr>
      <w:r>
        <w:rPr>
          <w:b/>
        </w:rPr>
        <w:t xml:space="preserve">Example:</w:t>
      </w:r>
      <w:r>
        <w:t xml:space="preserve"> </w:t>
      </w:r>
      <w:r>
        <w:t xml:space="preserve">Mr Joseph Bloggs, Centre for Reviews and Dissemination, University of York, UK. Dr Jane Smith, Department</w:t>
      </w:r>
      <w:r>
        <w:t xml:space="preserve"> </w:t>
      </w:r>
      <w:r>
        <w:t xml:space="preserve">of Health Sciences, University of York, UK. Prof. Steven Jones, Centre for Health Statistics, Medical Research Centre,</w:t>
      </w:r>
      <w:r>
        <w:t xml:space="preserve"> </w:t>
      </w:r>
      <w:r>
        <w:t xml:space="preserve">Canada.</w:t>
      </w:r>
    </w:p>
    <w:p>
      <w:pPr>
        <w:pStyle w:val="Heading2"/>
      </w:pPr>
      <w:bookmarkStart w:id="91" w:name="funding-sourcessponsors"/>
      <w:r>
        <w:t xml:space="preserve">* Funding sources/sponsors</w:t>
      </w:r>
      <w:bookmarkEnd w:id="91"/>
    </w:p>
    <w:p>
      <w:pPr>
        <w:pStyle w:val="FirstParagraph"/>
      </w:pPr>
      <w:r>
        <w:t xml:space="preserve">Give details of the individuals, organizations, groups or other legal entities who take responsibility for initiating, managing,</w:t>
      </w:r>
      <w:r>
        <w:t xml:space="preserve"> </w:t>
      </w:r>
      <w:r>
        <w:t xml:space="preserve">sponsoring and/or financing the review. Include any unique identification numbers assigned to the review by the individuals</w:t>
      </w:r>
      <w:r>
        <w:t xml:space="preserve"> </w:t>
      </w:r>
      <w:r>
        <w:t xml:space="preserve">or bodies listed.</w:t>
      </w:r>
    </w:p>
    <w:p>
      <w:pPr>
        <w:pStyle w:val="BodyText"/>
      </w:pPr>
      <w:r>
        <w:rPr>
          <w:b/>
        </w:rPr>
        <w:t xml:space="preserve">Examples:</w:t>
      </w:r>
      <w:r>
        <w:t xml:space="preserve"> </w:t>
      </w:r>
      <w:r>
        <w:t xml:space="preserve">NIHR HTA Programme (Project ref 09/13/02). The Terry Fox New Frontiers Program in Cancer (Ref</w:t>
      </w:r>
      <w:r>
        <w:t xml:space="preserve"> </w:t>
      </w:r>
      <w:r>
        <w:t xml:space="preserve">201006TFL). Funding provided by Amgen, Merck, Roche, and Sanofi-aventis.</w:t>
      </w:r>
    </w:p>
    <w:p>
      <w:pPr>
        <w:pStyle w:val="BodyText"/>
      </w:pPr>
      <w:r>
        <w:rPr>
          <w:b/>
        </w:rPr>
        <w:t xml:space="preserve">Grant number(s)</w:t>
      </w:r>
    </w:p>
    <w:p>
      <w:pPr>
        <w:pStyle w:val="Heading2"/>
      </w:pPr>
      <w:bookmarkStart w:id="92" w:name="conflicts-of-interest"/>
      <w:r>
        <w:t xml:space="preserve">* Conflicts of interest</w:t>
      </w:r>
      <w:bookmarkEnd w:id="92"/>
    </w:p>
    <w:p>
      <w:pPr>
        <w:pStyle w:val="FirstParagraph"/>
      </w:pPr>
      <w:r>
        <w:t xml:space="preserve">List any conditions that could lead to actual or perceived undue influence on judgements concerning the main topic</w:t>
      </w:r>
      <w:r>
        <w:t xml:space="preserve"> </w:t>
      </w:r>
      <w:r>
        <w:t xml:space="preserve">investigated in the review. The conflicts of interest listed should cover the review team as a whole, as well as individuals in</w:t>
      </w:r>
      <w:r>
        <w:t xml:space="preserve"> </w:t>
      </w:r>
      <w:r>
        <w:t xml:space="preserve">the team.</w:t>
      </w:r>
    </w:p>
    <w:p>
      <w:pPr>
        <w:pStyle w:val="BodyText"/>
      </w:pPr>
      <w:r>
        <w:t xml:space="preserve">Conflicts of interest arise when a team member or the team as a whole (e.g. because of the team’s institution) has financial</w:t>
      </w:r>
      <w:r>
        <w:t xml:space="preserve"> </w:t>
      </w:r>
      <w:r>
        <w:t xml:space="preserve">or personal relationships that may inappropriately influence (bias) their actions (such relationships are also known as dual</w:t>
      </w:r>
      <w:r>
        <w:t xml:space="preserve"> </w:t>
      </w:r>
      <w:r>
        <w:t xml:space="preserve">commitments, competing interests, or competing loyalties).These relationships vary from being negligible to having great</w:t>
      </w:r>
      <w:r>
        <w:t xml:space="preserve"> </w:t>
      </w:r>
      <w:r>
        <w:t xml:space="preserve">potential for influencing judgment. Not all relationships represent true conflict of interest.</w:t>
      </w:r>
    </w:p>
    <w:p>
      <w:pPr>
        <w:pStyle w:val="BodyText"/>
      </w:pPr>
      <w:r>
        <w:t xml:space="preserve">On the other hand, the potential for conflict of interest can exist regardless of whether a person believes that the</w:t>
      </w:r>
      <w:r>
        <w:t xml:space="preserve"> </w:t>
      </w:r>
      <w:r>
        <w:t xml:space="preserve">relationship affects his or her scientific judgment. Financial relationships (such as employment, consultancies, stock</w:t>
      </w:r>
      <w:r>
        <w:t xml:space="preserve"> </w:t>
      </w:r>
      <w:r>
        <w:t xml:space="preserve">ownership, honoraria, and paid expert testimony) are the most easily identifiable conflicts of interest and the most likely to</w:t>
      </w:r>
      <w:r>
        <w:t xml:space="preserve"> </w:t>
      </w:r>
      <w:r>
        <w:t xml:space="preserve">undermine the credibility of the review.</w:t>
      </w:r>
    </w:p>
    <w:p>
      <w:pPr>
        <w:pStyle w:val="BodyText"/>
      </w:pPr>
      <w:r>
        <w:t xml:space="preserve">However, conflicts can occur for other reasons, such as personal relationships, academic competition, and intellectual</w:t>
      </w:r>
      <w:r>
        <w:t xml:space="preserve"> </w:t>
      </w:r>
      <w:r>
        <w:t xml:space="preserve">passion. For the purposes of disclosure, the term</w:t>
      </w:r>
      <w:r>
        <w:t xml:space="preserve"> </w:t>
      </w:r>
      <w:r>
        <w:t xml:space="preserve">“</w:t>
      </w:r>
      <w:r>
        <w:t xml:space="preserve">competing interest</w:t>
      </w:r>
      <w:r>
        <w:t xml:space="preserve">”</w:t>
      </w:r>
      <w:r>
        <w:t xml:space="preserve"> </w:t>
      </w:r>
      <w:r>
        <w:t xml:space="preserve">should be considered synonymous with conflict of</w:t>
      </w:r>
      <w:r>
        <w:t xml:space="preserve"> </w:t>
      </w:r>
      <w:r>
        <w:t xml:space="preserve">interest.</w:t>
      </w:r>
    </w:p>
    <w:p>
      <w:pPr>
        <w:pStyle w:val="BodyText"/>
      </w:pPr>
      <w:r>
        <w:rPr>
          <w:b/>
        </w:rPr>
        <w:t xml:space="preserve">Example:</w:t>
      </w:r>
      <w:r>
        <w:t xml:space="preserve"> </w:t>
      </w:r>
      <w:r>
        <w:t xml:space="preserve">The lead reviewer (JB) has given talks on this topic at workshops, seminars, and conferences for which travel</w:t>
      </w:r>
      <w:r>
        <w:t xml:space="preserve"> </w:t>
      </w:r>
      <w:r>
        <w:t xml:space="preserve">and accommodation has been paid for by the organisers. The other authors declare that they have no known conflicts of</w:t>
      </w:r>
      <w:r>
        <w:t xml:space="preserve"> </w:t>
      </w:r>
      <w:r>
        <w:t xml:space="preserve">interest.</w:t>
      </w:r>
    </w:p>
    <w:p>
      <w:pPr>
        <w:pStyle w:val="BodyText"/>
      </w:pPr>
      <w:r>
        <w:rPr>
          <w:b/>
        </w:rPr>
        <w:t xml:space="preserve">None</w:t>
      </w:r>
    </w:p>
    <w:p>
      <w:pPr>
        <w:pStyle w:val="Heading2"/>
      </w:pPr>
      <w:bookmarkStart w:id="93" w:name="collaborators"/>
      <w:r>
        <w:t xml:space="preserve">Collaborators</w:t>
      </w:r>
      <w:bookmarkEnd w:id="93"/>
    </w:p>
    <w:p>
      <w:pPr>
        <w:pStyle w:val="FirstParagraph"/>
      </w:pPr>
      <w:r>
        <w:t xml:space="preserve">Give the name and affiliation of any individuals or organisations who are working on the review but who are not listed as</w:t>
      </w:r>
      <w:r>
        <w:t xml:space="preserve"> </w:t>
      </w:r>
      <w:r>
        <w:t xml:space="preserve">review team members. NOTE: email and country are now mandatory fields for each person.</w:t>
      </w:r>
    </w:p>
    <w:p>
      <w:pPr>
        <w:pStyle w:val="BodyText"/>
      </w:pPr>
      <w:r>
        <w:rPr>
          <w:b/>
        </w:rPr>
        <w:t xml:space="preserve">Example:</w:t>
      </w:r>
      <w:r>
        <w:t xml:space="preserve"> </w:t>
      </w:r>
      <w:r>
        <w:t xml:space="preserve">Dr Eric Porter, Oncologist, University Hospital, Brighton, UK. Clinical advisor.</w:t>
      </w:r>
    </w:p>
    <w:p>
      <w:pPr>
        <w:pStyle w:val="Heading2"/>
      </w:pPr>
      <w:bookmarkStart w:id="94" w:name="review-question"/>
      <w:r>
        <w:t xml:space="preserve">* Review question</w:t>
      </w:r>
      <w:bookmarkEnd w:id="94"/>
    </w:p>
    <w:p>
      <w:pPr>
        <w:pStyle w:val="FirstParagraph"/>
      </w:pPr>
      <w:r>
        <w:t xml:space="preserve">State the question(s) to be addressed by the review, clearly and precisely. Review questions may be specific or broad. It</w:t>
      </w:r>
      <w:r>
        <w:t xml:space="preserve"> </w:t>
      </w:r>
      <w:r>
        <w:t xml:space="preserve">may be appropriate to break very broad questions down into a series of related more specific questions. Questions may be</w:t>
      </w:r>
      <w:r>
        <w:t xml:space="preserve"> </w:t>
      </w:r>
      <w:r>
        <w:t xml:space="preserve">framed or refined using PI(E)COS where relevant.</w:t>
      </w:r>
    </w:p>
    <w:p>
      <w:pPr>
        <w:pStyle w:val="BodyText"/>
      </w:pPr>
      <w:r>
        <w:rPr>
          <w:b/>
        </w:rPr>
        <w:t xml:space="preserve">Example:</w:t>
      </w:r>
      <w:r>
        <w:t xml:space="preserve"> </w:t>
      </w:r>
      <w:r>
        <w:t xml:space="preserve">How does pre-operative chemotherapy impact on survival of early stage non-small cell lung cancer compared</w:t>
      </w:r>
      <w:r>
        <w:t xml:space="preserve"> </w:t>
      </w:r>
      <w:r>
        <w:t xml:space="preserve">to surgery alone?</w:t>
      </w:r>
    </w:p>
    <w:p>
      <w:pPr>
        <w:pStyle w:val="Heading2"/>
      </w:pPr>
      <w:bookmarkStart w:id="95" w:name="searches"/>
      <w:r>
        <w:t xml:space="preserve">* Searches</w:t>
      </w:r>
      <w:bookmarkEnd w:id="95"/>
    </w:p>
    <w:p>
      <w:pPr>
        <w:pStyle w:val="FirstParagraph"/>
      </w:pPr>
      <w:r>
        <w:t xml:space="preserve">State the sources that will be searched. Give the search dates, and any restrictions (e.g. language or publication period).</w:t>
      </w:r>
      <w:r>
        <w:t xml:space="preserve"> </w:t>
      </w:r>
      <w:r>
        <w:t xml:space="preserve">Do NOT enter the full search strategy (it may be provided as a link or attachment.)</w:t>
      </w:r>
      <w:r>
        <w:t xml:space="preserve"> </w:t>
      </w:r>
      <w:r>
        <w:t xml:space="preserve">The search strategy reported in systematic review protocols should:</w:t>
      </w:r>
    </w:p>
    <w:p>
      <w:pPr>
        <w:numPr>
          <w:numId w:val="1001"/>
          <w:ilvl w:val="0"/>
        </w:numPr>
      </w:pPr>
      <w:r>
        <w:t xml:space="preserve">Name all sources that will be used to identify studies for the systematic review.</w:t>
      </w:r>
    </w:p>
    <w:p>
      <w:pPr>
        <w:pStyle w:val="FirstParagraph"/>
      </w:pPr>
      <w:r>
        <w:t xml:space="preserve">Sources include (but are not limited to) bibliographic databases, reference lists of eligible studies and review articles, key</w:t>
      </w:r>
      <w:r>
        <w:t xml:space="preserve"> </w:t>
      </w:r>
      <w:r>
        <w:t xml:space="preserve">journals, conference proceedings, trials registers, Internet resources and contact with study investigators, experts and</w:t>
      </w:r>
      <w:r>
        <w:t xml:space="preserve"> </w:t>
      </w:r>
      <w:r>
        <w:t xml:space="preserve">manufacturers.</w:t>
      </w:r>
    </w:p>
    <w:p>
      <w:pPr>
        <w:pStyle w:val="BodyText"/>
      </w:pPr>
      <w:r>
        <w:t xml:space="preserve">Systematic reviews typically use more than one database. Examples of electronic bibliographic databases include</w:t>
      </w:r>
      <w:r>
        <w:t xml:space="preserve"> </w:t>
      </w:r>
      <w:r>
        <w:t xml:space="preserve">MEDLINE, EMBASE, PsycINFO. Other database sources include The Cochrane Library, Health Technology Assessment</w:t>
      </w:r>
      <w:r>
        <w:t xml:space="preserve"> </w:t>
      </w:r>
      <w:r>
        <w:t xml:space="preserve">Database, and Web of Science.</w:t>
      </w:r>
    </w:p>
    <w:p>
      <w:pPr>
        <w:numPr>
          <w:numId w:val="1002"/>
          <w:ilvl w:val="0"/>
        </w:numPr>
      </w:pPr>
      <w:r>
        <w:t xml:space="preserve">Search dates (from and to)</w:t>
      </w:r>
    </w:p>
    <w:p>
      <w:pPr>
        <w:numPr>
          <w:numId w:val="1002"/>
          <w:ilvl w:val="0"/>
        </w:numPr>
      </w:pPr>
      <w:r>
        <w:t xml:space="preserve">Restrictions on the search including language and publication period</w:t>
      </w:r>
    </w:p>
    <w:p>
      <w:pPr>
        <w:numPr>
          <w:numId w:val="1002"/>
          <w:ilvl w:val="0"/>
        </w:numPr>
      </w:pPr>
      <w:r>
        <w:t xml:space="preserve">Whether searches will be re-run prior to the final analysis</w:t>
      </w:r>
    </w:p>
    <w:p>
      <w:pPr>
        <w:pStyle w:val="FirstParagraph"/>
      </w:pPr>
      <w:r>
        <w:t xml:space="preserve">It is considered good practice for searches to be re-run just before the final analyses and any further studies identified,</w:t>
      </w:r>
      <w:r>
        <w:t xml:space="preserve"> </w:t>
      </w:r>
      <w:r>
        <w:t xml:space="preserve">retrieved for inclusion.</w:t>
      </w:r>
    </w:p>
    <w:p>
      <w:pPr>
        <w:numPr>
          <w:numId w:val="1003"/>
          <w:ilvl w:val="0"/>
        </w:numPr>
      </w:pPr>
      <w:r>
        <w:t xml:space="preserve">Whether unpublished studies will be sought</w:t>
      </w:r>
    </w:p>
    <w:p>
      <w:pPr>
        <w:pStyle w:val="Heading2"/>
      </w:pPr>
      <w:bookmarkStart w:id="96" w:name="url-to-search-strategy"/>
      <w:r>
        <w:t xml:space="preserve">URL to search strategy</w:t>
      </w:r>
      <w:bookmarkEnd w:id="96"/>
    </w:p>
    <w:p>
      <w:pPr>
        <w:pStyle w:val="FirstParagraph"/>
      </w:pPr>
      <w:r>
        <w:t xml:space="preserve">Give a link to the search strategy or an example of a search strategy for a specific database if available (including the</w:t>
      </w:r>
      <w:r>
        <w:t xml:space="preserve"> </w:t>
      </w:r>
      <w:r>
        <w:t xml:space="preserve">keywords that will be used in the search strategies).</w:t>
      </w:r>
      <w:r>
        <w:t xml:space="preserve"> </w:t>
      </w:r>
      <w:r>
        <w:t xml:space="preserve">Alternatively, an electronic file could be supplied which will be linked to from the Register record. This will be made publicly</w:t>
      </w:r>
      <w:r>
        <w:t xml:space="preserve"> </w:t>
      </w:r>
      <w:r>
        <w:t xml:space="preserve">available from the published record immediately, or it can be held in confidence until the review has been completed, at</w:t>
      </w:r>
      <w:r>
        <w:t xml:space="preserve"> </w:t>
      </w:r>
      <w:r>
        <w:t xml:space="preserve">which time it will be made publicly available.</w:t>
      </w:r>
    </w:p>
    <w:p>
      <w:pPr>
        <w:pStyle w:val="BodyText"/>
      </w:pPr>
      <w:r>
        <w:rPr>
          <w:b/>
        </w:rPr>
        <w:t xml:space="preserve">Example</w:t>
      </w:r>
      <w:r>
        <w:t xml:space="preserve">: http://www.biomedcentral.com/1756-0500/3/250</w:t>
      </w:r>
    </w:p>
    <w:p>
      <w:pPr>
        <w:pStyle w:val="BodyText"/>
      </w:pPr>
      <w:r>
        <w:t xml:space="preserve">Do not make this file publicly available until the review is complete</w:t>
      </w:r>
    </w:p>
    <w:p>
      <w:pPr>
        <w:pStyle w:val="Heading2"/>
      </w:pPr>
      <w:bookmarkStart w:id="97" w:name="condition-or-domain-being-studied"/>
      <w:r>
        <w:t xml:space="preserve">* Condition or domain being studied</w:t>
      </w:r>
      <w:bookmarkEnd w:id="97"/>
    </w:p>
    <w:p>
      <w:pPr>
        <w:pStyle w:val="FirstParagraph"/>
      </w:pPr>
      <w:r>
        <w:t xml:space="preserve">Give a short description of the disease, condition or healthcare domain being studied. This could include health and</w:t>
      </w:r>
      <w:r>
        <w:t xml:space="preserve"> </w:t>
      </w:r>
      <w:r>
        <w:t xml:space="preserve">wellbeing outcomes.</w:t>
      </w:r>
      <w:r>
        <w:t xml:space="preserve"> </w:t>
      </w:r>
      <w:r>
        <w:rPr>
          <w:b/>
        </w:rPr>
        <w:t xml:space="preserve">Examples</w:t>
      </w:r>
      <w:r>
        <w:t xml:space="preserve">: Type 2 diabetes. Physical activity in children.</w:t>
      </w:r>
    </w:p>
    <w:p>
      <w:pPr>
        <w:pStyle w:val="Heading2"/>
      </w:pPr>
      <w:bookmarkStart w:id="98" w:name="participantspopulation"/>
      <w:r>
        <w:t xml:space="preserve">* Participants/population</w:t>
      </w:r>
      <w:bookmarkEnd w:id="98"/>
    </w:p>
    <w:p>
      <w:pPr>
        <w:pStyle w:val="FirstParagraph"/>
      </w:pPr>
      <w:r>
        <w:t xml:space="preserve">Give summary criteria for the participants or populations being studied by the review. The preferred format includes details</w:t>
      </w:r>
      <w:r>
        <w:t xml:space="preserve"> </w:t>
      </w:r>
      <w:r>
        <w:t xml:space="preserve">of both inclusion and exclusion criteria.</w:t>
      </w:r>
    </w:p>
    <w:p>
      <w:pPr>
        <w:pStyle w:val="BodyText"/>
      </w:pPr>
      <w:r>
        <w:rPr>
          <w:b/>
        </w:rPr>
        <w:t xml:space="preserve">Example</w:t>
      </w:r>
      <w:r>
        <w:t xml:space="preserve">:</w:t>
      </w:r>
      <w:r>
        <w:t xml:space="preserve"> </w:t>
      </w:r>
      <w:r>
        <w:t xml:space="preserve">Inclusion: Adults with schizophrenia (as diagnosed using any recognised diagnostic criteria).</w:t>
      </w:r>
      <w:r>
        <w:t xml:space="preserve"> </w:t>
      </w:r>
      <w:r>
        <w:t xml:space="preserve">Exclusion: Adolescents (under 18 years of age) and elderly people (over 70).</w:t>
      </w:r>
    </w:p>
    <w:p>
      <w:pPr>
        <w:pStyle w:val="Heading2"/>
      </w:pPr>
      <w:bookmarkStart w:id="99" w:name="interventions-exposures"/>
      <w:r>
        <w:t xml:space="preserve">* Intervention(s), exposure(s)</w:t>
      </w:r>
      <w:bookmarkEnd w:id="99"/>
    </w:p>
    <w:p>
      <w:pPr>
        <w:pStyle w:val="FirstParagraph"/>
      </w:pPr>
      <w:r>
        <w:t xml:space="preserve">Give full and clear descriptions or definitions of the nature of the interventions or the exposures to be reviewed. This is</w:t>
      </w:r>
      <w:r>
        <w:t xml:space="preserve"> </w:t>
      </w:r>
      <w:r>
        <w:t xml:space="preserve">particularly important for reviews of complex interventions (interventions involving the interaction of several elements). If</w:t>
      </w:r>
      <w:r>
        <w:t xml:space="preserve"> </w:t>
      </w:r>
      <w:r>
        <w:t xml:space="preserve">appropriate, an operational definition describing the content and delivery of the intervention should be given.</w:t>
      </w:r>
    </w:p>
    <w:p>
      <w:pPr>
        <w:pStyle w:val="BodyText"/>
      </w:pPr>
      <w:r>
        <w:t xml:space="preserve">Ideally, an intervention should be reported in enough detail that others could reproduce it or assess its applicability to their</w:t>
      </w:r>
      <w:r>
        <w:t xml:space="preserve"> </w:t>
      </w:r>
      <w:r>
        <w:t xml:space="preserve">own setting. The preferred format includes details of both inclusion and exclusion criteria.</w:t>
      </w:r>
    </w:p>
    <w:p>
      <w:pPr>
        <w:pStyle w:val="BodyText"/>
      </w:pPr>
      <w:r>
        <w:t xml:space="preserve">For reviews of qualitative studies give details of the focus of the review.</w:t>
      </w:r>
    </w:p>
    <w:p>
      <w:pPr>
        <w:pStyle w:val="BodyText"/>
      </w:pPr>
      <w:r>
        <w:rPr>
          <w:b/>
        </w:rPr>
        <w:t xml:space="preserve">Example</w:t>
      </w:r>
      <w:r>
        <w:t xml:space="preserve">: Population-level tobacco control interventions are defined as those applied to populations, groups, areas,</w:t>
      </w:r>
      <w:r>
        <w:t xml:space="preserve"> </w:t>
      </w:r>
      <w:r>
        <w:t xml:space="preserve">jurisdictions or institutions with the aim of changing the social, physical, economic or legislative environment to make them</w:t>
      </w:r>
      <w:r>
        <w:t xml:space="preserve"> </w:t>
      </w:r>
      <w:r>
        <w:t xml:space="preserve">less conducive to smoking. These are approaches that mainly rely on state or institutional control, either of a link in the</w:t>
      </w:r>
      <w:r>
        <w:t xml:space="preserve"> </w:t>
      </w:r>
      <w:r>
        <w:t xml:space="preserve">supply chain or of smokers’ behaviour in the presence of others.</w:t>
      </w:r>
    </w:p>
    <w:p>
      <w:pPr>
        <w:pStyle w:val="BodyText"/>
      </w:pPr>
      <w:r>
        <w:t xml:space="preserve">Examples include tobacco crop substitution or diversification, removing subsidies on tobacco production, restricting trade</w:t>
      </w:r>
      <w:r>
        <w:t xml:space="preserve"> </w:t>
      </w:r>
      <w:r>
        <w:t xml:space="preserve">in tobacco products, measures to prevent smuggling, measures to reduce illicit cross-border shopping, restricting</w:t>
      </w:r>
      <w:r>
        <w:t xml:space="preserve"> </w:t>
      </w:r>
      <w:r>
        <w:t xml:space="preserve">advertising of tobacco products, restrictions on selling tobacco products to minors, mandatory health warning labels on</w:t>
      </w:r>
      <w:r>
        <w:t xml:space="preserve"> </w:t>
      </w:r>
      <w:r>
        <w:t xml:space="preserve">tobacco products, increasing the price of tobacco products, restricting access to cigarette vending machines, restricting</w:t>
      </w:r>
      <w:r>
        <w:t xml:space="preserve"> </w:t>
      </w:r>
      <w:r>
        <w:t xml:space="preserve">smoking in the workplace, and restricting smoking in public places. Such approaches could also form part of wider,</w:t>
      </w:r>
      <w:r>
        <w:t xml:space="preserve"> </w:t>
      </w:r>
      <w:r>
        <w:t xml:space="preserve">multifaceted interventions in schools, workplaces or communities.</w:t>
      </w:r>
    </w:p>
    <w:p>
      <w:pPr>
        <w:pStyle w:val="Heading2"/>
      </w:pPr>
      <w:bookmarkStart w:id="100" w:name="comparatorscontrol"/>
      <w:r>
        <w:t xml:space="preserve">* Comparator(s)/control</w:t>
      </w:r>
      <w:bookmarkEnd w:id="100"/>
    </w:p>
    <w:p>
      <w:pPr>
        <w:pStyle w:val="FirstParagraph"/>
      </w:pPr>
      <w:r>
        <w:t xml:space="preserve">Where relevant, give details of the alternatives against which the main subject/topic of the review will be compared (e.g.</w:t>
      </w:r>
      <w:r>
        <w:t xml:space="preserve"> </w:t>
      </w:r>
      <w:r>
        <w:t xml:space="preserve">another intervention or a non-exposed control group). The preferred format includes details of both inclusion and exclusion</w:t>
      </w:r>
      <w:r>
        <w:t xml:space="preserve"> </w:t>
      </w:r>
      <w:r>
        <w:t xml:space="preserve">criteria.</w:t>
      </w:r>
    </w:p>
    <w:p>
      <w:pPr>
        <w:pStyle w:val="BodyText"/>
      </w:pPr>
      <w:r>
        <w:t xml:space="preserve">Control or comparison interventions should be described in as much detail as the intervention being reviewed. If the</w:t>
      </w:r>
      <w:r>
        <w:t xml:space="preserve"> </w:t>
      </w:r>
      <w:r>
        <w:t xml:space="preserve">comparator is</w:t>
      </w:r>
      <w:r>
        <w:t xml:space="preserve"> </w:t>
      </w:r>
      <w:r>
        <w:t xml:space="preserve">‘</w:t>
      </w:r>
      <w:r>
        <w:t xml:space="preserve">treatment as usual</w:t>
      </w:r>
      <w:r>
        <w:t xml:space="preserve">’</w:t>
      </w:r>
      <w:r>
        <w:t xml:space="preserve"> </w:t>
      </w:r>
      <w:r>
        <w:t xml:space="preserve">or</w:t>
      </w:r>
      <w:r>
        <w:t xml:space="preserve"> </w:t>
      </w:r>
      <w:r>
        <w:t xml:space="preserve">‘</w:t>
      </w:r>
      <w:r>
        <w:t xml:space="preserve">standard care</w:t>
      </w:r>
      <w:r>
        <w:t xml:space="preserve">’</w:t>
      </w:r>
      <w:r>
        <w:t xml:space="preserve">, this should be described, with attention being paid to whether it is</w:t>
      </w:r>
      <w:r>
        <w:t xml:space="preserve"> </w:t>
      </w:r>
      <w:r>
        <w:t xml:space="preserve">‘</w:t>
      </w:r>
      <w:r>
        <w:t xml:space="preserve">standard care</w:t>
      </w:r>
      <w:r>
        <w:t xml:space="preserve">’</w:t>
      </w:r>
      <w:r>
        <w:t xml:space="preserve"> </w:t>
      </w:r>
      <w:r>
        <w:t xml:space="preserve">at the time that an eligible study was done, or at the time the review is done.</w:t>
      </w:r>
    </w:p>
    <w:p>
      <w:pPr>
        <w:pStyle w:val="BodyText"/>
      </w:pPr>
      <w:r>
        <w:t xml:space="preserve">Systematic reviews of qualitative studies rarely have a comparator or control; stating</w:t>
      </w:r>
      <w:r>
        <w:t xml:space="preserve"> </w:t>
      </w:r>
      <w:r>
        <w:t xml:space="preserve">‘</w:t>
      </w:r>
      <w:r>
        <w:t xml:space="preserve">Not applicable</w:t>
      </w:r>
      <w:r>
        <w:t xml:space="preserve">’</w:t>
      </w:r>
      <w:r>
        <w:t xml:space="preserve"> </w:t>
      </w:r>
      <w:r>
        <w:t xml:space="preserve">is therefore</w:t>
      </w:r>
      <w:r>
        <w:t xml:space="preserve"> </w:t>
      </w:r>
      <w:r>
        <w:t xml:space="preserve">acceptable.</w:t>
      </w:r>
    </w:p>
    <w:p>
      <w:pPr>
        <w:pStyle w:val="BodyText"/>
      </w:pPr>
      <w:r>
        <w:rPr>
          <w:b/>
        </w:rPr>
        <w:t xml:space="preserve">Examples</w:t>
      </w:r>
      <w:r>
        <w:t xml:space="preserve">: Placebo. A group of hospital in-patients who were not exposed to the infectious agent.</w:t>
      </w:r>
    </w:p>
    <w:p>
      <w:pPr>
        <w:pStyle w:val="Heading2"/>
      </w:pPr>
      <w:bookmarkStart w:id="101" w:name="types-of-study-to-be-included"/>
      <w:r>
        <w:t xml:space="preserve">* Types of study to be included</w:t>
      </w:r>
      <w:bookmarkEnd w:id="101"/>
    </w:p>
    <w:p>
      <w:pPr>
        <w:pStyle w:val="FirstParagraph"/>
      </w:pPr>
      <w:r>
        <w:t xml:space="preserve">Give details of the types of study (study designs) eligible for inclusion in the review. If there are no restrictions on the types</w:t>
      </w:r>
      <w:r>
        <w:t xml:space="preserve"> </w:t>
      </w:r>
      <w:r>
        <w:t xml:space="preserve">of study design eligible for inclusion, or certain study types are excluded, this should be stated. The preferred format</w:t>
      </w:r>
      <w:r>
        <w:t xml:space="preserve"> </w:t>
      </w:r>
      <w:r>
        <w:t xml:space="preserve">includes details of both inclusion and exclusion criteria.</w:t>
      </w:r>
    </w:p>
    <w:p>
      <w:pPr>
        <w:pStyle w:val="BodyText"/>
      </w:pPr>
      <w:r>
        <w:t xml:space="preserve">If different study designs are needed for different parts of the review, this should be made clear. Where qualitative</w:t>
      </w:r>
      <w:r>
        <w:t xml:space="preserve"> </w:t>
      </w:r>
      <w:r>
        <w:t xml:space="preserve">evidence will be incorporated in or alongside a review of quantitative data, this should be stated.</w:t>
      </w:r>
    </w:p>
    <w:p>
      <w:pPr>
        <w:pStyle w:val="BodyText"/>
      </w:pPr>
      <w:r>
        <w:rPr>
          <w:b/>
        </w:rPr>
        <w:t xml:space="preserve">Example</w:t>
      </w:r>
      <w:r>
        <w:t xml:space="preserve">: We will include randomised trials to assess the beneficial effects of the treatments, and will supplement these</w:t>
      </w:r>
      <w:r>
        <w:t xml:space="preserve"> </w:t>
      </w:r>
      <w:r>
        <w:t xml:space="preserve">with observational studies (including cohort and case–control studies) for the assessment of harms.</w:t>
      </w:r>
    </w:p>
    <w:p>
      <w:pPr>
        <w:pStyle w:val="Heading2"/>
      </w:pPr>
      <w:bookmarkStart w:id="102" w:name="context"/>
      <w:r>
        <w:t xml:space="preserve">Context</w:t>
      </w:r>
      <w:bookmarkEnd w:id="102"/>
    </w:p>
    <w:p>
      <w:pPr>
        <w:pStyle w:val="Heading2"/>
      </w:pPr>
      <w:bookmarkStart w:id="103" w:name="main-outcomes"/>
      <w:r>
        <w:t xml:space="preserve">* Main outcome(s)</w:t>
      </w:r>
      <w:bookmarkEnd w:id="103"/>
    </w:p>
    <w:p>
      <w:pPr>
        <w:pStyle w:val="Heading2"/>
      </w:pPr>
      <w:bookmarkStart w:id="104" w:name="additional-outcomes"/>
      <w:r>
        <w:t xml:space="preserve">* Additional outcome(s)</w:t>
      </w:r>
      <w:bookmarkEnd w:id="104"/>
    </w:p>
    <w:p>
      <w:pPr>
        <w:pStyle w:val="Heading2"/>
      </w:pPr>
      <w:bookmarkStart w:id="105" w:name="data-extraction-selection-and-coding"/>
      <w:r>
        <w:t xml:space="preserve">* Data extraction (selection and coding)</w:t>
      </w:r>
      <w:bookmarkEnd w:id="105"/>
    </w:p>
    <w:p>
      <w:pPr>
        <w:pStyle w:val="Heading2"/>
      </w:pPr>
      <w:bookmarkStart w:id="106" w:name="risk-of-bias-quality-assessment"/>
      <w:r>
        <w:t xml:space="preserve">* Risk of bias (quality) assessment</w:t>
      </w:r>
      <w:bookmarkEnd w:id="106"/>
    </w:p>
    <w:p>
      <w:pPr>
        <w:pStyle w:val="Heading2"/>
      </w:pPr>
      <w:bookmarkStart w:id="107" w:name="strategy-for-data-synthesis"/>
      <w:r>
        <w:t xml:space="preserve">* Strategy for data synthesis</w:t>
      </w:r>
      <w:bookmarkEnd w:id="107"/>
    </w:p>
    <w:p>
      <w:pPr>
        <w:pStyle w:val="Heading2"/>
      </w:pPr>
      <w:bookmarkStart w:id="108" w:name="analysis-of-subgroups-or-subsets"/>
      <w:r>
        <w:t xml:space="preserve">* Analysis of subgroups or subsets</w:t>
      </w:r>
      <w:bookmarkEnd w:id="108"/>
    </w:p>
    <w:p>
      <w:pPr>
        <w:pStyle w:val="Heading2"/>
      </w:pPr>
      <w:bookmarkStart w:id="109" w:name="type-and-method-of-review"/>
      <w:r>
        <w:t xml:space="preserve">* Type and method of review</w:t>
      </w:r>
      <w:bookmarkEnd w:id="109"/>
    </w:p>
    <w:p>
      <w:pPr>
        <w:pStyle w:val="Heading2"/>
      </w:pPr>
      <w:bookmarkStart w:id="110" w:name="language"/>
      <w:r>
        <w:t xml:space="preserve">Language</w:t>
      </w:r>
      <w:bookmarkEnd w:id="110"/>
    </w:p>
    <w:p>
      <w:pPr>
        <w:pStyle w:val="Heading2"/>
      </w:pPr>
      <w:bookmarkStart w:id="111" w:name="country"/>
      <w:r>
        <w:t xml:space="preserve">* Country</w:t>
      </w:r>
      <w:bookmarkEnd w:id="111"/>
    </w:p>
    <w:p>
      <w:pPr>
        <w:pStyle w:val="Heading2"/>
      </w:pPr>
      <w:bookmarkStart w:id="112" w:name="other-registration-details"/>
      <w:r>
        <w:t xml:space="preserve">Other registration details</w:t>
      </w:r>
      <w:bookmarkEnd w:id="112"/>
    </w:p>
    <w:p>
      <w:pPr>
        <w:pStyle w:val="Heading2"/>
      </w:pPr>
      <w:bookmarkStart w:id="113" w:name="Xc26e252a68fcf1bdb51448811a851276c46c7e7"/>
      <w:r>
        <w:t xml:space="preserve">Reference and/or URL for published protocol</w:t>
      </w:r>
      <w:bookmarkEnd w:id="113"/>
    </w:p>
    <w:p>
      <w:pPr>
        <w:pStyle w:val="Heading2"/>
      </w:pPr>
      <w:bookmarkStart w:id="114" w:name="dissemination-plans"/>
      <w:r>
        <w:t xml:space="preserve">Dissemination plans</w:t>
      </w:r>
      <w:bookmarkEnd w:id="114"/>
    </w:p>
    <w:p>
      <w:pPr>
        <w:pStyle w:val="Heading2"/>
      </w:pPr>
      <w:bookmarkStart w:id="115" w:name="keywords"/>
      <w:r>
        <w:t xml:space="preserve">Keywords</w:t>
      </w:r>
      <w:bookmarkEnd w:id="115"/>
    </w:p>
    <w:p>
      <w:pPr>
        <w:pStyle w:val="Heading2"/>
      </w:pPr>
      <w:bookmarkStart w:id="116" w:name="Xdf48dc086557094cac8ee604574adfe94598c3a"/>
      <w:r>
        <w:t xml:space="preserve">Details of any existing review of the same topic by the same authors</w:t>
      </w:r>
      <w:bookmarkEnd w:id="116"/>
    </w:p>
    <w:p>
      <w:pPr>
        <w:pStyle w:val="Heading2"/>
      </w:pPr>
      <w:bookmarkStart w:id="117" w:name="current-review-status"/>
      <w:r>
        <w:t xml:space="preserve">Current review status</w:t>
      </w:r>
      <w:bookmarkEnd w:id="117"/>
    </w:p>
    <w:p>
      <w:pPr>
        <w:pStyle w:val="Heading2"/>
      </w:pPr>
      <w:bookmarkStart w:id="118" w:name="any-additional-information"/>
      <w:r>
        <w:t xml:space="preserve">Any additional information</w:t>
      </w:r>
      <w:bookmarkEnd w:id="118"/>
    </w:p>
    <w:p>
      <w:pPr>
        <w:pStyle w:val="Heading2"/>
      </w:pPr>
      <w:bookmarkStart w:id="119" w:name="details-of-final-reportpublications"/>
      <w:r>
        <w:t xml:space="preserve">Details of final report/publication(s)</w:t>
      </w:r>
      <w:bookmarkEnd w:id="11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hyperlink" Id="rId64" Target="https://dx.doi.org/" TargetMode="External" /><Relationship Type="http://schemas.openxmlformats.org/officeDocument/2006/relationships/hyperlink" Id="rId63" Target="https://dx.doi.org/10.1007/s11427 020 1859 y" TargetMode="External" /><Relationship Type="http://schemas.openxmlformats.org/officeDocument/2006/relationships/hyperlink" Id="rId62" Target="https://dx.doi.org/10.1080/21645515.2020.1830683" TargetMode="External" /><Relationship Type="http://schemas.openxmlformats.org/officeDocument/2006/relationships/hyperlink" Id="rId78" Target="https://dx.doi.org/10.1093/cid/ciaa019" TargetMode="External" /><Relationship Type="http://schemas.openxmlformats.org/officeDocument/2006/relationships/hyperlink" Id="rId66" Target="https://dx.doi.org/10.1099/jgv.0.001545; " TargetMode="External" /><Relationship Type="http://schemas.openxmlformats.org/officeDocument/2006/relationships/hyperlink" Id="rId75" Target="https://dx.doi.org/10.1111/liv.14762" TargetMode="External" /><Relationship Type="http://schemas.openxmlformats.org/officeDocument/2006/relationships/hyperlink" Id="rId47" Target="https://dx.doi.org/10.1111/myc.13236" TargetMode="External" /><Relationship Type="http://schemas.openxmlformats.org/officeDocument/2006/relationships/hyperlink" Id="rId65" Target="https://dx.doi.org/10.1126/science.abe6522" TargetMode="External" /><Relationship Type="http://schemas.openxmlformats.org/officeDocument/2006/relationships/hyperlink" Id="rId69" Target="https://dx.doi.org/10.1128/JCM.02769 20; " TargetMode="External" /><Relationship Type="http://schemas.openxmlformats.org/officeDocument/2006/relationships/hyperlink" Id="rId59" Target="https://dx.doi.org/10.1136/bcr 2020 239825; " TargetMode="External" /><Relationship Type="http://schemas.openxmlformats.org/officeDocument/2006/relationships/hyperlink" Id="rId39" Target="https://dx.doi.org/10.1371/journal.pone.0244643; " TargetMode="External" /><Relationship Type="http://schemas.openxmlformats.org/officeDocument/2006/relationships/hyperlink" Id="rId53" Target="https://dx.doi.org/10.16250/j.32.1374.2020164" TargetMode="External" /><Relationship Type="http://schemas.openxmlformats.org/officeDocument/2006/relationships/hyperlink" Id="rId42" Target="https://dx.doi.org/10.23736/S0026 4806.20.07208 0" TargetMode="External" /><Relationship Type="http://schemas.openxmlformats.org/officeDocument/2006/relationships/hyperlink" Id="rId36" Target="https://dx.doi.org/10.7861/clinmed.2020 0912" TargetMode="External" /><Relationship Type="http://schemas.openxmlformats.org/officeDocument/2006/relationships/hyperlink" Id="rId50" Target="https://dx.doi.org/; 10.1016/j.epidem.2020.100425; " TargetMode="External" /><Relationship Type="http://schemas.openxmlformats.org/officeDocument/2006/relationships/hyperlink" Id="rId56" Target="https://dx.doi.org/; 10.1016/j.jinf.2020.12.023" TargetMode="External" /><Relationship Type="http://schemas.openxmlformats.org/officeDocument/2006/relationships/hyperlink" Id="rId33" Target="https://dx.doi.org/; 10.1016/j.jvs.2020.05.052" TargetMode="External" /><Relationship Type="http://schemas.openxmlformats.org/officeDocument/2006/relationships/hyperlink" Id="rId72" Target="https://dx.doi.org/; 10.1016/j.jvs.2020.12.070" TargetMode="External" /></Relationships>
</file>

<file path=word/_rels/footnotes.xml.rels><?xml version="1.0" encoding="UTF-8"?>
<Relationships xmlns="http://schemas.openxmlformats.org/package/2006/relationships"><Relationship Type="http://schemas.openxmlformats.org/officeDocument/2006/relationships/hyperlink" Id="rId64" Target="https://dx.doi.org/" TargetMode="External" /><Relationship Type="http://schemas.openxmlformats.org/officeDocument/2006/relationships/hyperlink" Id="rId63" Target="https://dx.doi.org/10.1007/s11427 020 1859 y" TargetMode="External" /><Relationship Type="http://schemas.openxmlformats.org/officeDocument/2006/relationships/hyperlink" Id="rId62" Target="https://dx.doi.org/10.1080/21645515.2020.1830683" TargetMode="External" /><Relationship Type="http://schemas.openxmlformats.org/officeDocument/2006/relationships/hyperlink" Id="rId78" Target="https://dx.doi.org/10.1093/cid/ciaa019" TargetMode="External" /><Relationship Type="http://schemas.openxmlformats.org/officeDocument/2006/relationships/hyperlink" Id="rId66" Target="https://dx.doi.org/10.1099/jgv.0.001545; " TargetMode="External" /><Relationship Type="http://schemas.openxmlformats.org/officeDocument/2006/relationships/hyperlink" Id="rId75" Target="https://dx.doi.org/10.1111/liv.14762" TargetMode="External" /><Relationship Type="http://schemas.openxmlformats.org/officeDocument/2006/relationships/hyperlink" Id="rId47" Target="https://dx.doi.org/10.1111/myc.13236" TargetMode="External" /><Relationship Type="http://schemas.openxmlformats.org/officeDocument/2006/relationships/hyperlink" Id="rId65" Target="https://dx.doi.org/10.1126/science.abe6522" TargetMode="External" /><Relationship Type="http://schemas.openxmlformats.org/officeDocument/2006/relationships/hyperlink" Id="rId69" Target="https://dx.doi.org/10.1128/JCM.02769 20; " TargetMode="External" /><Relationship Type="http://schemas.openxmlformats.org/officeDocument/2006/relationships/hyperlink" Id="rId59" Target="https://dx.doi.org/10.1136/bcr 2020 239825; " TargetMode="External" /><Relationship Type="http://schemas.openxmlformats.org/officeDocument/2006/relationships/hyperlink" Id="rId39" Target="https://dx.doi.org/10.1371/journal.pone.0244643; " TargetMode="External" /><Relationship Type="http://schemas.openxmlformats.org/officeDocument/2006/relationships/hyperlink" Id="rId53" Target="https://dx.doi.org/10.16250/j.32.1374.2020164" TargetMode="External" /><Relationship Type="http://schemas.openxmlformats.org/officeDocument/2006/relationships/hyperlink" Id="rId42" Target="https://dx.doi.org/10.23736/S0026 4806.20.07208 0" TargetMode="External" /><Relationship Type="http://schemas.openxmlformats.org/officeDocument/2006/relationships/hyperlink" Id="rId36" Target="https://dx.doi.org/10.7861/clinmed.2020 0912" TargetMode="External" /><Relationship Type="http://schemas.openxmlformats.org/officeDocument/2006/relationships/hyperlink" Id="rId50" Target="https://dx.doi.org/; 10.1016/j.epidem.2020.100425; " TargetMode="External" /><Relationship Type="http://schemas.openxmlformats.org/officeDocument/2006/relationships/hyperlink" Id="rId56" Target="https://dx.doi.org/; 10.1016/j.jinf.2020.12.023" TargetMode="External" /><Relationship Type="http://schemas.openxmlformats.org/officeDocument/2006/relationships/hyperlink" Id="rId33" Target="https://dx.doi.org/; 10.1016/j.jvs.2020.05.052" TargetMode="External" /><Relationship Type="http://schemas.openxmlformats.org/officeDocument/2006/relationships/hyperlink" Id="rId72" Target="https://dx.doi.org/; 10.1016/j.jvs.2020.12.07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2022-04-05T01:56:08Z</dcterms:created>
  <dcterms:modified xsi:type="dcterms:W3CDTF">2022-04-05T01:56:08Z</dcterms:modified>
</cp:coreProperties>
</file>

<file path=docProps/custom.xml><?xml version="1.0" encoding="utf-8"?>
<Properties xmlns="http://schemas.openxmlformats.org/officeDocument/2006/custom-properties" xmlns:vt="http://schemas.openxmlformats.org/officeDocument/2006/docPropsVTypes"/>
</file>