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Semanas 5 y 6</w:t>
      </w:r>
    </w:p>
    <w:p>
      <w:pPr>
        <w:pStyle w:val="Heading1"/>
      </w:pPr>
      <w:r>
        <w:t>Colecciones, genéricos, interfaz gráfica y manejo de eventos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r>
              <w:t>Dato</w:t>
            </w:r>
          </w:p>
        </w:tc>
        <w:tc>
          <w:tcPr>
            <w:tcW w:type="dxa" w:w="4819"/>
          </w:tcPr>
          <w:p>
            <w:r>
              <w:t>Información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Estudiante</w:t>
            </w:r>
          </w:p>
        </w:tc>
        <w:tc>
          <w:tcPr>
            <w:tcW w:type="dxa" w:w="4819"/>
          </w:tcPr>
          <w:p>
            <w:r>
              <w:t>Edisson Carchi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Matrícula</w:t>
            </w:r>
          </w:p>
        </w:tc>
        <w:tc>
          <w:tcPr>
            <w:tcW w:type="dxa" w:w="4819"/>
          </w:tcPr>
          <w:p>
            <w:r>
              <w:t>2025372938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Asignatura</w:t>
            </w:r>
          </w:p>
        </w:tc>
        <w:tc>
          <w:tcPr>
            <w:tcW w:type="dxa" w:w="4819"/>
          </w:tcPr>
          <w:p>
            <w:r>
              <w:t>Programación Orientada a Objetos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Tecnología</w:t>
            </w:r>
          </w:p>
        </w:tc>
        <w:tc>
          <w:tcPr>
            <w:tcW w:type="dxa" w:w="4819"/>
          </w:tcPr>
          <w:p>
            <w:r>
              <w:t>Python 3.12 · Flet 0.28.3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Repositorio</w:t>
            </w:r>
          </w:p>
        </w:tc>
        <w:tc>
          <w:tcPr>
            <w:tcW w:type="dxa" w:w="4819"/>
          </w:tcPr>
          <w:p>
            <w:r>
              <w:t>https://github.com/Lehendss/sistema-biblioteca-poo</w:t>
            </w:r>
          </w:p>
        </w:tc>
      </w:tr>
    </w:tbl>
    <w:p>
      <w:pPr>
        <w:pStyle w:val="Heading1"/>
      </w:pPr>
      <w:r>
        <w:t>1. Solución e integración</w:t>
      </w:r>
    </w:p>
    <w:p>
      <w:r>
        <w:t>Se implementó un catálogo gráfico de productos para la biblioteca. Los productos son libros y revistas: Producto contiene un objeto Libro o Revista, reutilizando las clases derivadas de Material de las semanas anteriores. Se incorporan precio y stock, y se mantienen atributos privados y acceso controlado mediante propiedades.</w:t>
      </w:r>
    </w:p>
    <w:p>
      <w:r>
        <w:t>CatalogoProductos administra las operaciones CRUD. La interfaz Flet utiliza esa misma instancia para modificar y consultar los datos. Cada sesión inicia con dos productos de demostración. El almacenamiento es temporal en memoria; no se incorpora persistencia porque la actividad se centra en las colecciones y los eventos.</w:t>
      </w:r>
    </w:p>
    <w:p>
      <w:pPr>
        <w:pStyle w:val="Heading1"/>
      </w:pPr>
      <w:r>
        <w:t>2. Colecciones y tipos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r>
              <w:t>Colección</w:t>
            </w:r>
          </w:p>
        </w:tc>
        <w:tc>
          <w:tcPr>
            <w:tcW w:type="dxa" w:w="4819"/>
          </w:tcPr>
          <w:p>
            <w:r>
              <w:t>Aplicación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dict[str, Producto]</w:t>
            </w:r>
          </w:p>
        </w:tc>
        <w:tc>
          <w:tcPr>
            <w:tcW w:type="dxa" w:w="4819"/>
          </w:tcPr>
          <w:p>
            <w:r>
              <w:t>Índice de productos por código; permite buscar, actualizar y eliminar.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set[str]</w:t>
            </w:r>
          </w:p>
        </w:tc>
        <w:tc>
          <w:tcPr>
            <w:tcW w:type="dxa" w:w="4819"/>
          </w:tcPr>
          <w:p>
            <w:r>
              <w:t>Códigos únicos normalizados. Rechaza duplicados y libera el código al eliminar.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list[str]</w:t>
            </w:r>
          </w:p>
        </w:tc>
        <w:tc>
          <w:tcPr>
            <w:tcW w:type="dxa" w:w="4819"/>
          </w:tcPr>
          <w:p>
            <w:r>
              <w:t>Historial ordenado de operaciones exitosas. listar() devuelve una lista filtrada de productos.</w:t>
            </w:r>
          </w:p>
        </w:tc>
      </w:tr>
    </w:tbl>
    <w:p>
      <w:r>
        <w:t>En Python se usan anotaciones Dict, Set y List para expresar los tipos esperados. No son validaciones automáticas en ejecución. La exigencia de genéricos explícitos de la consigna corresponde a Java. Las consultas devuelven copias para evitar que un consumidor altere las colecciones internas.</w:t>
      </w:r>
    </w:p>
    <w:p>
      <w:r>
        <w:br w:type="page"/>
      </w:r>
    </w:p>
    <w:p>
      <w:pPr>
        <w:pStyle w:val="Heading1"/>
      </w:pPr>
      <w:r>
        <w:t>3. Interfaz y manejo de eventos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r>
              <w:t>Control / evento</w:t>
            </w:r>
          </w:p>
        </w:tc>
        <w:tc>
          <w:tcPr>
            <w:tcW w:type="dxa" w:w="4819"/>
          </w:tcPr>
          <w:p>
            <w:r>
              <w:t>Comportamiento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Agregar / on_click</w:t>
            </w:r>
          </w:p>
        </w:tc>
        <w:tc>
          <w:tcPr>
            <w:tcW w:type="dxa" w:w="4819"/>
          </w:tcPr>
          <w:p>
            <w:r>
              <w:t>Valida el formulario, construye el producto y lo incorpora al catálogo.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Buscador / on_change y on_submit</w:t>
            </w:r>
          </w:p>
        </w:tc>
        <w:tc>
          <w:tcPr>
            <w:tcW w:type="dxa" w:w="4819"/>
          </w:tcPr>
          <w:p>
            <w:r>
              <w:t>Filtra por código o título; vacío muestra todos los productos.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Editar / on_click</w:t>
            </w:r>
          </w:p>
        </w:tc>
        <w:tc>
          <w:tcPr>
            <w:tcW w:type="dxa" w:w="4819"/>
          </w:tcPr>
          <w:p>
            <w:r>
              <w:t>Consulta un producto y carga sus datos en el formulario.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Actualizar / on_click</w:t>
            </w:r>
          </w:p>
        </w:tc>
        <w:tc>
          <w:tcPr>
            <w:tcW w:type="dxa" w:w="4819"/>
          </w:tcPr>
          <w:p>
            <w:r>
              <w:t>Reemplaza los datos del producto seleccionado, conservando su código.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Eliminar / on_click</w:t>
            </w:r>
          </w:p>
        </w:tc>
        <w:tc>
          <w:tcPr>
            <w:tcW w:type="dxa" w:w="4819"/>
          </w:tcPr>
          <w:p>
            <w:r>
              <w:t>Elimina el producto y su código del conjunto de identificadores.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Tipo / on_change</w:t>
            </w:r>
          </w:p>
        </w:tc>
        <w:tc>
          <w:tcPr>
            <w:tcW w:type="dxa" w:w="4819"/>
          </w:tcPr>
          <w:p>
            <w:r>
              <w:t>Muestra autor e ISBN para libros o edición para revistas.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Nuevo / limpiar</w:t>
            </w:r>
          </w:p>
        </w:tc>
        <w:tc>
          <w:tcPr>
            <w:tcW w:type="dxa" w:w="4819"/>
          </w:tcPr>
          <w:p>
            <w:r>
              <w:t>Reinicia el formulario y habilita una nueva creación.</w:t>
            </w:r>
          </w:p>
        </w:tc>
      </w:tr>
    </w:tbl>
    <w:p>
      <w:r>
        <w:t>Después de cada operación se actualizan la tabla, el contador, el historial y un mensaje de éxito o error. Los campos informan sus cambios mediante eventos; no se modifica directamente el diccionario desde la interfaz.</w:t>
      </w:r>
    </w:p>
    <w:p>
      <w:pPr>
        <w:pStyle w:val="Heading1"/>
      </w:pPr>
      <w:r>
        <w:t>4. Validación y pruebas</w:t>
      </w:r>
    </w:p>
    <w:p>
      <w:r>
        <w:t>Se exige código y título, autor e ISBN para libros, edición entera positiva para revistas, precio positivo finito con hasta dos decimales y stock entero no negativo. El precio se maneja con Decimal. La identidad se normaliza quitando espacios externos y convirtiendo a mayúsculas; L001 y l001 representan el mismo código.</w:t>
      </w:r>
    </w:p>
    <w:p>
      <w:r>
        <w:t>Se ejecutaron 14 pruebas unitarias, incluidas las de las actividades anteriores. Las pruebas nuevas comprueban CRUD, duplicados sin cambios parciales, códigos inexistentes, protección mediante copias, validaciones y conservación de identidad. Además se ejecutaron interacciones reales mediante Playwright sobre Flet web: alta, búsqueda, actualización, eliminación, rechazo de duplicados y rechazo de stock negativo. Las figuras siguientes muestran esas ejecuciones.</w:t>
      </w:r>
    </w:p>
    <w:p>
      <w:pPr>
        <w:pStyle w:val="Heading1"/>
      </w:pPr>
      <w:r>
        <w:t>5. Ejecución</w:t>
      </w:r>
    </w:p>
    <w:p>
      <w:r>
        <w:rPr>
          <w:rFonts w:ascii="Courier New" w:hAnsi="Courier New"/>
          <w:sz w:val="18"/>
        </w:rPr>
        <w:t>python3 -m venv .venv</w:t>
      </w:r>
    </w:p>
    <w:p>
      <w:r>
        <w:rPr>
          <w:rFonts w:ascii="Courier New" w:hAnsi="Courier New"/>
          <w:sz w:val="18"/>
        </w:rPr>
        <w:t>source .venv/bin/activate</w:t>
      </w:r>
    </w:p>
    <w:p>
      <w:r>
        <w:rPr>
          <w:rFonts w:ascii="Courier New" w:hAnsi="Courier New"/>
          <w:sz w:val="18"/>
        </w:rPr>
        <w:t>python -m pip install -r requirements.txt</w:t>
      </w:r>
    </w:p>
    <w:p>
      <w:r>
        <w:rPr>
          <w:rFonts w:ascii="Courier New" w:hAnsi="Courier New"/>
          <w:sz w:val="18"/>
        </w:rPr>
        <w:t>python -m src.gui</w:t>
      </w:r>
    </w:p>
    <w:p>
      <w:r>
        <w:rPr>
          <w:rFonts w:ascii="Courier New" w:hAnsi="Courier New"/>
          <w:sz w:val="18"/>
        </w:rPr>
        <w:t>python -m src.gui --web --port 8550</w:t>
      </w:r>
    </w:p>
    <w:p>
      <w:r>
        <w:rPr>
          <w:rFonts w:ascii="Courier New" w:hAnsi="Courier New"/>
          <w:sz w:val="18"/>
        </w:rPr>
        <w:t>python -m unittest discover -s tests -v</w:t>
      </w:r>
    </w:p>
    <w:p>
      <w:r>
        <w:t>Ejecutar desde la raíz del repositorio. En Windows se activa el entorno con .venv\Scripts\activate. La versión web abre http://127.0.0.1:8550. El README contiene las instrucciones completas.</w:t>
      </w:r>
    </w:p>
    <w:p>
      <w:r>
        <w:br w:type="page"/>
      </w:r>
    </w:p>
    <w:p>
      <w:pPr>
        <w:pStyle w:val="Heading1"/>
      </w:pPr>
      <w:r>
        <w:t>Figura 1. Catálogo inicial</w:t>
      </w:r>
    </w:p>
    <w:p>
      <w:r>
        <w:t>Se muestran los productos L001 y R001, con precio y stock, y los controles CRUD.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2. Crear producto</w:t>
      </w:r>
    </w:p>
    <w:p>
      <w:r>
        <w:t>Se agrega L002 con precio $25.50 y stock 5. El catálogo pasa de dos a tres productos.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reg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3. Buscar y listar</w:t>
      </w:r>
    </w:p>
    <w:p>
      <w:r>
        <w:t>El filtro L002 muestra un resultado sin eliminar los demás productos del catálogo.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sc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4. Actualizar producto</w:t>
      </w:r>
    </w:p>
    <w:p>
      <w:r>
        <w:t>L002 conserva su código; el precio cambia a $30.00 y el stock a 9.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ualiz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5. Eliminar producto</w:t>
      </w:r>
    </w:p>
    <w:p>
      <w:r>
        <w:t>Se elimina L002. Al limpiar el filtro se muestran de nuevo los dos productos iniciales.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imin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6. Evitar duplicados</w:t>
      </w:r>
    </w:p>
    <w:p>
      <w:r>
        <w:t>El intento de agregar l001 con espacios externos se rechaza por coincidir con L001.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uplic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Figura 7. Validar entradas</w:t>
      </w:r>
    </w:p>
    <w:p>
      <w:r>
        <w:t>Se rechaza un stock negativo y se mantiene el catálogo sin incorporar el producto inválido.</w:t>
      </w:r>
    </w:p>
    <w:p>
      <w:r>
        <w:drawing>
          <wp:inline xmlns:a="http://schemas.openxmlformats.org/drawingml/2006/main" xmlns:pic="http://schemas.openxmlformats.org/drawingml/2006/picture">
            <wp:extent cx="6120000" cy="480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lid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Fuente: ejecución real de la aplicación Flet en Chromium; captura automatizada mediante Playwright.</w:t>
      </w:r>
    </w:p>
    <w:p>
      <w:r>
        <w:br w:type="page"/>
      </w:r>
    </w:p>
    <w:p>
      <w:pPr>
        <w:pStyle w:val="Heading1"/>
      </w:pPr>
      <w:r>
        <w:t>6. Conclusión</w:t>
      </w:r>
    </w:p>
    <w:p>
      <w:r>
        <w:t>El proyecto integra las colecciones con una interfaz gráfica funcional. El diccionario facilita la localización por código, el conjunto impide duplicados y la lista conserva la secuencia de operaciones. Los eventos enlazan las acciones del usuario con el catálogo sin mezclar el almacenamiento con la presentación. La reutilización de Libro y Revista mantiene la continuidad del modelo orientado a objetos. Las validaciones y las copias reducen los estados inconsistentes, mientras que las pruebas comprueban las operaciones y los errores más relevantes. Una ampliación futura podría incorporar persistencia para conservar el catálogo entre sesiones.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Edisson Carchi · Programación Orientada a Objetos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sz w:val="22"/>
      <w:lang w:val="es-E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