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9E45C" w14:textId="2E78B769" w:rsidR="008E53FA" w:rsidRPr="00C662AC" w:rsidRDefault="006F5E32" w:rsidP="00FA7D97">
      <w:pPr>
        <w:jc w:val="center"/>
      </w:pPr>
      <w:r>
        <w:rPr>
          <w:noProof/>
        </w:rPr>
        <w:drawing>
          <wp:inline distT="0" distB="0" distL="0" distR="0" wp14:anchorId="448321D7" wp14:editId="728C89F9">
            <wp:extent cx="4114800" cy="894969"/>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14800" cy="894969"/>
                    </a:xfrm>
                    <a:prstGeom prst="rect">
                      <a:avLst/>
                    </a:prstGeom>
                  </pic:spPr>
                </pic:pic>
              </a:graphicData>
            </a:graphic>
          </wp:inline>
        </w:drawing>
      </w:r>
    </w:p>
    <w:p w14:paraId="73FF1418" w14:textId="6C6C7FC3" w:rsidR="008E53FA" w:rsidRPr="00C0745F" w:rsidRDefault="00000000" w:rsidP="000D2744">
      <w:pPr>
        <w:spacing w:line="276" w:lineRule="auto"/>
        <w:jc w:val="center"/>
        <w:rPr>
          <w:b/>
          <w:sz w:val="39"/>
          <w:szCs w:val="39"/>
        </w:rPr>
      </w:pPr>
      <w:r w:rsidRPr="00C0745F">
        <w:rPr>
          <w:b/>
          <w:sz w:val="39"/>
          <w:szCs w:val="39"/>
        </w:rPr>
        <w:t>INDUSTRIAL ASSESSMENT CENTER REPORT</w:t>
      </w:r>
    </w:p>
    <w:p w14:paraId="351A7AC7" w14:textId="2BFF17D6" w:rsidR="008E53FA" w:rsidRPr="00991DA8" w:rsidRDefault="00000000" w:rsidP="006B3E38">
      <w:pPr>
        <w:spacing w:before="240" w:after="240" w:line="276" w:lineRule="auto"/>
        <w:jc w:val="center"/>
      </w:pPr>
      <w:r>
        <w:rPr>
          <w:noProof/>
        </w:rPr>
        <w:drawing>
          <wp:inline distT="0" distB="0" distL="0" distR="0" wp14:anchorId="6961A752" wp14:editId="31165F45">
            <wp:extent cx="3200400" cy="1373344"/>
            <wp:effectExtent l="0" t="0" r="0" b="0"/>
            <wp:docPr id="4" name="image12.pn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3200400" cy="1373344"/>
                    </a:xfrm>
                    <a:prstGeom prst="rect">
                      <a:avLst/>
                    </a:prstGeom>
                    <a:ln/>
                  </pic:spPr>
                </pic:pic>
              </a:graphicData>
            </a:graphic>
          </wp:inline>
        </w:drawing>
      </w:r>
    </w:p>
    <w:p w14:paraId="53E50480" w14:textId="77777777" w:rsidR="008E53FA" w:rsidRPr="00003200" w:rsidRDefault="00000000" w:rsidP="00003200">
      <w:pPr>
        <w:spacing w:after="60"/>
        <w:jc w:val="center"/>
        <w:rPr>
          <w:b/>
        </w:rPr>
      </w:pPr>
      <w:r w:rsidRPr="00003200">
        <w:rPr>
          <w:b/>
        </w:rPr>
        <w:t>Prepared by</w:t>
      </w:r>
    </w:p>
    <w:p w14:paraId="13EA8509" w14:textId="77777777" w:rsidR="008E53FA" w:rsidRPr="000D2744" w:rsidRDefault="00000000" w:rsidP="000D2744">
      <w:pPr>
        <w:spacing w:line="276" w:lineRule="auto"/>
        <w:jc w:val="center"/>
        <w:rPr>
          <w:b/>
          <w:bCs/>
          <w:sz w:val="28"/>
          <w:szCs w:val="28"/>
        </w:rPr>
      </w:pPr>
      <w:r w:rsidRPr="000D2744">
        <w:rPr>
          <w:b/>
          <w:bCs/>
          <w:sz w:val="28"/>
          <w:szCs w:val="28"/>
        </w:rPr>
        <w:t>Industrial Assessment Center</w:t>
      </w:r>
    </w:p>
    <w:p w14:paraId="26FE5847" w14:textId="77777777" w:rsidR="008E53FA" w:rsidRPr="000D2744" w:rsidRDefault="00000000" w:rsidP="000D2744">
      <w:pPr>
        <w:spacing w:line="276" w:lineRule="auto"/>
        <w:jc w:val="center"/>
        <w:rPr>
          <w:b/>
          <w:bCs/>
          <w:sz w:val="28"/>
          <w:szCs w:val="28"/>
        </w:rPr>
      </w:pPr>
      <w:r w:rsidRPr="000D2744">
        <w:rPr>
          <w:b/>
          <w:bCs/>
          <w:sz w:val="28"/>
          <w:szCs w:val="28"/>
        </w:rPr>
        <w:t>Department of Mechanical Engineering and Mechanics</w:t>
      </w:r>
    </w:p>
    <w:p w14:paraId="068D6381" w14:textId="77777777" w:rsidR="008E53FA" w:rsidRPr="000D2744" w:rsidRDefault="00000000" w:rsidP="000D2744">
      <w:pPr>
        <w:spacing w:line="276" w:lineRule="auto"/>
        <w:jc w:val="center"/>
        <w:rPr>
          <w:b/>
          <w:bCs/>
          <w:sz w:val="28"/>
          <w:szCs w:val="28"/>
        </w:rPr>
      </w:pPr>
      <w:r w:rsidRPr="000D2744">
        <w:rPr>
          <w:b/>
          <w:bCs/>
          <w:sz w:val="28"/>
          <w:szCs w:val="28"/>
        </w:rPr>
        <w:t>Lehigh University</w:t>
      </w:r>
    </w:p>
    <w:p w14:paraId="792EF8D1" w14:textId="77777777" w:rsidR="008E53FA" w:rsidRPr="000D2744" w:rsidRDefault="00000000" w:rsidP="000D2744">
      <w:pPr>
        <w:spacing w:line="276" w:lineRule="auto"/>
        <w:jc w:val="center"/>
        <w:rPr>
          <w:b/>
          <w:bCs/>
          <w:sz w:val="28"/>
          <w:szCs w:val="28"/>
        </w:rPr>
      </w:pPr>
      <w:r w:rsidRPr="000D2744">
        <w:rPr>
          <w:b/>
          <w:bCs/>
          <w:sz w:val="28"/>
          <w:szCs w:val="28"/>
        </w:rPr>
        <w:t>Bethlehem, Pennsylvania 18015</w:t>
      </w:r>
    </w:p>
    <w:p w14:paraId="1A0C6988" w14:textId="77777777" w:rsidR="008E53FA" w:rsidRPr="000D2744" w:rsidRDefault="008E53FA" w:rsidP="000D2744">
      <w:pPr>
        <w:spacing w:line="276" w:lineRule="auto"/>
        <w:jc w:val="center"/>
        <w:rPr>
          <w:b/>
          <w:bCs/>
          <w:sz w:val="28"/>
        </w:rPr>
      </w:pPr>
    </w:p>
    <w:p w14:paraId="693946C4" w14:textId="77777777" w:rsidR="008E53FA" w:rsidRPr="000D2744" w:rsidRDefault="00000000" w:rsidP="000D2744">
      <w:pPr>
        <w:spacing w:line="276" w:lineRule="auto"/>
        <w:jc w:val="center"/>
        <w:rPr>
          <w:b/>
          <w:bCs/>
          <w:sz w:val="28"/>
          <w:szCs w:val="28"/>
        </w:rPr>
      </w:pPr>
      <w:r w:rsidRPr="000D2744">
        <w:rPr>
          <w:b/>
          <w:bCs/>
          <w:sz w:val="28"/>
          <w:szCs w:val="28"/>
        </w:rPr>
        <w:t>A PROGRAM SPONSORED BY THE</w:t>
      </w:r>
    </w:p>
    <w:p w14:paraId="555CCE87" w14:textId="77777777" w:rsidR="008E53FA" w:rsidRPr="000D2744" w:rsidRDefault="00000000" w:rsidP="000D2744">
      <w:pPr>
        <w:spacing w:line="276" w:lineRule="auto"/>
        <w:jc w:val="center"/>
        <w:rPr>
          <w:b/>
          <w:bCs/>
          <w:sz w:val="28"/>
          <w:szCs w:val="28"/>
        </w:rPr>
      </w:pPr>
      <w:r w:rsidRPr="000D2744">
        <w:rPr>
          <w:b/>
          <w:bCs/>
          <w:sz w:val="28"/>
          <w:szCs w:val="28"/>
        </w:rPr>
        <w:t>US DEPARTMENT OF ENERGY</w:t>
      </w:r>
    </w:p>
    <w:p w14:paraId="1E0FCFE4" w14:textId="7B1B1E90" w:rsidR="008E53FA" w:rsidRPr="000D2744" w:rsidRDefault="00000000" w:rsidP="000D2744">
      <w:pPr>
        <w:spacing w:line="276" w:lineRule="auto"/>
        <w:jc w:val="center"/>
        <w:rPr>
          <w:b/>
          <w:bCs/>
          <w:sz w:val="28"/>
          <w:szCs w:val="28"/>
        </w:rPr>
      </w:pPr>
      <w:r w:rsidRPr="000D2744">
        <w:rPr>
          <w:b/>
          <w:bCs/>
          <w:sz w:val="28"/>
          <w:szCs w:val="28"/>
        </w:rPr>
        <w:t>OFFICE OF MANUFACTURING AND ENERGY SUPPLY CHAINS (MESC)</w:t>
      </w:r>
    </w:p>
    <w:p w14:paraId="5FA731AC" w14:textId="5A70787E" w:rsidR="008E53FA" w:rsidRPr="00645CFF" w:rsidRDefault="00000000" w:rsidP="006A37E5">
      <w:pPr>
        <w:spacing w:before="240" w:after="240" w:line="276" w:lineRule="auto"/>
        <w:jc w:val="center"/>
      </w:pPr>
      <w:r>
        <w:rPr>
          <w:noProof/>
        </w:rPr>
        <w:drawing>
          <wp:inline distT="0" distB="0" distL="0" distR="0" wp14:anchorId="20B162A8" wp14:editId="2D060990">
            <wp:extent cx="4114800" cy="1038987"/>
            <wp:effectExtent l="0" t="0" r="0" b="2540"/>
            <wp:docPr id="3" name="image4.pn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114800" cy="1038987"/>
                    </a:xfrm>
                    <a:prstGeom prst="rect">
                      <a:avLst/>
                    </a:prstGeom>
                    <a:ln/>
                  </pic:spPr>
                </pic:pic>
              </a:graphicData>
            </a:graphic>
          </wp:inline>
        </w:drawing>
      </w:r>
    </w:p>
    <w:p w14:paraId="2C297724" w14:textId="69E28079" w:rsidR="008E53FA" w:rsidRDefault="00000000" w:rsidP="00345169">
      <w:pPr>
        <w:spacing w:line="276" w:lineRule="auto"/>
        <w:jc w:val="center"/>
      </w:pPr>
      <w:r>
        <w:t xml:space="preserve">Report Number: </w:t>
      </w:r>
      <w:r w:rsidR="002514AE">
        <w:t>${LE}</w:t>
      </w:r>
    </w:p>
    <w:p w14:paraId="4DCC69E2" w14:textId="6794DA16" w:rsidR="008E53FA" w:rsidRDefault="00000000" w:rsidP="00345169">
      <w:pPr>
        <w:spacing w:line="276" w:lineRule="auto"/>
        <w:jc w:val="center"/>
      </w:pPr>
      <w:r>
        <w:t xml:space="preserve">Assessment Date: </w:t>
      </w:r>
      <w:r w:rsidR="0058059C">
        <w:t>${VDATE}</w:t>
      </w:r>
    </w:p>
    <w:p w14:paraId="3606D9B8" w14:textId="4B422DF0" w:rsidR="008E53FA" w:rsidRDefault="00000000" w:rsidP="00345169">
      <w:pPr>
        <w:spacing w:line="276" w:lineRule="auto"/>
        <w:jc w:val="center"/>
      </w:pPr>
      <w:r>
        <w:t xml:space="preserve">Plant Location: </w:t>
      </w:r>
      <w:r w:rsidR="0058059C">
        <w:t>${LOC}</w:t>
      </w:r>
    </w:p>
    <w:p w14:paraId="3FDB40C9" w14:textId="08760D70" w:rsidR="008E53FA" w:rsidRDefault="00000000" w:rsidP="00345169">
      <w:pPr>
        <w:spacing w:line="276" w:lineRule="auto"/>
        <w:jc w:val="center"/>
      </w:pPr>
      <w:r>
        <w:t xml:space="preserve">Plant Principal Product: </w:t>
      </w:r>
      <w:r w:rsidR="00BC7AF7">
        <w:t>${</w:t>
      </w:r>
      <w:proofErr w:type="spellStart"/>
      <w:r w:rsidR="00BC7AF7">
        <w:t>PROD</w:t>
      </w:r>
      <w:r w:rsidR="00E93710">
        <w:t>Title</w:t>
      </w:r>
      <w:proofErr w:type="spellEnd"/>
      <w:r w:rsidR="00BC7AF7">
        <w:t>}</w:t>
      </w:r>
    </w:p>
    <w:p w14:paraId="595129CC" w14:textId="5F181C31" w:rsidR="008E53FA" w:rsidRDefault="00000000" w:rsidP="00345169">
      <w:pPr>
        <w:spacing w:line="276" w:lineRule="auto"/>
        <w:jc w:val="center"/>
      </w:pPr>
      <w:r>
        <w:t xml:space="preserve">SIC Code: </w:t>
      </w:r>
      <w:r w:rsidR="00BC7AF7">
        <w:t>${SIC}</w:t>
      </w:r>
    </w:p>
    <w:p w14:paraId="19BD5B97" w14:textId="4D8DDAE2" w:rsidR="008E53FA" w:rsidRDefault="00000000" w:rsidP="00345169">
      <w:pPr>
        <w:spacing w:line="276" w:lineRule="auto"/>
        <w:jc w:val="center"/>
      </w:pPr>
      <w:r>
        <w:t xml:space="preserve">NAICS Code: </w:t>
      </w:r>
      <w:r w:rsidR="00BC7AF7">
        <w:t>${NAICS}</w:t>
      </w:r>
    </w:p>
    <w:p w14:paraId="106F7997" w14:textId="593EBD4D" w:rsidR="008E53FA" w:rsidRDefault="00000000" w:rsidP="00345169">
      <w:pPr>
        <w:spacing w:line="276" w:lineRule="auto"/>
        <w:jc w:val="center"/>
      </w:pPr>
      <w:r>
        <w:t xml:space="preserve">Report Date: </w:t>
      </w:r>
      <w:r w:rsidR="00A61DD1">
        <w:t>${RDATE}</w:t>
      </w:r>
      <w:r>
        <w:br w:type="page"/>
      </w:r>
    </w:p>
    <w:p w14:paraId="1F983F25" w14:textId="77777777" w:rsidR="008E53FA" w:rsidRPr="00003200" w:rsidRDefault="00000000" w:rsidP="00003200">
      <w:pPr>
        <w:spacing w:after="60"/>
        <w:jc w:val="center"/>
        <w:rPr>
          <w:b/>
        </w:rPr>
      </w:pPr>
      <w:r w:rsidRPr="00003200">
        <w:rPr>
          <w:b/>
        </w:rPr>
        <w:lastRenderedPageBreak/>
        <w:t xml:space="preserve">LEHIGH UNIVERSITY INDUSTRIAL ASSESSMENT CENTER </w:t>
      </w:r>
    </w:p>
    <w:p w14:paraId="2EBB2524" w14:textId="47A727D8" w:rsidR="008E53FA" w:rsidRPr="00003200" w:rsidRDefault="00000000" w:rsidP="00003200">
      <w:pPr>
        <w:spacing w:after="60"/>
        <w:jc w:val="center"/>
        <w:rPr>
          <w:b/>
        </w:rPr>
      </w:pPr>
      <w:r w:rsidRPr="00003200">
        <w:rPr>
          <w:b/>
        </w:rPr>
        <w:t xml:space="preserve">REPORT </w:t>
      </w:r>
      <w:r w:rsidR="003124B4" w:rsidRPr="00003200">
        <w:rPr>
          <w:b/>
        </w:rPr>
        <w:t>${LE}</w:t>
      </w:r>
    </w:p>
    <w:p w14:paraId="19F576B0" w14:textId="77777777" w:rsidR="008E53FA" w:rsidRPr="004C6E9F" w:rsidRDefault="008E53FA" w:rsidP="004C6E9F">
      <w:pPr>
        <w:spacing w:line="276" w:lineRule="auto"/>
        <w:jc w:val="center"/>
      </w:pPr>
    </w:p>
    <w:p w14:paraId="3DC0C417" w14:textId="77777777" w:rsidR="000D2744" w:rsidRPr="004C6E9F" w:rsidRDefault="000D2744" w:rsidP="004C6E9F">
      <w:pPr>
        <w:spacing w:line="276" w:lineRule="auto"/>
        <w:jc w:val="center"/>
      </w:pPr>
    </w:p>
    <w:p w14:paraId="78D6F5E8" w14:textId="77777777" w:rsidR="008E53FA" w:rsidRPr="00003200" w:rsidRDefault="00000000" w:rsidP="00003200">
      <w:pPr>
        <w:spacing w:after="60"/>
        <w:jc w:val="center"/>
        <w:rPr>
          <w:b/>
        </w:rPr>
      </w:pPr>
      <w:r w:rsidRPr="00003200">
        <w:rPr>
          <w:b/>
        </w:rPr>
        <w:t>ASSESSMENT PARTICIPANTS</w:t>
      </w:r>
    </w:p>
    <w:p w14:paraId="69A4B96B" w14:textId="2B5D8EEC" w:rsidR="008E53FA" w:rsidRDefault="00467E82" w:rsidP="00F57AA4">
      <w:pPr>
        <w:spacing w:line="276" w:lineRule="auto"/>
        <w:jc w:val="center"/>
      </w:pPr>
      <w:r>
        <w:t>${</w:t>
      </w:r>
      <w:r w:rsidR="002F21D0">
        <w:t>PROF</w:t>
      </w:r>
      <w:r>
        <w:t>} - Lead Assessor</w:t>
      </w:r>
    </w:p>
    <w:p w14:paraId="6F6A2C8A" w14:textId="487919DF" w:rsidR="008E53FA" w:rsidRDefault="00197058" w:rsidP="00F57AA4">
      <w:pPr>
        <w:spacing w:line="276" w:lineRule="auto"/>
        <w:jc w:val="center"/>
      </w:pPr>
      <w:r>
        <w:t>${LE</w:t>
      </w:r>
      <w:r w:rsidR="00F46203">
        <w:t>AD</w:t>
      </w:r>
      <w:r>
        <w:t>} - Lead Student</w:t>
      </w:r>
    </w:p>
    <w:p w14:paraId="573B8ED6" w14:textId="5F87707D" w:rsidR="008E53FA" w:rsidRDefault="00197058" w:rsidP="00F57AA4">
      <w:pPr>
        <w:spacing w:line="276" w:lineRule="auto"/>
        <w:jc w:val="center"/>
      </w:pPr>
      <w:r>
        <w:t>${SA</w:t>
      </w:r>
      <w:r w:rsidR="00F46203">
        <w:t>FE</w:t>
      </w:r>
      <w:r>
        <w:t>}</w:t>
      </w:r>
      <w:r w:rsidR="00397EA6">
        <w:t xml:space="preserve"> - </w:t>
      </w:r>
      <w:r>
        <w:t>Safety Student</w:t>
      </w:r>
    </w:p>
    <w:p w14:paraId="59E5C4DD" w14:textId="24CD0CF0" w:rsidR="008E53FA" w:rsidRDefault="007867D2" w:rsidP="00F57AA4">
      <w:pPr>
        <w:spacing w:line="276" w:lineRule="auto"/>
        <w:jc w:val="center"/>
      </w:pPr>
      <w:r>
        <w:t>${PART}</w:t>
      </w:r>
    </w:p>
    <w:p w14:paraId="4289E3F5" w14:textId="77777777" w:rsidR="008E53FA" w:rsidRDefault="008E53FA" w:rsidP="000D2744">
      <w:pPr>
        <w:spacing w:line="276" w:lineRule="auto"/>
        <w:jc w:val="center"/>
      </w:pPr>
    </w:p>
    <w:p w14:paraId="7B9D41BA" w14:textId="77777777" w:rsidR="000D2744" w:rsidRDefault="000D2744" w:rsidP="000D2744">
      <w:pPr>
        <w:spacing w:line="276" w:lineRule="auto"/>
        <w:jc w:val="center"/>
      </w:pPr>
    </w:p>
    <w:p w14:paraId="3EFB11F5" w14:textId="77777777" w:rsidR="008E53FA" w:rsidRPr="00003200" w:rsidRDefault="00000000" w:rsidP="00003200">
      <w:pPr>
        <w:spacing w:after="60"/>
        <w:jc w:val="center"/>
        <w:rPr>
          <w:b/>
        </w:rPr>
      </w:pPr>
      <w:r w:rsidRPr="00003200">
        <w:rPr>
          <w:b/>
        </w:rPr>
        <w:t>CONTRIBUTORS TO REPORT</w:t>
      </w:r>
    </w:p>
    <w:p w14:paraId="313F30DB" w14:textId="1ECCD879" w:rsidR="008E53FA" w:rsidRDefault="001E0A09" w:rsidP="00F57AA4">
      <w:pPr>
        <w:spacing w:line="276" w:lineRule="auto"/>
        <w:jc w:val="center"/>
      </w:pPr>
      <w:r>
        <w:t>${CONT}</w:t>
      </w:r>
    </w:p>
    <w:p w14:paraId="63DFA130" w14:textId="77777777" w:rsidR="008E53FA" w:rsidRDefault="008E53FA" w:rsidP="000D2744">
      <w:pPr>
        <w:spacing w:line="276" w:lineRule="auto"/>
        <w:jc w:val="center"/>
      </w:pPr>
    </w:p>
    <w:p w14:paraId="2F8175E4" w14:textId="77777777" w:rsidR="000D2744" w:rsidRDefault="000D2744" w:rsidP="000D2744">
      <w:pPr>
        <w:spacing w:line="276" w:lineRule="auto"/>
        <w:jc w:val="center"/>
      </w:pPr>
    </w:p>
    <w:p w14:paraId="1537AABF" w14:textId="77777777" w:rsidR="008E53FA" w:rsidRPr="00003200" w:rsidRDefault="00000000" w:rsidP="00003200">
      <w:pPr>
        <w:spacing w:after="60"/>
        <w:jc w:val="center"/>
        <w:rPr>
          <w:b/>
        </w:rPr>
      </w:pPr>
      <w:r w:rsidRPr="00003200">
        <w:rPr>
          <w:b/>
        </w:rPr>
        <w:t>INDUSTRIAL ASSESSMENT CENTER PERSONNEL</w:t>
      </w:r>
    </w:p>
    <w:p w14:paraId="139E21FA" w14:textId="77777777" w:rsidR="008E53FA" w:rsidRDefault="00000000" w:rsidP="00F57AA4">
      <w:pPr>
        <w:spacing w:line="276" w:lineRule="auto"/>
        <w:jc w:val="center"/>
      </w:pPr>
      <w:r>
        <w:t xml:space="preserve">Dr. </w:t>
      </w:r>
      <w:proofErr w:type="spellStart"/>
      <w:r>
        <w:t>Alparslan</w:t>
      </w:r>
      <w:proofErr w:type="spellEnd"/>
      <w:r>
        <w:t xml:space="preserve"> </w:t>
      </w:r>
      <w:proofErr w:type="spellStart"/>
      <w:r>
        <w:t>Oztekin</w:t>
      </w:r>
      <w:proofErr w:type="spellEnd"/>
    </w:p>
    <w:p w14:paraId="348A3D53" w14:textId="77777777" w:rsidR="008E53FA" w:rsidRDefault="00000000" w:rsidP="00F57AA4">
      <w:pPr>
        <w:spacing w:line="276" w:lineRule="auto"/>
        <w:jc w:val="center"/>
      </w:pPr>
      <w:r>
        <w:t>Dr. Sudhakar Neti</w:t>
      </w:r>
    </w:p>
    <w:p w14:paraId="365F7A43" w14:textId="77777777" w:rsidR="008E53FA" w:rsidRDefault="00000000" w:rsidP="00F57AA4">
      <w:pPr>
        <w:spacing w:line="276" w:lineRule="auto"/>
        <w:jc w:val="center"/>
      </w:pPr>
      <w:bookmarkStart w:id="0" w:name="_gjdgxs" w:colFirst="0" w:colLast="0"/>
      <w:bookmarkEnd w:id="0"/>
      <w:r>
        <w:t>JoAnn Casciano</w:t>
      </w:r>
    </w:p>
    <w:p w14:paraId="20C303C0" w14:textId="13B54D1D" w:rsidR="0098068E" w:rsidRDefault="0098068E" w:rsidP="00F57AA4">
      <w:pPr>
        <w:spacing w:line="276" w:lineRule="auto"/>
        <w:jc w:val="center"/>
      </w:pPr>
      <w:proofErr w:type="spellStart"/>
      <w:r>
        <w:t>Muhannad</w:t>
      </w:r>
      <w:proofErr w:type="spellEnd"/>
      <w:r>
        <w:t xml:space="preserve"> </w:t>
      </w:r>
      <w:proofErr w:type="spellStart"/>
      <w:r>
        <w:t>Altimemy</w:t>
      </w:r>
      <w:proofErr w:type="spellEnd"/>
    </w:p>
    <w:p w14:paraId="07E21F68" w14:textId="77777777" w:rsidR="008E53FA" w:rsidRDefault="00000000" w:rsidP="00F57AA4">
      <w:pPr>
        <w:spacing w:line="276" w:lineRule="auto"/>
        <w:jc w:val="center"/>
      </w:pPr>
      <w:r>
        <w:t>Justin Caspar</w:t>
      </w:r>
    </w:p>
    <w:p w14:paraId="200F9F84" w14:textId="54D33374" w:rsidR="00E7576D" w:rsidRDefault="00E7576D" w:rsidP="00F57AA4">
      <w:pPr>
        <w:spacing w:line="276" w:lineRule="auto"/>
        <w:jc w:val="center"/>
      </w:pPr>
      <w:r>
        <w:t>Orhan Kaya</w:t>
      </w:r>
    </w:p>
    <w:p w14:paraId="51667208" w14:textId="77777777" w:rsidR="008E53FA" w:rsidRDefault="00000000" w:rsidP="00F57AA4">
      <w:pPr>
        <w:spacing w:line="276" w:lineRule="auto"/>
        <w:jc w:val="center"/>
      </w:pPr>
      <w:r>
        <w:t>Tong Su</w:t>
      </w:r>
    </w:p>
    <w:p w14:paraId="623183C8" w14:textId="77777777" w:rsidR="008E53FA" w:rsidRDefault="00000000" w:rsidP="00F57AA4">
      <w:pPr>
        <w:spacing w:line="276" w:lineRule="auto"/>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6DF122DD" w:rsidR="008E53FA" w:rsidRDefault="00000000" w:rsidP="009129CE">
      <w:pPr>
        <w:pStyle w:val="Heading1"/>
        <w:rPr>
          <w:smallCaps/>
        </w:rPr>
      </w:pPr>
      <w:bookmarkStart w:id="1" w:name="_Toc145327609"/>
      <w:bookmarkStart w:id="2" w:name="_Toc145327710"/>
      <w:bookmarkStart w:id="3" w:name="_Toc145944429"/>
      <w:bookmarkStart w:id="4" w:name="_Toc153713010"/>
      <w:r>
        <w:lastRenderedPageBreak/>
        <w:t>P</w:t>
      </w:r>
      <w:bookmarkEnd w:id="1"/>
      <w:bookmarkEnd w:id="2"/>
      <w:bookmarkEnd w:id="3"/>
      <w:bookmarkEnd w:id="4"/>
      <w:r w:rsidR="00CE7A9C">
        <w:t>reface</w:t>
      </w:r>
    </w:p>
    <w:p w14:paraId="522F7BD6" w14:textId="1242BFFA" w:rsidR="008E53FA" w:rsidRDefault="00000000" w:rsidP="00115477">
      <w:pPr>
        <w:spacing w:line="360" w:lineRule="auto"/>
        <w:ind w:firstLine="720"/>
        <w:jc w:val="both"/>
      </w:pPr>
      <w:r>
        <w:t>The work described in this report was performed under the direction of the Industrial Assessment</w:t>
      </w:r>
      <w:r w:rsidRPr="00991DA8">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2EF63BA7" w:rsidR="008E53FA" w:rsidRDefault="00000000" w:rsidP="000D2744">
      <w:pPr>
        <w:spacing w:line="360" w:lineRule="auto"/>
        <w:ind w:firstLine="720"/>
        <w:jc w:val="both"/>
      </w:pPr>
      <w:r>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31EA1D40" w:rsidR="008E53FA" w:rsidRDefault="00000000" w:rsidP="009129CE">
      <w:pPr>
        <w:pStyle w:val="Heading1"/>
        <w:rPr>
          <w:smallCaps/>
        </w:rPr>
      </w:pPr>
      <w:bookmarkStart w:id="5" w:name="_Toc145327610"/>
      <w:bookmarkStart w:id="6" w:name="_Toc145327711"/>
      <w:bookmarkStart w:id="7" w:name="_Toc145944430"/>
      <w:bookmarkStart w:id="8" w:name="_Toc153713011"/>
      <w:r>
        <w:t>D</w:t>
      </w:r>
      <w:bookmarkEnd w:id="5"/>
      <w:bookmarkEnd w:id="6"/>
      <w:bookmarkEnd w:id="7"/>
      <w:bookmarkEnd w:id="8"/>
      <w:r w:rsidR="00CE7A9C">
        <w:t>isclaimer</w:t>
      </w:r>
    </w:p>
    <w:p w14:paraId="1511CE97" w14:textId="21DD3C0A" w:rsidR="008E53FA" w:rsidRPr="00645CFF" w:rsidRDefault="00000000" w:rsidP="00115477">
      <w:pPr>
        <w:spacing w:line="360" w:lineRule="auto"/>
        <w:ind w:firstLine="720"/>
        <w:jc w:val="both"/>
      </w:pPr>
      <w:r>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sidRPr="00645CFF">
        <w:t xml:space="preserve">                                              </w:t>
      </w:r>
    </w:p>
    <w:p w14:paraId="672F3291" w14:textId="00CC9453" w:rsidR="008E53FA" w:rsidRDefault="00000000" w:rsidP="009129CE">
      <w:pPr>
        <w:pStyle w:val="Heading1"/>
        <w:rPr>
          <w:smallCaps/>
        </w:rPr>
      </w:pPr>
      <w:bookmarkStart w:id="9" w:name="_Toc145327611"/>
      <w:bookmarkStart w:id="10" w:name="_Toc145327712"/>
      <w:bookmarkStart w:id="11" w:name="_Toc145944431"/>
      <w:bookmarkStart w:id="12" w:name="_Toc153713012"/>
      <w:r>
        <w:lastRenderedPageBreak/>
        <w:t>E</w:t>
      </w:r>
      <w:r w:rsidR="00CE7A9C">
        <w:t>xecutive</w:t>
      </w:r>
      <w:r>
        <w:t xml:space="preserve"> S</w:t>
      </w:r>
      <w:bookmarkEnd w:id="9"/>
      <w:bookmarkEnd w:id="10"/>
      <w:bookmarkEnd w:id="11"/>
      <w:bookmarkEnd w:id="12"/>
      <w:r w:rsidR="00CE7A9C">
        <w:t>ummary</w:t>
      </w:r>
    </w:p>
    <w:p w14:paraId="18B3C8D7" w14:textId="5B2C58D6" w:rsidR="008E53FA" w:rsidRDefault="00000000" w:rsidP="00BE203C">
      <w:pPr>
        <w:spacing w:line="360" w:lineRule="auto"/>
        <w:ind w:firstLine="720"/>
        <w:jc w:val="both"/>
      </w:pPr>
      <w:r>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w:t>
      </w:r>
      <w:proofErr w:type="spellStart"/>
      <w:r w:rsidR="00222DC3">
        <w:t>PRODlower</w:t>
      </w:r>
      <w:proofErr w:type="spellEnd"/>
      <w:r w:rsidR="00A00294">
        <w:t>}</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Pr="00645CFF" w:rsidRDefault="00000000" w:rsidP="00AD07DF">
      <w:pPr>
        <w:spacing w:after="120" w:line="360" w:lineRule="auto"/>
        <w:ind w:firstLine="720"/>
        <w:jc w:val="both"/>
      </w:pPr>
      <w:r w:rsidRPr="00645CFF">
        <w:t>Energy consumption for a twelve-month period of electricity (</w:t>
      </w:r>
      <w:r w:rsidR="00F42C37" w:rsidRPr="00F42C37">
        <w:t>${</w:t>
      </w:r>
      <w:proofErr w:type="spellStart"/>
      <w:r w:rsidR="00F42C37" w:rsidRPr="00F42C37">
        <w:t>StartMo</w:t>
      </w:r>
      <w:proofErr w:type="spellEnd"/>
      <w:r w:rsidR="00F42C37" w:rsidRPr="00F42C37">
        <w:t>}</w:t>
      </w:r>
      <w:r w:rsidRPr="00F42C37">
        <w:t xml:space="preserve"> to </w:t>
      </w:r>
      <w:r w:rsidR="00F42C37">
        <w:t>${</w:t>
      </w:r>
      <w:proofErr w:type="spellStart"/>
      <w:r w:rsidR="00F42C37">
        <w:t>EndMo</w:t>
      </w:r>
      <w:proofErr w:type="spellEnd"/>
      <w:r w:rsidR="00F42C37">
        <w:t>}</w:t>
      </w:r>
      <w:r w:rsidRPr="00645CFF">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Pr="00BE203C" w:rsidRDefault="00000000" w:rsidP="0098333E">
            <w:pPr>
              <w:spacing w:before="60" w:after="60" w:line="276" w:lineRule="auto"/>
              <w:jc w:val="center"/>
              <w:rPr>
                <w:b/>
                <w:bCs/>
                <w:color w:val="000000"/>
              </w:rPr>
            </w:pPr>
            <w:r w:rsidRPr="00003200">
              <w:rPr>
                <w:b/>
                <w:bCs/>
              </w:rPr>
              <w:t>Energy</w:t>
            </w:r>
          </w:p>
        </w:tc>
        <w:tc>
          <w:tcPr>
            <w:tcW w:w="5184" w:type="dxa"/>
            <w:shd w:val="clear" w:color="auto" w:fill="D9D9D9"/>
            <w:vAlign w:val="center"/>
          </w:tcPr>
          <w:p w14:paraId="3734D695" w14:textId="77777777" w:rsidR="008E53FA" w:rsidRPr="00BE203C" w:rsidRDefault="00000000" w:rsidP="0098333E">
            <w:pPr>
              <w:spacing w:before="60" w:after="60" w:line="276" w:lineRule="auto"/>
              <w:jc w:val="center"/>
              <w:rPr>
                <w:b/>
                <w:bCs/>
                <w:color w:val="000000"/>
              </w:rPr>
            </w:pPr>
            <w:r w:rsidRPr="00003200">
              <w:rPr>
                <w:b/>
                <w:bCs/>
              </w:rPr>
              <w:t>Quantity</w:t>
            </w:r>
          </w:p>
        </w:tc>
        <w:tc>
          <w:tcPr>
            <w:tcW w:w="1728" w:type="dxa"/>
            <w:shd w:val="clear" w:color="auto" w:fill="D9D9D9"/>
            <w:vAlign w:val="center"/>
          </w:tcPr>
          <w:p w14:paraId="0118EBAC" w14:textId="77777777" w:rsidR="008E53FA" w:rsidRPr="00BE203C" w:rsidRDefault="00000000" w:rsidP="0098333E">
            <w:pPr>
              <w:spacing w:before="60" w:after="60" w:line="276" w:lineRule="auto"/>
              <w:jc w:val="center"/>
              <w:rPr>
                <w:b/>
                <w:bCs/>
                <w:color w:val="000000"/>
              </w:rPr>
            </w:pPr>
            <w:r w:rsidRPr="00003200">
              <w:rPr>
                <w:b/>
                <w:bCs/>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98333E">
            <w:pPr>
              <w:spacing w:before="60" w:after="60" w:line="276" w:lineRule="auto"/>
              <w:jc w:val="center"/>
            </w:pPr>
            <w:r w:rsidRPr="00854AAD">
              <w:t>Electricity</w:t>
            </w:r>
          </w:p>
        </w:tc>
        <w:tc>
          <w:tcPr>
            <w:tcW w:w="5184" w:type="dxa"/>
            <w:vAlign w:val="center"/>
          </w:tcPr>
          <w:p w14:paraId="643A6222" w14:textId="4C2E2509" w:rsidR="008E53FA" w:rsidRPr="00DF4A09" w:rsidRDefault="00F42C37" w:rsidP="0098333E">
            <w:pPr>
              <w:spacing w:before="60" w:after="60" w:line="276" w:lineRule="auto"/>
              <w:jc w:val="center"/>
            </w:pPr>
            <w:r w:rsidRPr="00DF4A09">
              <w:t>${</w:t>
            </w:r>
            <w:proofErr w:type="spellStart"/>
            <w:r w:rsidRPr="00DF4A09">
              <w:t>TotalEkWh</w:t>
            </w:r>
            <w:proofErr w:type="spellEnd"/>
            <w:r w:rsidRPr="00DF4A09">
              <w:t>} kWh or</w:t>
            </w:r>
            <w:r w:rsidR="00DF4A09">
              <w:t xml:space="preserve"> </w:t>
            </w:r>
            <w:r w:rsidR="000E4BD9" w:rsidRPr="00DF4A09">
              <w:t>${</w:t>
            </w:r>
            <w:proofErr w:type="spellStart"/>
            <w:r w:rsidR="000E4BD9" w:rsidRPr="00DF4A09">
              <w:t>TotalEBtu</w:t>
            </w:r>
            <w:proofErr w:type="spellEnd"/>
            <w:r w:rsidR="000E4BD9" w:rsidRPr="00DF4A09">
              <w:t>}</w:t>
            </w:r>
            <w:r w:rsidRPr="00DF4A09">
              <w:t xml:space="preserve"> MMBtu</w:t>
            </w:r>
          </w:p>
          <w:p w14:paraId="2ED39AE1" w14:textId="1988251E" w:rsidR="008E53FA" w:rsidRPr="00DF4A09" w:rsidRDefault="00572818" w:rsidP="0098333E">
            <w:pPr>
              <w:spacing w:before="60" w:after="60" w:line="276" w:lineRule="auto"/>
              <w:jc w:val="center"/>
            </w:pPr>
            <w:r w:rsidRPr="00DF4A09">
              <w:t>${</w:t>
            </w:r>
            <w:proofErr w:type="spellStart"/>
            <w:r w:rsidRPr="00DF4A09">
              <w:t>TotalDkW</w:t>
            </w:r>
            <w:proofErr w:type="spellEnd"/>
            <w:r w:rsidRPr="00DF4A09">
              <w:t>} kW</w:t>
            </w:r>
          </w:p>
        </w:tc>
        <w:tc>
          <w:tcPr>
            <w:tcW w:w="1728" w:type="dxa"/>
            <w:vAlign w:val="center"/>
          </w:tcPr>
          <w:p w14:paraId="06E96C21" w14:textId="7A521A25" w:rsidR="008E53FA" w:rsidRPr="00DF4A09" w:rsidRDefault="00727141" w:rsidP="00066B4B">
            <w:pPr>
              <w:spacing w:before="60" w:after="60" w:line="276" w:lineRule="auto"/>
              <w:jc w:val="right"/>
              <w:rPr>
                <w:rFonts w:ascii="Arial" w:eastAsia="Arial" w:hAnsi="Arial" w:cs="Arial"/>
              </w:rPr>
            </w:pPr>
            <w:r w:rsidRPr="00DF4A09">
              <w:t>${</w:t>
            </w:r>
            <w:proofErr w:type="spellStart"/>
            <w:r w:rsidRPr="00DF4A09">
              <w:t>TotalECost</w:t>
            </w:r>
            <w:proofErr w:type="spellEnd"/>
            <w:r w:rsidRPr="00DF4A09">
              <w:t xml:space="preserve">} </w:t>
            </w:r>
          </w:p>
        </w:tc>
      </w:tr>
      <w:tr w:rsidR="008E53FA" w14:paraId="3DBBA74E" w14:textId="77777777" w:rsidTr="00F47922">
        <w:trPr>
          <w:jc w:val="center"/>
        </w:trPr>
        <w:tc>
          <w:tcPr>
            <w:tcW w:w="1728" w:type="dxa"/>
            <w:vAlign w:val="center"/>
          </w:tcPr>
          <w:p w14:paraId="64A5A84C" w14:textId="03D93D6C" w:rsidR="008E53FA" w:rsidRPr="00854AAD" w:rsidRDefault="005913B8" w:rsidP="0098333E">
            <w:pPr>
              <w:spacing w:before="60" w:after="60" w:line="276" w:lineRule="auto"/>
              <w:jc w:val="center"/>
            </w:pPr>
            <w:r>
              <w:t>${</w:t>
            </w:r>
            <w:proofErr w:type="spellStart"/>
            <w:r>
              <w:t>F</w:t>
            </w:r>
            <w:r w:rsidR="00F42C37">
              <w:t>uel</w:t>
            </w:r>
            <w:r w:rsidR="00EF4CA0">
              <w:t>Type</w:t>
            </w:r>
            <w:proofErr w:type="spellEnd"/>
            <w:r>
              <w:t>}</w:t>
            </w:r>
          </w:p>
        </w:tc>
        <w:tc>
          <w:tcPr>
            <w:tcW w:w="5184" w:type="dxa"/>
            <w:vAlign w:val="center"/>
          </w:tcPr>
          <w:p w14:paraId="42365E06" w14:textId="0090B9DE" w:rsidR="008E53FA" w:rsidRPr="00DF4A09" w:rsidRDefault="00097059" w:rsidP="0098333E">
            <w:pPr>
              <w:spacing w:before="60" w:after="60" w:line="276" w:lineRule="auto"/>
              <w:jc w:val="center"/>
            </w:pPr>
            <w:r w:rsidRPr="00DF4A09">
              <w:t>${</w:t>
            </w:r>
            <w:proofErr w:type="spellStart"/>
            <w:r w:rsidRPr="00DF4A09">
              <w:t>TotalFBtu</w:t>
            </w:r>
            <w:proofErr w:type="spellEnd"/>
            <w:r w:rsidRPr="00DF4A09">
              <w:t>} MMBtu</w:t>
            </w:r>
          </w:p>
        </w:tc>
        <w:tc>
          <w:tcPr>
            <w:tcW w:w="1728" w:type="dxa"/>
            <w:vAlign w:val="center"/>
          </w:tcPr>
          <w:p w14:paraId="3AC1F408" w14:textId="57C3F034" w:rsidR="008E53FA" w:rsidRPr="00DF4A09" w:rsidRDefault="00000000" w:rsidP="00066B4B">
            <w:pPr>
              <w:spacing w:before="60" w:after="60" w:line="276" w:lineRule="auto"/>
              <w:jc w:val="right"/>
            </w:pPr>
            <w:r w:rsidRPr="00DF4A09">
              <w:t>$</w:t>
            </w:r>
            <w:r w:rsidR="00097059" w:rsidRPr="00DF4A09">
              <w:t>{</w:t>
            </w:r>
            <w:proofErr w:type="spellStart"/>
            <w:r w:rsidR="00097059" w:rsidRPr="00DF4A09">
              <w:t>TotalFCost</w:t>
            </w:r>
            <w:proofErr w:type="spellEnd"/>
            <w:r w:rsidR="00097059" w:rsidRPr="00DF4A09">
              <w:t>}</w:t>
            </w:r>
          </w:p>
        </w:tc>
      </w:tr>
      <w:tr w:rsidR="008E53FA" w14:paraId="26E27324" w14:textId="77777777" w:rsidTr="00F47922">
        <w:trPr>
          <w:jc w:val="center"/>
        </w:trPr>
        <w:tc>
          <w:tcPr>
            <w:tcW w:w="1728" w:type="dxa"/>
            <w:vAlign w:val="center"/>
          </w:tcPr>
          <w:p w14:paraId="630E315A" w14:textId="77777777" w:rsidR="008E53FA" w:rsidRPr="00BE203C" w:rsidRDefault="00000000" w:rsidP="0098333E">
            <w:pPr>
              <w:spacing w:before="60" w:after="60" w:line="276" w:lineRule="auto"/>
              <w:jc w:val="center"/>
              <w:rPr>
                <w:b/>
                <w:bCs/>
                <w:color w:val="000000"/>
              </w:rPr>
            </w:pPr>
            <w:r w:rsidRPr="00003200">
              <w:rPr>
                <w:b/>
                <w:bCs/>
              </w:rPr>
              <w:t>Total</w:t>
            </w:r>
          </w:p>
        </w:tc>
        <w:tc>
          <w:tcPr>
            <w:tcW w:w="5184" w:type="dxa"/>
            <w:vAlign w:val="center"/>
          </w:tcPr>
          <w:p w14:paraId="3288379E" w14:textId="42B6E475" w:rsidR="008E53FA" w:rsidRPr="00BE203C" w:rsidRDefault="00BF4505" w:rsidP="0098333E">
            <w:pPr>
              <w:spacing w:before="60" w:after="60" w:line="276" w:lineRule="auto"/>
              <w:jc w:val="center"/>
              <w:rPr>
                <w:b/>
                <w:bCs/>
                <w:color w:val="000000"/>
              </w:rPr>
            </w:pPr>
            <w:r w:rsidRPr="00003200">
              <w:rPr>
                <w:b/>
                <w:bCs/>
              </w:rPr>
              <w:t>${</w:t>
            </w:r>
            <w:proofErr w:type="spellStart"/>
            <w:r w:rsidRPr="00003200">
              <w:rPr>
                <w:b/>
                <w:bCs/>
              </w:rPr>
              <w:t>TotalBtu</w:t>
            </w:r>
            <w:proofErr w:type="spellEnd"/>
            <w:r w:rsidRPr="00003200">
              <w:rPr>
                <w:b/>
                <w:bCs/>
              </w:rPr>
              <w:t>} MMBtu</w:t>
            </w:r>
          </w:p>
        </w:tc>
        <w:tc>
          <w:tcPr>
            <w:tcW w:w="1728" w:type="dxa"/>
            <w:vAlign w:val="center"/>
          </w:tcPr>
          <w:p w14:paraId="2ECA6DC9" w14:textId="7074DE06" w:rsidR="008E53FA" w:rsidRPr="00BE203C" w:rsidRDefault="00097059" w:rsidP="00066B4B">
            <w:pPr>
              <w:spacing w:before="60" w:after="60" w:line="276" w:lineRule="auto"/>
              <w:jc w:val="right"/>
              <w:rPr>
                <w:b/>
                <w:bCs/>
                <w:color w:val="000000"/>
              </w:rPr>
            </w:pPr>
            <w:r w:rsidRPr="00003200">
              <w:rPr>
                <w:b/>
                <w:bCs/>
              </w:rPr>
              <w:t>${</w:t>
            </w:r>
            <w:proofErr w:type="spellStart"/>
            <w:r w:rsidRPr="00003200">
              <w:rPr>
                <w:b/>
                <w:bCs/>
              </w:rPr>
              <w:t>TotalCost</w:t>
            </w:r>
            <w:proofErr w:type="spellEnd"/>
            <w:r w:rsidRPr="00003200">
              <w:rPr>
                <w:b/>
                <w:bCs/>
              </w:rPr>
              <w:t>}</w:t>
            </w:r>
          </w:p>
        </w:tc>
      </w:tr>
    </w:tbl>
    <w:p w14:paraId="25C6E770" w14:textId="77777777" w:rsidR="008E53FA" w:rsidRPr="000D2744" w:rsidRDefault="00000000" w:rsidP="000045AD">
      <w:pPr>
        <w:spacing w:before="120" w:line="360" w:lineRule="auto"/>
        <w:jc w:val="both"/>
      </w:pPr>
      <w:r w:rsidRPr="000D2744">
        <w:tab/>
        <w:t>The energy costs for the plant, and those used for calculations, are as follows.</w:t>
      </w:r>
    </w:p>
    <w:p w14:paraId="5AA981C3" w14:textId="77777777" w:rsidR="008E53FA" w:rsidRPr="00645CFF" w:rsidRDefault="00000000">
      <w:pPr>
        <w:numPr>
          <w:ilvl w:val="0"/>
          <w:numId w:val="2"/>
        </w:numPr>
        <w:pBdr>
          <w:top w:val="nil"/>
          <w:left w:val="nil"/>
          <w:bottom w:val="nil"/>
          <w:right w:val="nil"/>
          <w:between w:val="nil"/>
        </w:pBdr>
        <w:spacing w:line="360" w:lineRule="auto"/>
        <w:ind w:left="1080"/>
        <w:jc w:val="both"/>
      </w:pPr>
      <w:r w:rsidRPr="00003200">
        <w:rPr>
          <w:b/>
        </w:rPr>
        <w:t>Electricity</w:t>
      </w:r>
    </w:p>
    <w:p w14:paraId="33E3FA05" w14:textId="291D86F5" w:rsidR="008E53FA" w:rsidRPr="00645CFF" w:rsidRDefault="00000000">
      <w:pPr>
        <w:numPr>
          <w:ilvl w:val="1"/>
          <w:numId w:val="2"/>
        </w:numPr>
        <w:pBdr>
          <w:top w:val="nil"/>
          <w:left w:val="nil"/>
          <w:bottom w:val="nil"/>
          <w:right w:val="nil"/>
          <w:between w:val="nil"/>
        </w:pBdr>
        <w:spacing w:line="360" w:lineRule="auto"/>
        <w:jc w:val="both"/>
      </w:pPr>
      <w:r w:rsidRPr="00003200">
        <w:rPr>
          <w:b/>
        </w:rPr>
        <w:t xml:space="preserve">Average Electricity Rate </w:t>
      </w:r>
      <w:r w:rsidRPr="00003200">
        <w:rPr>
          <w:b/>
        </w:rPr>
        <w:tab/>
      </w:r>
      <w:r w:rsidR="007E1FD5" w:rsidRPr="00003200">
        <w:rPr>
          <w:b/>
        </w:rPr>
        <w:tab/>
      </w:r>
      <w:r w:rsidR="008F4E14" w:rsidRPr="00FE3337">
        <w:t>${EC}</w:t>
      </w:r>
      <w:r w:rsidRPr="00645CFF">
        <w:t xml:space="preserve">/kWh    </w:t>
      </w:r>
    </w:p>
    <w:p w14:paraId="4BFB6609" w14:textId="645783EF" w:rsidR="008E53FA" w:rsidRPr="00645CFF" w:rsidRDefault="00000000">
      <w:pPr>
        <w:numPr>
          <w:ilvl w:val="1"/>
          <w:numId w:val="2"/>
        </w:numPr>
        <w:pBdr>
          <w:top w:val="nil"/>
          <w:left w:val="nil"/>
          <w:bottom w:val="nil"/>
          <w:right w:val="nil"/>
          <w:between w:val="nil"/>
        </w:pBdr>
        <w:spacing w:line="360" w:lineRule="auto"/>
        <w:jc w:val="both"/>
      </w:pPr>
      <w:r w:rsidRPr="00003200">
        <w:rPr>
          <w:b/>
        </w:rPr>
        <w:t>Average Demand Rate</w:t>
      </w:r>
      <w:r w:rsidRPr="00003200">
        <w:rPr>
          <w:b/>
        </w:rPr>
        <w:tab/>
      </w:r>
      <w:r w:rsidR="007E1FD5" w:rsidRPr="00003200">
        <w:rPr>
          <w:b/>
        </w:rPr>
        <w:tab/>
      </w:r>
      <w:r w:rsidR="008F4E14" w:rsidRPr="00FE3337">
        <w:t>${DC}</w:t>
      </w:r>
      <w:r w:rsidRPr="00645CFF">
        <w:t>/kW</w:t>
      </w:r>
    </w:p>
    <w:p w14:paraId="06864768" w14:textId="56BAE47A" w:rsidR="008E53FA" w:rsidRPr="00645CFF" w:rsidRDefault="00FD6278">
      <w:pPr>
        <w:numPr>
          <w:ilvl w:val="0"/>
          <w:numId w:val="2"/>
        </w:numPr>
        <w:pBdr>
          <w:top w:val="nil"/>
          <w:left w:val="nil"/>
          <w:bottom w:val="nil"/>
          <w:right w:val="nil"/>
          <w:between w:val="nil"/>
        </w:pBdr>
        <w:spacing w:line="360" w:lineRule="auto"/>
        <w:ind w:left="1080"/>
        <w:jc w:val="both"/>
      </w:pPr>
      <w:r w:rsidRPr="00003200">
        <w:rPr>
          <w:b/>
        </w:rPr>
        <w:t>${</w:t>
      </w:r>
      <w:proofErr w:type="spellStart"/>
      <w:r w:rsidRPr="00003200">
        <w:rPr>
          <w:b/>
        </w:rPr>
        <w:t>F</w:t>
      </w:r>
      <w:r w:rsidR="00F42C37" w:rsidRPr="00003200">
        <w:rPr>
          <w:b/>
        </w:rPr>
        <w:t>uel</w:t>
      </w:r>
      <w:r w:rsidR="00EF4CA0" w:rsidRPr="00003200">
        <w:rPr>
          <w:b/>
        </w:rPr>
        <w:t>Type</w:t>
      </w:r>
      <w:proofErr w:type="spellEnd"/>
      <w:r w:rsidRPr="00003200">
        <w:rPr>
          <w:b/>
        </w:rPr>
        <w:t>}</w:t>
      </w:r>
    </w:p>
    <w:p w14:paraId="686E15FA" w14:textId="145BCF2E" w:rsidR="008E53FA" w:rsidRPr="00645CFF" w:rsidRDefault="00000000">
      <w:pPr>
        <w:numPr>
          <w:ilvl w:val="1"/>
          <w:numId w:val="2"/>
        </w:numPr>
        <w:pBdr>
          <w:top w:val="nil"/>
          <w:left w:val="nil"/>
          <w:bottom w:val="nil"/>
          <w:right w:val="nil"/>
          <w:between w:val="nil"/>
        </w:pBdr>
        <w:spacing w:line="360" w:lineRule="auto"/>
        <w:jc w:val="both"/>
      </w:pPr>
      <w:r w:rsidRPr="00003200">
        <w:rPr>
          <w:b/>
        </w:rPr>
        <w:t xml:space="preserve">Average </w:t>
      </w:r>
      <w:r w:rsidR="00FD6278" w:rsidRPr="00003200">
        <w:rPr>
          <w:b/>
        </w:rPr>
        <w:t>${</w:t>
      </w:r>
      <w:proofErr w:type="spellStart"/>
      <w:r w:rsidR="00FD6278" w:rsidRPr="00003200">
        <w:rPr>
          <w:b/>
        </w:rPr>
        <w:t>F</w:t>
      </w:r>
      <w:r w:rsidR="00F42C37" w:rsidRPr="00003200">
        <w:rPr>
          <w:b/>
        </w:rPr>
        <w:t>uel</w:t>
      </w:r>
      <w:r w:rsidR="00EF4CA0" w:rsidRPr="00003200">
        <w:rPr>
          <w:b/>
        </w:rPr>
        <w:t>Type</w:t>
      </w:r>
      <w:proofErr w:type="spellEnd"/>
      <w:r w:rsidR="00FD6278" w:rsidRPr="00003200">
        <w:rPr>
          <w:b/>
        </w:rPr>
        <w:t>}</w:t>
      </w:r>
      <w:r w:rsidR="007E1FD5" w:rsidRPr="00003200">
        <w:rPr>
          <w:b/>
        </w:rPr>
        <w:t xml:space="preserve"> </w:t>
      </w:r>
      <w:r w:rsidRPr="00003200">
        <w:rPr>
          <w:b/>
        </w:rPr>
        <w:t xml:space="preserve">Rate </w:t>
      </w:r>
      <w:r w:rsidRPr="00003200">
        <w:rPr>
          <w:b/>
        </w:rPr>
        <w:tab/>
      </w:r>
      <w:r w:rsidR="007E1FD5" w:rsidRPr="00003200">
        <w:rPr>
          <w:b/>
        </w:rPr>
        <w:tab/>
      </w:r>
      <w:r w:rsidR="008F4E14" w:rsidRPr="00645CFF">
        <w:t>${FC}</w:t>
      </w:r>
      <w:r w:rsidR="00EC03B3" w:rsidRPr="00645CFF">
        <w:t>/</w:t>
      </w:r>
      <w:r w:rsidRPr="00645CFF">
        <w:t>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15FD84B6" w:rsidR="008E53FA" w:rsidRPr="00645CFF" w:rsidRDefault="00000000">
      <w:pPr>
        <w:spacing w:line="360" w:lineRule="auto"/>
        <w:ind w:firstLine="720"/>
        <w:jc w:val="both"/>
      </w:pPr>
      <w:r w:rsidRPr="00645CFF">
        <w:t xml:space="preserve">A summary of assessment recommendations described in this report is contained in Table 1. If all the recommendations shown in Table 1 were implemented, the </w:t>
      </w:r>
      <w:r w:rsidRPr="004C6E9F">
        <w:rPr>
          <w:b/>
          <w:u w:val="single"/>
        </w:rPr>
        <w:t>total annual cost savings</w:t>
      </w:r>
      <w:r w:rsidRPr="00645CFF">
        <w:t xml:space="preserve"> would be </w:t>
      </w:r>
      <w:r>
        <w:rPr>
          <w:b/>
          <w:u w:val="single"/>
        </w:rPr>
        <w:t>$</w:t>
      </w:r>
      <w:r w:rsidR="00660899">
        <w:rPr>
          <w:b/>
          <w:u w:val="single"/>
        </w:rPr>
        <w:t>{ACS}</w:t>
      </w:r>
      <w:r w:rsidRPr="00003200">
        <w:rPr>
          <w:b/>
        </w:rPr>
        <w:t xml:space="preserve">. </w:t>
      </w:r>
      <w:r w:rsidRPr="00645CFF">
        <w:t xml:space="preserve">The </w:t>
      </w:r>
      <w:r w:rsidRPr="004C6E9F">
        <w:rPr>
          <w:b/>
          <w:u w:val="single"/>
        </w:rPr>
        <w:t>total implementation cost</w:t>
      </w:r>
      <w:r w:rsidRPr="00645CFF">
        <w:t xml:space="preserve"> for these recommendations is </w:t>
      </w:r>
      <w:r>
        <w:rPr>
          <w:b/>
          <w:u w:val="single"/>
        </w:rPr>
        <w:t>$</w:t>
      </w:r>
      <w:r w:rsidR="00660899">
        <w:rPr>
          <w:b/>
          <w:u w:val="single"/>
        </w:rPr>
        <w:t>{IC}</w:t>
      </w:r>
      <w:r w:rsidRPr="00003200">
        <w:rPr>
          <w:b/>
        </w:rPr>
        <w:t>,</w:t>
      </w:r>
      <w:r w:rsidRPr="00645CFF">
        <w:t xml:space="preserve"> with an </w:t>
      </w:r>
      <w:r w:rsidRPr="004C6E9F">
        <w:rPr>
          <w:b/>
          <w:u w:val="single"/>
        </w:rPr>
        <w:t>average payback period</w:t>
      </w:r>
      <w:r w:rsidRPr="00645CFF">
        <w:t xml:space="preserve"> of about </w:t>
      </w:r>
      <w:r w:rsidR="00660899" w:rsidRPr="004C6E9F">
        <w:rPr>
          <w:b/>
          <w:bCs/>
          <w:u w:val="single"/>
        </w:rPr>
        <w:t>$</w:t>
      </w:r>
      <w:r w:rsidR="00660899" w:rsidRPr="0057704D">
        <w:rPr>
          <w:b/>
          <w:bCs/>
          <w:u w:val="single"/>
        </w:rPr>
        <w:t>{</w:t>
      </w:r>
      <w:proofErr w:type="spellStart"/>
      <w:r w:rsidR="00660899" w:rsidRPr="0057704D">
        <w:rPr>
          <w:b/>
          <w:bCs/>
          <w:u w:val="single"/>
        </w:rPr>
        <w:t>PB</w:t>
      </w:r>
      <w:r w:rsidR="00A9539D">
        <w:rPr>
          <w:b/>
          <w:bCs/>
          <w:u w:val="single"/>
        </w:rPr>
        <w:t>str</w:t>
      </w:r>
      <w:proofErr w:type="spellEnd"/>
      <w:r w:rsidR="00660899" w:rsidRPr="0057704D">
        <w:rPr>
          <w:b/>
          <w:bCs/>
          <w:u w:val="single"/>
        </w:rPr>
        <w:t>}</w:t>
      </w:r>
      <w:r w:rsidRPr="00645CFF">
        <w:t xml:space="preserve">. This would save approximately </w:t>
      </w:r>
      <w:r w:rsidR="00444E27">
        <w:rPr>
          <w:b/>
          <w:u w:val="single"/>
        </w:rPr>
        <w:t>${MMBtu}</w:t>
      </w:r>
      <w:r>
        <w:rPr>
          <w:b/>
          <w:u w:val="single"/>
        </w:rPr>
        <w:t xml:space="preserve"> MMBtu</w:t>
      </w:r>
      <w:r w:rsidRPr="004C6E9F">
        <w:rPr>
          <w:b/>
          <w:u w:val="single"/>
        </w:rPr>
        <w:t>/</w:t>
      </w:r>
      <w:proofErr w:type="spellStart"/>
      <w:r w:rsidRPr="004C6E9F">
        <w:rPr>
          <w:b/>
          <w:u w:val="single"/>
        </w:rPr>
        <w:t>yr</w:t>
      </w:r>
      <w:proofErr w:type="spellEnd"/>
      <w:r w:rsidRPr="00003200">
        <w:rPr>
          <w:b/>
        </w:rPr>
        <w:t xml:space="preserve"> </w:t>
      </w:r>
      <w:r w:rsidRPr="00645CFF">
        <w:t xml:space="preserve">or </w:t>
      </w:r>
      <w:r w:rsidR="00444E27">
        <w:rPr>
          <w:b/>
          <w:u w:val="single"/>
        </w:rPr>
        <w:t>${CO2}</w:t>
      </w:r>
      <w:r w:rsidRPr="004C6E9F">
        <w:rPr>
          <w:b/>
          <w:u w:val="single"/>
        </w:rPr>
        <w:t xml:space="preserve"> </w:t>
      </w:r>
      <w:r w:rsidR="001C183D" w:rsidRPr="004C6E9F">
        <w:rPr>
          <w:b/>
          <w:u w:val="single"/>
        </w:rPr>
        <w:t xml:space="preserve">metric </w:t>
      </w:r>
      <w:r w:rsidR="00703B31" w:rsidRPr="004C6E9F">
        <w:rPr>
          <w:b/>
          <w:u w:val="single"/>
        </w:rPr>
        <w:t>tons</w:t>
      </w:r>
      <w:r w:rsidRPr="004C6E9F">
        <w:rPr>
          <w:b/>
          <w:u w:val="single"/>
        </w:rPr>
        <w:t xml:space="preserve"> CO</w:t>
      </w:r>
      <w:r w:rsidRPr="004C6E9F">
        <w:rPr>
          <w:b/>
          <w:u w:val="single"/>
          <w:vertAlign w:val="subscript"/>
        </w:rPr>
        <w:t>2</w:t>
      </w:r>
      <w:r w:rsidRPr="004C6E9F">
        <w:rPr>
          <w:b/>
          <w:u w:val="single"/>
        </w:rPr>
        <w:t>/yr</w:t>
      </w:r>
      <w:r w:rsidRPr="00645CFF">
        <w:t>.</w:t>
      </w:r>
    </w:p>
    <w:p w14:paraId="1E0CC012" w14:textId="787B40AC" w:rsidR="008E53FA" w:rsidRPr="00645CFF" w:rsidRDefault="00000000">
      <w:pPr>
        <w:spacing w:line="360" w:lineRule="auto"/>
        <w:ind w:firstLine="720"/>
        <w:jc w:val="both"/>
      </w:pPr>
      <w:r w:rsidRPr="00645CFF">
        <w:t>Note for electrical energy consumption: a 33% efficiency at the power plant level is considered for conversion from kWh to MMBtu. Tons of CO</w:t>
      </w:r>
      <w:r w:rsidRPr="000D2744">
        <w:rPr>
          <w:vertAlign w:val="subscript"/>
        </w:rPr>
        <w:t>2</w:t>
      </w:r>
      <w:r>
        <w:t xml:space="preserve"> are calculated from the DOE MEASUR Tool where 1.0 MMBtu of </w:t>
      </w:r>
      <w:r w:rsidR="009E3338">
        <w:t>${</w:t>
      </w:r>
      <w:proofErr w:type="spellStart"/>
      <w:r w:rsidR="009E3338">
        <w:t>FuelType</w:t>
      </w:r>
      <w:proofErr w:type="spellEnd"/>
      <w:r w:rsidR="009E3338">
        <w:t>}</w:t>
      </w:r>
      <w:r>
        <w:t xml:space="preserve"> = </w:t>
      </w:r>
      <w:r w:rsidR="00291DAD">
        <w:t>${FuelCO2}</w:t>
      </w:r>
      <w:r>
        <w:t xml:space="preserve"> kg </w:t>
      </w:r>
      <w:r w:rsidRPr="009E3338">
        <w:t>CO</w:t>
      </w:r>
      <w:r w:rsidRPr="009E3338">
        <w:rPr>
          <w:vertAlign w:val="subscript"/>
        </w:rPr>
        <w:t>2</w:t>
      </w:r>
      <w:r w:rsidRPr="009E3338">
        <w:t xml:space="preserve"> and</w:t>
      </w:r>
      <w:r>
        <w:t xml:space="preserve"> 1.0 kWh = 0.</w:t>
      </w:r>
      <w:r w:rsidR="009E3338">
        <w:t>315</w:t>
      </w:r>
      <w:r>
        <w:t xml:space="preserve"> kg CO</w:t>
      </w:r>
      <w:r>
        <w:rPr>
          <w:vertAlign w:val="subscript"/>
        </w:rPr>
        <w:t>2</w:t>
      </w:r>
      <w:r>
        <w:t>.</w:t>
      </w: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Pr="00BE203C" w:rsidRDefault="00000000" w:rsidP="0098333E">
            <w:pPr>
              <w:spacing w:before="60" w:after="60" w:line="276" w:lineRule="auto"/>
              <w:jc w:val="center"/>
              <w:rPr>
                <w:b/>
                <w:bCs/>
                <w:color w:val="000000"/>
              </w:rPr>
            </w:pPr>
            <w:r w:rsidRPr="00003200">
              <w:rPr>
                <w:b/>
                <w:bCs/>
              </w:rPr>
              <w:t xml:space="preserve">Total Annual </w:t>
            </w:r>
            <w:r w:rsidR="000F4AB4" w:rsidRPr="00003200">
              <w:rPr>
                <w:b/>
                <w:bCs/>
              </w:rPr>
              <w:t xml:space="preserve">Cost </w:t>
            </w:r>
            <w:r w:rsidRPr="00003200">
              <w:rPr>
                <w:b/>
                <w:bCs/>
              </w:rPr>
              <w:t>Savings</w:t>
            </w:r>
          </w:p>
        </w:tc>
        <w:tc>
          <w:tcPr>
            <w:tcW w:w="3060" w:type="dxa"/>
            <w:shd w:val="clear" w:color="auto" w:fill="D9D9D9"/>
            <w:vAlign w:val="center"/>
          </w:tcPr>
          <w:p w14:paraId="7C2FE63D" w14:textId="77777777" w:rsidR="008E53FA" w:rsidRPr="00BE203C" w:rsidRDefault="00000000" w:rsidP="0098333E">
            <w:pPr>
              <w:spacing w:before="60" w:after="60" w:line="276" w:lineRule="auto"/>
              <w:jc w:val="center"/>
              <w:rPr>
                <w:b/>
                <w:bCs/>
                <w:color w:val="000000"/>
              </w:rPr>
            </w:pPr>
            <w:r w:rsidRPr="00003200">
              <w:rPr>
                <w:b/>
                <w:bCs/>
              </w:rPr>
              <w:t>Total Implementation Cost</w:t>
            </w:r>
          </w:p>
        </w:tc>
        <w:tc>
          <w:tcPr>
            <w:tcW w:w="2813" w:type="dxa"/>
            <w:shd w:val="clear" w:color="auto" w:fill="D9D9D9"/>
            <w:vAlign w:val="center"/>
          </w:tcPr>
          <w:p w14:paraId="54A0BE0D" w14:textId="77777777" w:rsidR="008E53FA" w:rsidRPr="00BE203C" w:rsidRDefault="00000000" w:rsidP="0098333E">
            <w:pPr>
              <w:spacing w:before="60" w:after="60" w:line="276" w:lineRule="auto"/>
              <w:jc w:val="center"/>
              <w:rPr>
                <w:b/>
                <w:bCs/>
                <w:color w:val="000000"/>
              </w:rPr>
            </w:pPr>
            <w:r w:rsidRPr="00003200">
              <w:rPr>
                <w:b/>
                <w:bCs/>
              </w:rPr>
              <w:t>Average Payback Period</w:t>
            </w:r>
          </w:p>
        </w:tc>
      </w:tr>
      <w:tr w:rsidR="008E53FA" w14:paraId="364514E1" w14:textId="77777777" w:rsidTr="000F4AB4">
        <w:trPr>
          <w:jc w:val="center"/>
        </w:trPr>
        <w:tc>
          <w:tcPr>
            <w:tcW w:w="3055" w:type="dxa"/>
            <w:vAlign w:val="center"/>
          </w:tcPr>
          <w:p w14:paraId="02FDA7B6" w14:textId="229E771E" w:rsidR="008E53FA" w:rsidRPr="00BE203C" w:rsidRDefault="00000000" w:rsidP="0098333E">
            <w:pPr>
              <w:spacing w:before="60" w:after="60" w:line="276" w:lineRule="auto"/>
              <w:jc w:val="center"/>
              <w:rPr>
                <w:b/>
                <w:bCs/>
                <w:color w:val="000000"/>
              </w:rPr>
            </w:pPr>
            <w:r w:rsidRPr="00003200">
              <w:rPr>
                <w:b/>
                <w:bCs/>
              </w:rPr>
              <w:lastRenderedPageBreak/>
              <w:t>$</w:t>
            </w:r>
            <w:r w:rsidR="00A9539D" w:rsidRPr="00003200">
              <w:rPr>
                <w:b/>
                <w:bCs/>
              </w:rPr>
              <w:t>{</w:t>
            </w:r>
            <w:r w:rsidR="001439E2" w:rsidRPr="00003200">
              <w:rPr>
                <w:b/>
                <w:bCs/>
              </w:rPr>
              <w:t>ACS}</w:t>
            </w:r>
          </w:p>
        </w:tc>
        <w:tc>
          <w:tcPr>
            <w:tcW w:w="3060" w:type="dxa"/>
            <w:vAlign w:val="center"/>
          </w:tcPr>
          <w:p w14:paraId="5817A8F0" w14:textId="683FF05D" w:rsidR="008E53FA" w:rsidRPr="00BE203C" w:rsidRDefault="00000000" w:rsidP="0098333E">
            <w:pPr>
              <w:spacing w:before="60" w:after="60" w:line="276" w:lineRule="auto"/>
              <w:jc w:val="center"/>
              <w:rPr>
                <w:b/>
                <w:bCs/>
                <w:color w:val="000000"/>
              </w:rPr>
            </w:pPr>
            <w:r w:rsidRPr="00003200">
              <w:rPr>
                <w:b/>
                <w:bCs/>
              </w:rPr>
              <w:t>$</w:t>
            </w:r>
            <w:r w:rsidR="001439E2" w:rsidRPr="00003200">
              <w:rPr>
                <w:b/>
                <w:bCs/>
              </w:rPr>
              <w:t>{IC}</w:t>
            </w:r>
          </w:p>
        </w:tc>
        <w:tc>
          <w:tcPr>
            <w:tcW w:w="2813" w:type="dxa"/>
            <w:vAlign w:val="center"/>
          </w:tcPr>
          <w:p w14:paraId="1EB8E565" w14:textId="34B348EC" w:rsidR="008E53FA" w:rsidRPr="00BE203C" w:rsidRDefault="00000000" w:rsidP="0098333E">
            <w:pPr>
              <w:spacing w:before="60" w:after="60" w:line="276" w:lineRule="auto"/>
              <w:jc w:val="center"/>
              <w:rPr>
                <w:b/>
                <w:bCs/>
                <w:color w:val="000000"/>
              </w:rPr>
            </w:pPr>
            <w:r w:rsidRPr="00003200">
              <w:rPr>
                <w:b/>
                <w:bCs/>
              </w:rPr>
              <w:t xml:space="preserve"> </w:t>
            </w:r>
            <w:r w:rsidR="001439E2" w:rsidRPr="00003200">
              <w:rPr>
                <w:b/>
                <w:bCs/>
              </w:rPr>
              <w:t>${</w:t>
            </w:r>
            <w:proofErr w:type="spellStart"/>
            <w:r w:rsidR="001439E2" w:rsidRPr="00003200">
              <w:rPr>
                <w:b/>
                <w:bCs/>
              </w:rPr>
              <w:t>PB</w:t>
            </w:r>
            <w:r w:rsidR="00A9539D" w:rsidRPr="00003200">
              <w:rPr>
                <w:b/>
                <w:bCs/>
              </w:rPr>
              <w:t>str</w:t>
            </w:r>
            <w:proofErr w:type="spellEnd"/>
            <w:r w:rsidR="001439E2" w:rsidRPr="00003200">
              <w:rPr>
                <w:b/>
                <w:bCs/>
              </w:rPr>
              <w:t>}</w:t>
            </w:r>
          </w:p>
        </w:tc>
      </w:tr>
    </w:tbl>
    <w:p w14:paraId="6CBC9EA0" w14:textId="1EA8362F" w:rsidR="008E53FA" w:rsidRDefault="00000000" w:rsidP="00AD07DF">
      <w:pPr>
        <w:spacing w:before="120" w:line="360" w:lineRule="auto"/>
        <w:ind w:firstLine="720"/>
        <w:jc w:val="both"/>
      </w:pPr>
      <w:r w:rsidRPr="00645CFF">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sidRPr="00645CFF">
        <w:t>].</w:t>
      </w:r>
    </w:p>
    <w:p w14:paraId="1B1E4C8C" w14:textId="77777777" w:rsidR="008E53FA" w:rsidRDefault="00000000" w:rsidP="0098333E">
      <w:pPr>
        <w:spacing w:before="240" w:after="240" w:line="276" w:lineRule="auto"/>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25B3A74E" w:rsidR="008E53FA" w:rsidRPr="00FA7D97" w:rsidRDefault="00000000" w:rsidP="00FA7D97">
      <w:pPr>
        <w:pStyle w:val="Subtitle"/>
      </w:pPr>
      <w:r w:rsidRPr="00FA7D97">
        <w:lastRenderedPageBreak/>
        <w:t>Assessment Recommendations</w:t>
      </w:r>
    </w:p>
    <w:p w14:paraId="75D67199" w14:textId="5C143970" w:rsidR="008E53FA" w:rsidRDefault="00000000" w:rsidP="00AD07DF">
      <w:pPr>
        <w:spacing w:after="120" w:line="360" w:lineRule="auto"/>
        <w:ind w:firstLine="720"/>
        <w:jc w:val="both"/>
      </w:pPr>
      <w:bookmarkStart w:id="13" w:name="_2et92p0" w:colFirst="0" w:colLast="0"/>
      <w:bookmarkEnd w:id="13"/>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{ACS}</w:t>
      </w:r>
      <w:r w:rsidR="00D52D55" w:rsidRPr="0025356B">
        <w:rPr>
          <w:bCs/>
        </w:rPr>
        <w:t>,</w:t>
      </w:r>
      <w:r>
        <w:t xml:space="preserve"> are given in Table</w:t>
      </w:r>
      <w:r w:rsidRPr="00645CFF">
        <w:t xml:space="preserve"> </w:t>
      </w:r>
      <w:r>
        <w:t xml:space="preserve">1. </w:t>
      </w:r>
      <w:r w:rsidR="00CB573A" w:rsidRPr="00CB573A">
        <w:t>&lt;</w:t>
      </w:r>
      <w:r w:rsidR="00CB573A">
        <w:t>A</w:t>
      </w:r>
      <w:r w:rsidR="00A03309">
        <w:t>DD</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w:t>
      </w:r>
      <w:proofErr w:type="spellStart"/>
      <w:r w:rsidR="006B4E00">
        <w:rPr>
          <w:b/>
          <w:u w:val="single"/>
        </w:rPr>
        <w:t>A</w:t>
      </w:r>
      <w:r w:rsidR="00661CA1">
        <w:rPr>
          <w:b/>
          <w:u w:val="single"/>
        </w:rPr>
        <w:t>dd</w:t>
      </w:r>
      <w:r w:rsidR="006B4E00">
        <w:rPr>
          <w:b/>
          <w:u w:val="single"/>
        </w:rPr>
        <w:t>ACS</w:t>
      </w:r>
      <w:proofErr w:type="spellEnd"/>
      <w:r w:rsidR="006B4E00">
        <w:rPr>
          <w:b/>
          <w:u w:val="single"/>
        </w:rPr>
        <w:t>}</w:t>
      </w:r>
      <w:r>
        <w:t xml:space="preserve">, is given in Table </w:t>
      </w:r>
      <w:proofErr w:type="gramStart"/>
      <w:r>
        <w:t>2.</w:t>
      </w:r>
      <w:r w:rsidR="00CB573A">
        <w:t>&lt;</w:t>
      </w:r>
      <w:proofErr w:type="gramEnd"/>
      <w:r w:rsidR="00CB573A">
        <w:t>/A</w:t>
      </w:r>
      <w:r w:rsidR="00A03309">
        <w:t>DD</w:t>
      </w:r>
      <w:r w:rsidR="00CB573A">
        <w:t>&gt;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BE203C" w:rsidRDefault="00000000" w:rsidP="0098333E">
            <w:pPr>
              <w:spacing w:before="60" w:after="60" w:line="276" w:lineRule="auto"/>
              <w:jc w:val="center"/>
              <w:rPr>
                <w:b/>
                <w:bCs/>
                <w:color w:val="000000"/>
              </w:rPr>
            </w:pPr>
            <w:r w:rsidRPr="00003200">
              <w:rPr>
                <w:b/>
                <w:bCs/>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BE203C" w:rsidRDefault="00000000" w:rsidP="0098333E">
            <w:pPr>
              <w:spacing w:before="60" w:after="60" w:line="276" w:lineRule="auto"/>
              <w:jc w:val="center"/>
              <w:rPr>
                <w:b/>
                <w:bCs/>
                <w:color w:val="000000"/>
              </w:rPr>
            </w:pPr>
            <w:r w:rsidRPr="00003200">
              <w:rPr>
                <w:b/>
                <w:bCs/>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BE203C" w:rsidRDefault="00000000" w:rsidP="0098333E">
            <w:pPr>
              <w:spacing w:before="60" w:after="60" w:line="276" w:lineRule="auto"/>
              <w:jc w:val="center"/>
              <w:rPr>
                <w:b/>
                <w:bCs/>
                <w:color w:val="000000"/>
              </w:rPr>
            </w:pPr>
            <w:r w:rsidRPr="00003200">
              <w:rPr>
                <w:b/>
                <w:bCs/>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BE203C" w:rsidRDefault="00000000" w:rsidP="0098333E">
            <w:pPr>
              <w:spacing w:before="60" w:after="60" w:line="276" w:lineRule="auto"/>
              <w:jc w:val="center"/>
              <w:rPr>
                <w:b/>
                <w:bCs/>
                <w:color w:val="000000"/>
              </w:rPr>
            </w:pPr>
            <w:r w:rsidRPr="00003200">
              <w:rPr>
                <w:b/>
                <w:bCs/>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BE203C" w:rsidRDefault="00000000" w:rsidP="0098333E">
            <w:pPr>
              <w:spacing w:before="60" w:after="60" w:line="276" w:lineRule="auto"/>
              <w:jc w:val="center"/>
              <w:rPr>
                <w:b/>
                <w:bCs/>
                <w:color w:val="000000"/>
              </w:rPr>
            </w:pPr>
            <w:r w:rsidRPr="00003200">
              <w:rPr>
                <w:b/>
                <w:bCs/>
              </w:rPr>
              <w:t>Implementation</w:t>
            </w:r>
            <w:r w:rsidRPr="00003200">
              <w:rPr>
                <w:b/>
                <w:bCs/>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BE203C" w:rsidRDefault="00000000" w:rsidP="0098333E">
            <w:pPr>
              <w:spacing w:before="60" w:after="60" w:line="276" w:lineRule="auto"/>
              <w:jc w:val="center"/>
              <w:rPr>
                <w:b/>
                <w:bCs/>
                <w:color w:val="000000"/>
              </w:rPr>
            </w:pPr>
            <w:r w:rsidRPr="00003200">
              <w:rPr>
                <w:b/>
                <w:bCs/>
              </w:rPr>
              <w:t>Pay Back Period (</w:t>
            </w:r>
            <w:proofErr w:type="spellStart"/>
            <w:r w:rsidRPr="00003200">
              <w:rPr>
                <w:b/>
                <w:bCs/>
              </w:rPr>
              <w:t>yrs</w:t>
            </w:r>
            <w:proofErr w:type="spellEnd"/>
            <w:r w:rsidRPr="00003200">
              <w:rPr>
                <w:b/>
                <w:bCs/>
              </w:rPr>
              <w:t>)</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BE203C" w:rsidRDefault="00000000" w:rsidP="0098333E">
            <w:pPr>
              <w:spacing w:before="60" w:after="60" w:line="276" w:lineRule="auto"/>
              <w:jc w:val="center"/>
              <w:rPr>
                <w:b/>
                <w:bCs/>
                <w:color w:val="000000"/>
              </w:rPr>
            </w:pPr>
            <w:r w:rsidRPr="00003200">
              <w:rPr>
                <w:b/>
                <w:bCs/>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BE203C" w:rsidRDefault="00000000" w:rsidP="0098333E">
            <w:pPr>
              <w:spacing w:before="60" w:after="60" w:line="276" w:lineRule="auto"/>
              <w:jc w:val="center"/>
              <w:rPr>
                <w:b/>
                <w:bCs/>
                <w:color w:val="000000"/>
              </w:rPr>
            </w:pPr>
            <w:r w:rsidRPr="00003200">
              <w:rPr>
                <w:b/>
                <w:bCs/>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14739B84" w:rsidR="008E53FA" w:rsidRPr="0098333E" w:rsidRDefault="006A1B24" w:rsidP="00645CFF">
            <w:pPr>
              <w:spacing w:before="60" w:after="60" w:line="276" w:lineRule="auto"/>
              <w:jc w:val="center"/>
              <w:rPr>
                <w:b/>
                <w:bCs/>
                <w:color w:val="000000"/>
              </w:rPr>
            </w:pPr>
            <w:r w:rsidRPr="00003200">
              <w:rPr>
                <w:b/>
                <w:bCs/>
              </w:rPr>
              <w:t>Energy</w:t>
            </w:r>
            <w:r w:rsidRPr="00003200">
              <w:rPr>
                <w:b/>
                <w:bCs/>
              </w:rPr>
              <w:br/>
              <w:t>CO</w:t>
            </w:r>
            <w:r w:rsidRPr="0098333E">
              <w:rPr>
                <w:b/>
                <w:bCs/>
                <w:vertAlign w:val="subscript"/>
              </w:rPr>
              <w:t>2</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693BC7E9" w:rsidR="008E53FA" w:rsidRPr="00BE203C" w:rsidRDefault="00B37F7E" w:rsidP="0098333E">
            <w:pPr>
              <w:spacing w:before="60" w:after="60" w:line="276" w:lineRule="auto"/>
              <w:jc w:val="center"/>
              <w:rPr>
                <w:b/>
                <w:bCs/>
                <w:color w:val="000000"/>
              </w:rPr>
            </w:pPr>
            <w:r w:rsidRPr="00003200">
              <w:rPr>
                <w:b/>
                <w:bCs/>
              </w:rPr>
              <w:t>${MMBtu} MMBtu</w:t>
            </w:r>
            <w:r w:rsidR="006A1B24" w:rsidRPr="00003200">
              <w:rPr>
                <w:b/>
                <w:bCs/>
              </w:rPr>
              <w:br/>
              <w:t xml:space="preserve">${CO2} </w:t>
            </w:r>
            <w:r w:rsidR="001344CB" w:rsidRPr="00003200">
              <w:rPr>
                <w:b/>
                <w:bCs/>
              </w:rPr>
              <w:t xml:space="preserve">metric </w:t>
            </w:r>
            <w:r w:rsidR="006A1B24" w:rsidRPr="00003200">
              <w:rPr>
                <w:b/>
                <w:bCs/>
              </w:rPr>
              <w:t>tons</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5371DD88" w:rsidR="008E53FA" w:rsidRPr="00BE203C" w:rsidRDefault="004A07DA" w:rsidP="00066B4B">
            <w:pPr>
              <w:spacing w:before="60" w:after="60" w:line="276" w:lineRule="auto"/>
              <w:jc w:val="right"/>
              <w:rPr>
                <w:b/>
                <w:bCs/>
                <w:color w:val="000000"/>
              </w:rPr>
            </w:pPr>
            <w:r w:rsidRPr="00003200">
              <w:rPr>
                <w:b/>
                <w:bCs/>
              </w:rPr>
              <w:t>${ACS}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25A8669C" w:rsidR="008E53FA" w:rsidRPr="00BE203C" w:rsidRDefault="00000000" w:rsidP="00066B4B">
            <w:pPr>
              <w:spacing w:before="60" w:after="60" w:line="276" w:lineRule="auto"/>
              <w:jc w:val="right"/>
              <w:rPr>
                <w:b/>
                <w:bCs/>
                <w:color w:val="000000"/>
              </w:rPr>
            </w:pPr>
            <w:r w:rsidRPr="00003200">
              <w:rPr>
                <w:b/>
                <w:bCs/>
              </w:rPr>
              <w:t>$</w:t>
            </w:r>
            <w:r w:rsidR="004A07DA" w:rsidRPr="00003200">
              <w:rPr>
                <w:b/>
                <w:bCs/>
              </w:rPr>
              <w:t>{IC}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4E2C710E" w:rsidR="008E53FA" w:rsidRPr="00BE203C" w:rsidRDefault="004A1E1D" w:rsidP="00066B4B">
            <w:pPr>
              <w:spacing w:before="60" w:after="60" w:line="276" w:lineRule="auto"/>
              <w:jc w:val="right"/>
              <w:rPr>
                <w:b/>
                <w:bCs/>
                <w:color w:val="000000"/>
              </w:rPr>
            </w:pPr>
            <w:r w:rsidRPr="00003200">
              <w:rPr>
                <w:b/>
                <w:bCs/>
              </w:rPr>
              <w:t>${PB}</w:t>
            </w:r>
          </w:p>
        </w:tc>
      </w:tr>
    </w:tbl>
    <w:p w14:paraId="66B3B91A" w14:textId="40A47C6F" w:rsidR="005B302E" w:rsidRPr="009C54F7" w:rsidRDefault="00000000" w:rsidP="009337DB">
      <w:pPr>
        <w:pStyle w:val="Caption"/>
      </w:pPr>
      <w:bookmarkStart w:id="14" w:name="_Toc153712840"/>
      <w:r w:rsidRPr="009C54F7">
        <w:t xml:space="preserve">Table </w:t>
      </w:r>
      <w:r w:rsidR="00251894" w:rsidRPr="009C54F7">
        <w:fldChar w:fldCharType="begin"/>
      </w:r>
      <w:r w:rsidR="00251894" w:rsidRPr="009C54F7">
        <w:instrText xml:space="preserve"> SEQ Table \* ARABIC </w:instrText>
      </w:r>
      <w:r w:rsidR="00251894" w:rsidRPr="009C54F7">
        <w:fldChar w:fldCharType="separate"/>
      </w:r>
      <w:r w:rsidR="00171EBD">
        <w:rPr>
          <w:noProof/>
        </w:rPr>
        <w:t>1</w:t>
      </w:r>
      <w:r w:rsidR="00251894" w:rsidRPr="009C54F7">
        <w:fldChar w:fldCharType="end"/>
      </w:r>
      <w:r w:rsidRPr="009C54F7">
        <w:t xml:space="preserve">: Summary of Assessment </w:t>
      </w:r>
      <w:proofErr w:type="gramStart"/>
      <w:r w:rsidRPr="009C54F7">
        <w:t>Recommendations</w:t>
      </w:r>
      <w:r w:rsidR="00FD0E27" w:rsidRPr="009C54F7">
        <w:t>.</w:t>
      </w:r>
      <w:r w:rsidR="00D70F49" w:rsidRPr="009C54F7">
        <w:t>&lt;</w:t>
      </w:r>
      <w:proofErr w:type="gramEnd"/>
      <w:r w:rsidR="00D70F49" w:rsidRPr="009C54F7">
        <w:t>A</w:t>
      </w:r>
      <w:r w:rsidR="00537A74" w:rsidRPr="009C54F7">
        <w:t>DD</w:t>
      </w:r>
      <w:r w:rsidR="00D70F49" w:rsidRPr="009C54F7">
        <w:t>&gt;</w:t>
      </w:r>
      <w:bookmarkEnd w:id="14"/>
    </w:p>
    <w:p w14:paraId="25E4A996" w14:textId="77777777" w:rsidR="00212103" w:rsidRPr="00003200" w:rsidRDefault="00212103" w:rsidP="00003200">
      <w:pPr>
        <w:jc w:val="center"/>
        <w:rPr>
          <w:bCs/>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BE203C" w:rsidRDefault="005B302E" w:rsidP="0098333E">
            <w:pPr>
              <w:spacing w:before="60" w:after="60" w:line="276" w:lineRule="auto"/>
              <w:jc w:val="center"/>
              <w:rPr>
                <w:b/>
                <w:bCs/>
                <w:color w:val="000000"/>
              </w:rPr>
            </w:pPr>
            <w:r w:rsidRPr="00003200">
              <w:rPr>
                <w:b/>
                <w:bCs/>
              </w:rPr>
              <w:lastRenderedPageBreak/>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BE203C" w:rsidRDefault="005B302E" w:rsidP="0098333E">
            <w:pPr>
              <w:spacing w:before="60" w:after="60" w:line="276" w:lineRule="auto"/>
              <w:jc w:val="center"/>
              <w:rPr>
                <w:b/>
                <w:bCs/>
                <w:color w:val="000000"/>
              </w:rPr>
            </w:pPr>
            <w:r w:rsidRPr="00003200">
              <w:rPr>
                <w:b/>
                <w:bCs/>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BE203C" w:rsidRDefault="005B302E" w:rsidP="0098333E">
            <w:pPr>
              <w:spacing w:before="60" w:after="60" w:line="276" w:lineRule="auto"/>
              <w:jc w:val="center"/>
              <w:rPr>
                <w:b/>
                <w:bCs/>
                <w:color w:val="000000"/>
              </w:rPr>
            </w:pPr>
            <w:r w:rsidRPr="00003200">
              <w:rPr>
                <w:b/>
                <w:bCs/>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BE203C" w:rsidRDefault="005B302E" w:rsidP="0098333E">
            <w:pPr>
              <w:spacing w:before="60" w:after="60" w:line="276" w:lineRule="auto"/>
              <w:jc w:val="center"/>
              <w:rPr>
                <w:b/>
                <w:bCs/>
                <w:color w:val="000000"/>
              </w:rPr>
            </w:pPr>
            <w:r w:rsidRPr="00003200">
              <w:rPr>
                <w:b/>
                <w:bCs/>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BE203C" w:rsidRDefault="005B302E" w:rsidP="0098333E">
            <w:pPr>
              <w:spacing w:before="60" w:after="60" w:line="276" w:lineRule="auto"/>
              <w:jc w:val="center"/>
              <w:rPr>
                <w:b/>
                <w:bCs/>
                <w:color w:val="000000"/>
              </w:rPr>
            </w:pPr>
            <w:r w:rsidRPr="00003200">
              <w:rPr>
                <w:b/>
                <w:bCs/>
              </w:rPr>
              <w:t>Implementation</w:t>
            </w:r>
            <w:r w:rsidRPr="00003200">
              <w:rPr>
                <w:b/>
                <w:bCs/>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BE203C" w:rsidRDefault="005B302E" w:rsidP="0098333E">
            <w:pPr>
              <w:spacing w:before="60" w:after="60" w:line="276" w:lineRule="auto"/>
              <w:jc w:val="center"/>
              <w:rPr>
                <w:b/>
                <w:bCs/>
                <w:color w:val="000000"/>
              </w:rPr>
            </w:pPr>
            <w:r w:rsidRPr="00003200">
              <w:rPr>
                <w:b/>
                <w:bCs/>
              </w:rPr>
              <w:t>Pay Back Period (</w:t>
            </w:r>
            <w:proofErr w:type="spellStart"/>
            <w:r w:rsidRPr="00003200">
              <w:rPr>
                <w:b/>
                <w:bCs/>
              </w:rPr>
              <w:t>yrs</w:t>
            </w:r>
            <w:proofErr w:type="spellEnd"/>
            <w:r w:rsidRPr="00003200">
              <w:rPr>
                <w:b/>
                <w:bCs/>
              </w:rPr>
              <w:t>)</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BE203C" w:rsidRDefault="005B302E" w:rsidP="0098333E">
            <w:pPr>
              <w:spacing w:before="60" w:after="60" w:line="276" w:lineRule="auto"/>
              <w:jc w:val="center"/>
              <w:rPr>
                <w:b/>
                <w:bCs/>
                <w:color w:val="000000"/>
              </w:rPr>
            </w:pPr>
            <w:r w:rsidRPr="00003200">
              <w:rPr>
                <w:b/>
                <w:bCs/>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BE203C" w:rsidRDefault="005B302E" w:rsidP="0098333E">
            <w:pPr>
              <w:spacing w:before="60" w:after="60" w:line="276" w:lineRule="auto"/>
              <w:jc w:val="center"/>
              <w:rPr>
                <w:b/>
                <w:bCs/>
                <w:color w:val="000000"/>
              </w:rPr>
            </w:pPr>
            <w:r w:rsidRPr="00003200">
              <w:rPr>
                <w:b/>
                <w:bCs/>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BE203C" w:rsidRDefault="005B302E" w:rsidP="0098333E">
            <w:pPr>
              <w:spacing w:before="60" w:after="60" w:line="276" w:lineRule="auto"/>
              <w:jc w:val="center"/>
              <w:rPr>
                <w:b/>
                <w:bCs/>
                <w:color w:val="000000"/>
              </w:rPr>
            </w:pPr>
            <w:r w:rsidRPr="00003200">
              <w:rPr>
                <w:b/>
                <w:bCs/>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3E88621E" w:rsidR="005B302E" w:rsidRPr="00BE203C" w:rsidRDefault="005B302E" w:rsidP="0098333E">
            <w:pPr>
              <w:spacing w:before="60" w:after="60" w:line="276" w:lineRule="auto"/>
              <w:jc w:val="center"/>
              <w:rPr>
                <w:b/>
                <w:bCs/>
                <w:color w:val="000000"/>
              </w:rPr>
            </w:pPr>
            <w:r w:rsidRPr="00003200">
              <w:rPr>
                <w:b/>
                <w:bCs/>
              </w:rPr>
              <w:t>${</w:t>
            </w:r>
            <w:proofErr w:type="spellStart"/>
            <w:r w:rsidRPr="00003200">
              <w:rPr>
                <w:b/>
                <w:bCs/>
              </w:rPr>
              <w:t>A</w:t>
            </w:r>
            <w:r w:rsidR="003F63FA" w:rsidRPr="00003200">
              <w:rPr>
                <w:b/>
                <w:bCs/>
              </w:rPr>
              <w:t>dd</w:t>
            </w:r>
            <w:r w:rsidRPr="00003200">
              <w:rPr>
                <w:b/>
                <w:bCs/>
              </w:rPr>
              <w:t>MMBtu</w:t>
            </w:r>
            <w:proofErr w:type="spellEnd"/>
            <w:r w:rsidRPr="00003200">
              <w:rPr>
                <w:b/>
                <w:bCs/>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438523BE" w:rsidR="005B302E" w:rsidRPr="00BE203C" w:rsidRDefault="005B302E" w:rsidP="00066B4B">
            <w:pPr>
              <w:spacing w:before="60" w:after="60" w:line="276" w:lineRule="auto"/>
              <w:jc w:val="right"/>
              <w:rPr>
                <w:b/>
                <w:bCs/>
                <w:color w:val="000000"/>
              </w:rPr>
            </w:pPr>
            <w:r w:rsidRPr="00003200">
              <w:rPr>
                <w:b/>
                <w:bCs/>
              </w:rPr>
              <w:t>${</w:t>
            </w:r>
            <w:proofErr w:type="spellStart"/>
            <w:r w:rsidRPr="00003200">
              <w:rPr>
                <w:b/>
                <w:bCs/>
              </w:rPr>
              <w:t>A</w:t>
            </w:r>
            <w:r w:rsidR="003F63FA" w:rsidRPr="00003200">
              <w:rPr>
                <w:b/>
                <w:bCs/>
              </w:rPr>
              <w:t>dd</w:t>
            </w:r>
            <w:r w:rsidRPr="00003200">
              <w:rPr>
                <w:b/>
                <w:bCs/>
              </w:rPr>
              <w:t>ACS</w:t>
            </w:r>
            <w:proofErr w:type="spellEnd"/>
            <w:r w:rsidRPr="00003200">
              <w:rPr>
                <w:b/>
                <w:bCs/>
              </w:rPr>
              <w:t>}</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3746E1EA" w:rsidR="005B302E" w:rsidRPr="00BE203C" w:rsidRDefault="005B302E" w:rsidP="00066B4B">
            <w:pPr>
              <w:spacing w:before="60" w:after="60" w:line="276" w:lineRule="auto"/>
              <w:jc w:val="right"/>
              <w:rPr>
                <w:b/>
                <w:bCs/>
                <w:color w:val="000000"/>
              </w:rPr>
            </w:pPr>
            <w:r w:rsidRPr="00003200">
              <w:rPr>
                <w:b/>
                <w:bCs/>
              </w:rPr>
              <w:t>${</w:t>
            </w:r>
            <w:proofErr w:type="spellStart"/>
            <w:r w:rsidRPr="00003200">
              <w:rPr>
                <w:b/>
                <w:bCs/>
              </w:rPr>
              <w:t>A</w:t>
            </w:r>
            <w:r w:rsidR="003F63FA" w:rsidRPr="00003200">
              <w:rPr>
                <w:b/>
                <w:bCs/>
              </w:rPr>
              <w:t>dd</w:t>
            </w:r>
            <w:r w:rsidRPr="00003200">
              <w:rPr>
                <w:b/>
                <w:bCs/>
              </w:rPr>
              <w:t>IC</w:t>
            </w:r>
            <w:proofErr w:type="spellEnd"/>
            <w:r w:rsidRPr="00003200">
              <w:rPr>
                <w:b/>
                <w:bCs/>
              </w:rPr>
              <w:t>}</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0D6AC78B" w:rsidR="005B302E" w:rsidRPr="00BE203C" w:rsidRDefault="004A1E1D" w:rsidP="00066B4B">
            <w:pPr>
              <w:spacing w:before="60" w:after="60" w:line="276" w:lineRule="auto"/>
              <w:jc w:val="right"/>
              <w:rPr>
                <w:b/>
                <w:bCs/>
                <w:color w:val="000000"/>
              </w:rPr>
            </w:pPr>
            <w:r w:rsidRPr="00003200">
              <w:rPr>
                <w:b/>
                <w:bCs/>
              </w:rPr>
              <w:t>${</w:t>
            </w:r>
            <w:proofErr w:type="spellStart"/>
            <w:r w:rsidRPr="00003200">
              <w:rPr>
                <w:b/>
                <w:bCs/>
              </w:rPr>
              <w:t>A</w:t>
            </w:r>
            <w:r w:rsidR="003F63FA" w:rsidRPr="00003200">
              <w:rPr>
                <w:b/>
                <w:bCs/>
              </w:rPr>
              <w:t>dd</w:t>
            </w:r>
            <w:r w:rsidRPr="00003200">
              <w:rPr>
                <w:b/>
                <w:bCs/>
              </w:rPr>
              <w:t>PB</w:t>
            </w:r>
            <w:proofErr w:type="spellEnd"/>
            <w:r w:rsidRPr="00003200">
              <w:rPr>
                <w:b/>
                <w:bCs/>
              </w:rPr>
              <w:t>}</w:t>
            </w:r>
          </w:p>
        </w:tc>
      </w:tr>
    </w:tbl>
    <w:p w14:paraId="4FB0DDE5" w14:textId="00D5830E" w:rsidR="00171EBD" w:rsidRPr="00FB5F99" w:rsidRDefault="00000000" w:rsidP="009337DB">
      <w:pPr>
        <w:pStyle w:val="Caption"/>
      </w:pPr>
      <w:bookmarkStart w:id="15" w:name="_Toc153710059"/>
      <w:bookmarkStart w:id="16" w:name="_Toc153712841"/>
      <w:r w:rsidRPr="0086335F">
        <w:t xml:space="preserve">Table </w:t>
      </w:r>
      <w:r w:rsidR="00251894" w:rsidRPr="0086335F">
        <w:fldChar w:fldCharType="begin"/>
      </w:r>
      <w:r w:rsidR="00251894" w:rsidRPr="0086335F">
        <w:instrText xml:space="preserve"> SEQ Table \* ARABIC </w:instrText>
      </w:r>
      <w:r w:rsidR="00251894" w:rsidRPr="0086335F">
        <w:fldChar w:fldCharType="separate"/>
      </w:r>
      <w:r w:rsidR="00171EBD" w:rsidRPr="0086335F">
        <w:t>2</w:t>
      </w:r>
      <w:r w:rsidR="00251894" w:rsidRPr="0086335F">
        <w:fldChar w:fldCharType="end"/>
      </w:r>
      <w:r w:rsidRPr="0086335F">
        <w:t xml:space="preserve">: Summary of Additional Assessment </w:t>
      </w:r>
      <w:proofErr w:type="gramStart"/>
      <w:r w:rsidRPr="0086335F">
        <w:t>Recommendations.</w:t>
      </w:r>
      <w:r w:rsidR="00C4254C" w:rsidRPr="0086335F">
        <w:t>&lt;</w:t>
      </w:r>
      <w:proofErr w:type="gramEnd"/>
      <w:r w:rsidR="00C4254C" w:rsidRPr="0086335F">
        <w:t>/A</w:t>
      </w:r>
      <w:r w:rsidR="00A34FE1" w:rsidRPr="0086335F">
        <w:t>DD</w:t>
      </w:r>
      <w:r w:rsidR="00C40654" w:rsidRPr="0086335F">
        <w:t>&gt;</w:t>
      </w:r>
      <w:bookmarkStart w:id="17" w:name="_26in1rg" w:colFirst="0" w:colLast="0"/>
      <w:bookmarkEnd w:id="15"/>
      <w:bookmarkEnd w:id="16"/>
      <w:bookmarkEnd w:id="17"/>
    </w:p>
    <w:sectPr w:rsidR="00171EBD" w:rsidRPr="00FB5F99" w:rsidSect="000B0D2E">
      <w:footerReference w:type="default" r:id="rId13"/>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3D382" w14:textId="77777777" w:rsidR="000B0D2E" w:rsidRDefault="000B0D2E">
      <w:r>
        <w:separator/>
      </w:r>
    </w:p>
  </w:endnote>
  <w:endnote w:type="continuationSeparator" w:id="0">
    <w:p w14:paraId="053DF886" w14:textId="77777777" w:rsidR="000B0D2E" w:rsidRDefault="000B0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3D71" w14:textId="08022E10" w:rsidR="00AF1612" w:rsidRPr="006379FB" w:rsidRDefault="00AF1612" w:rsidP="006379FB">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A1708" w14:textId="77777777" w:rsidR="000B0D2E" w:rsidRDefault="000B0D2E">
      <w:r>
        <w:separator/>
      </w:r>
    </w:p>
  </w:footnote>
  <w:footnote w:type="continuationSeparator" w:id="0">
    <w:p w14:paraId="387D7797" w14:textId="77777777" w:rsidR="000B0D2E" w:rsidRDefault="000B0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03200"/>
    <w:rsid w:val="000045AD"/>
    <w:rsid w:val="0002781F"/>
    <w:rsid w:val="000333AD"/>
    <w:rsid w:val="000631E4"/>
    <w:rsid w:val="00066B4B"/>
    <w:rsid w:val="00066D5F"/>
    <w:rsid w:val="00074E86"/>
    <w:rsid w:val="00080A22"/>
    <w:rsid w:val="00097059"/>
    <w:rsid w:val="000A26FB"/>
    <w:rsid w:val="000B0D2E"/>
    <w:rsid w:val="000D2601"/>
    <w:rsid w:val="000D2744"/>
    <w:rsid w:val="000D4993"/>
    <w:rsid w:val="000E4BD9"/>
    <w:rsid w:val="000E5BFC"/>
    <w:rsid w:val="000F0029"/>
    <w:rsid w:val="000F4AB4"/>
    <w:rsid w:val="00101A55"/>
    <w:rsid w:val="001063C2"/>
    <w:rsid w:val="00107261"/>
    <w:rsid w:val="00115477"/>
    <w:rsid w:val="00133809"/>
    <w:rsid w:val="001341B3"/>
    <w:rsid w:val="001344CB"/>
    <w:rsid w:val="0013565F"/>
    <w:rsid w:val="001439E2"/>
    <w:rsid w:val="00161C34"/>
    <w:rsid w:val="001719BF"/>
    <w:rsid w:val="00171EBD"/>
    <w:rsid w:val="00174452"/>
    <w:rsid w:val="00176BA5"/>
    <w:rsid w:val="00182AB1"/>
    <w:rsid w:val="00186C03"/>
    <w:rsid w:val="0019595F"/>
    <w:rsid w:val="00197058"/>
    <w:rsid w:val="001A45AC"/>
    <w:rsid w:val="001A7D0F"/>
    <w:rsid w:val="001B404A"/>
    <w:rsid w:val="001C183D"/>
    <w:rsid w:val="001C3C80"/>
    <w:rsid w:val="001D0226"/>
    <w:rsid w:val="001E0A09"/>
    <w:rsid w:val="001F1D37"/>
    <w:rsid w:val="001F3799"/>
    <w:rsid w:val="001F6A6B"/>
    <w:rsid w:val="00201C71"/>
    <w:rsid w:val="002056E7"/>
    <w:rsid w:val="00210502"/>
    <w:rsid w:val="00212103"/>
    <w:rsid w:val="00222DC3"/>
    <w:rsid w:val="00233DAD"/>
    <w:rsid w:val="0025032E"/>
    <w:rsid w:val="002514AE"/>
    <w:rsid w:val="00251894"/>
    <w:rsid w:val="002525F4"/>
    <w:rsid w:val="0025356B"/>
    <w:rsid w:val="002552C9"/>
    <w:rsid w:val="002576C6"/>
    <w:rsid w:val="00275C47"/>
    <w:rsid w:val="00280FDF"/>
    <w:rsid w:val="00285603"/>
    <w:rsid w:val="0029082F"/>
    <w:rsid w:val="00291DAD"/>
    <w:rsid w:val="00292617"/>
    <w:rsid w:val="002928B7"/>
    <w:rsid w:val="002B04C5"/>
    <w:rsid w:val="002B330A"/>
    <w:rsid w:val="002B768E"/>
    <w:rsid w:val="002B7FFC"/>
    <w:rsid w:val="002E192E"/>
    <w:rsid w:val="002E41C5"/>
    <w:rsid w:val="002F21D0"/>
    <w:rsid w:val="002F58E1"/>
    <w:rsid w:val="002F7FCA"/>
    <w:rsid w:val="00310F79"/>
    <w:rsid w:val="0031236C"/>
    <w:rsid w:val="003124B4"/>
    <w:rsid w:val="00323A4B"/>
    <w:rsid w:val="003251BC"/>
    <w:rsid w:val="0033487B"/>
    <w:rsid w:val="00342E0E"/>
    <w:rsid w:val="00345169"/>
    <w:rsid w:val="0036298F"/>
    <w:rsid w:val="003721ED"/>
    <w:rsid w:val="00384F7B"/>
    <w:rsid w:val="00391590"/>
    <w:rsid w:val="00397EA6"/>
    <w:rsid w:val="003A2AFC"/>
    <w:rsid w:val="003B19F6"/>
    <w:rsid w:val="003B347B"/>
    <w:rsid w:val="003B5EF5"/>
    <w:rsid w:val="003B733B"/>
    <w:rsid w:val="003C13E0"/>
    <w:rsid w:val="003F16FF"/>
    <w:rsid w:val="003F63FA"/>
    <w:rsid w:val="003F670E"/>
    <w:rsid w:val="003F6781"/>
    <w:rsid w:val="00403652"/>
    <w:rsid w:val="00403D1F"/>
    <w:rsid w:val="00416656"/>
    <w:rsid w:val="0043177F"/>
    <w:rsid w:val="00433FD8"/>
    <w:rsid w:val="00435991"/>
    <w:rsid w:val="00444E27"/>
    <w:rsid w:val="004479F6"/>
    <w:rsid w:val="00447EF7"/>
    <w:rsid w:val="00452B61"/>
    <w:rsid w:val="00456293"/>
    <w:rsid w:val="00461C36"/>
    <w:rsid w:val="00464CB5"/>
    <w:rsid w:val="00467E82"/>
    <w:rsid w:val="004770D9"/>
    <w:rsid w:val="00484971"/>
    <w:rsid w:val="0049199B"/>
    <w:rsid w:val="00495E01"/>
    <w:rsid w:val="004A07DA"/>
    <w:rsid w:val="004A1E1D"/>
    <w:rsid w:val="004A31D5"/>
    <w:rsid w:val="004A7DCC"/>
    <w:rsid w:val="004B7A34"/>
    <w:rsid w:val="004C6D86"/>
    <w:rsid w:val="004C6E9F"/>
    <w:rsid w:val="004E1E83"/>
    <w:rsid w:val="004F2E49"/>
    <w:rsid w:val="005018B7"/>
    <w:rsid w:val="00506B4E"/>
    <w:rsid w:val="0051319B"/>
    <w:rsid w:val="00517876"/>
    <w:rsid w:val="00537A74"/>
    <w:rsid w:val="00547C2D"/>
    <w:rsid w:val="0056143E"/>
    <w:rsid w:val="00563871"/>
    <w:rsid w:val="00565159"/>
    <w:rsid w:val="00572818"/>
    <w:rsid w:val="005761B5"/>
    <w:rsid w:val="0057704D"/>
    <w:rsid w:val="0058059C"/>
    <w:rsid w:val="00583271"/>
    <w:rsid w:val="00585533"/>
    <w:rsid w:val="005872D9"/>
    <w:rsid w:val="005913B8"/>
    <w:rsid w:val="005B2195"/>
    <w:rsid w:val="005B302E"/>
    <w:rsid w:val="005D24FF"/>
    <w:rsid w:val="005D328F"/>
    <w:rsid w:val="005E6D92"/>
    <w:rsid w:val="005F2615"/>
    <w:rsid w:val="006011D6"/>
    <w:rsid w:val="00602718"/>
    <w:rsid w:val="00605693"/>
    <w:rsid w:val="006151D3"/>
    <w:rsid w:val="00617542"/>
    <w:rsid w:val="00631B4C"/>
    <w:rsid w:val="006379FB"/>
    <w:rsid w:val="00645CFF"/>
    <w:rsid w:val="00660899"/>
    <w:rsid w:val="006615B7"/>
    <w:rsid w:val="00661CA1"/>
    <w:rsid w:val="00665FAA"/>
    <w:rsid w:val="00667A23"/>
    <w:rsid w:val="00671126"/>
    <w:rsid w:val="00675FE4"/>
    <w:rsid w:val="006817B4"/>
    <w:rsid w:val="00691322"/>
    <w:rsid w:val="00696857"/>
    <w:rsid w:val="006A1A3C"/>
    <w:rsid w:val="006A1B24"/>
    <w:rsid w:val="006A37E5"/>
    <w:rsid w:val="006B3E38"/>
    <w:rsid w:val="006B4E00"/>
    <w:rsid w:val="006B64C6"/>
    <w:rsid w:val="006F2633"/>
    <w:rsid w:val="006F2B6F"/>
    <w:rsid w:val="006F5E32"/>
    <w:rsid w:val="007033F9"/>
    <w:rsid w:val="00703B31"/>
    <w:rsid w:val="00727141"/>
    <w:rsid w:val="00747FA2"/>
    <w:rsid w:val="007867D2"/>
    <w:rsid w:val="007955CA"/>
    <w:rsid w:val="007A1426"/>
    <w:rsid w:val="007A1C40"/>
    <w:rsid w:val="007A3DCE"/>
    <w:rsid w:val="007B5847"/>
    <w:rsid w:val="007B688B"/>
    <w:rsid w:val="007C5BC9"/>
    <w:rsid w:val="007E1FD5"/>
    <w:rsid w:val="007E318C"/>
    <w:rsid w:val="007F2E31"/>
    <w:rsid w:val="00802F2C"/>
    <w:rsid w:val="008113AB"/>
    <w:rsid w:val="00822026"/>
    <w:rsid w:val="00835515"/>
    <w:rsid w:val="008375B5"/>
    <w:rsid w:val="008517C0"/>
    <w:rsid w:val="00854AAD"/>
    <w:rsid w:val="00855FD7"/>
    <w:rsid w:val="0086335F"/>
    <w:rsid w:val="00863F53"/>
    <w:rsid w:val="008839E2"/>
    <w:rsid w:val="00887E5F"/>
    <w:rsid w:val="00893316"/>
    <w:rsid w:val="008A2133"/>
    <w:rsid w:val="008A6F8C"/>
    <w:rsid w:val="008A73A9"/>
    <w:rsid w:val="008B2F68"/>
    <w:rsid w:val="008B3969"/>
    <w:rsid w:val="008D031B"/>
    <w:rsid w:val="008D20BE"/>
    <w:rsid w:val="008E53FA"/>
    <w:rsid w:val="008F279F"/>
    <w:rsid w:val="008F4E14"/>
    <w:rsid w:val="009123B8"/>
    <w:rsid w:val="0091285C"/>
    <w:rsid w:val="009129CE"/>
    <w:rsid w:val="00921583"/>
    <w:rsid w:val="009215FD"/>
    <w:rsid w:val="009337DB"/>
    <w:rsid w:val="00946717"/>
    <w:rsid w:val="00954E12"/>
    <w:rsid w:val="00955E7C"/>
    <w:rsid w:val="0096149C"/>
    <w:rsid w:val="00967FEC"/>
    <w:rsid w:val="0097229C"/>
    <w:rsid w:val="0098068E"/>
    <w:rsid w:val="0098333E"/>
    <w:rsid w:val="00985EA9"/>
    <w:rsid w:val="00991DA8"/>
    <w:rsid w:val="00994CBE"/>
    <w:rsid w:val="009A408E"/>
    <w:rsid w:val="009A53C4"/>
    <w:rsid w:val="009A7E46"/>
    <w:rsid w:val="009C19C3"/>
    <w:rsid w:val="009C363D"/>
    <w:rsid w:val="009C3EE0"/>
    <w:rsid w:val="009C54F7"/>
    <w:rsid w:val="009C7892"/>
    <w:rsid w:val="009D5842"/>
    <w:rsid w:val="009E3338"/>
    <w:rsid w:val="009E641D"/>
    <w:rsid w:val="009E6E12"/>
    <w:rsid w:val="00A00294"/>
    <w:rsid w:val="00A03309"/>
    <w:rsid w:val="00A03C32"/>
    <w:rsid w:val="00A1042F"/>
    <w:rsid w:val="00A12703"/>
    <w:rsid w:val="00A17664"/>
    <w:rsid w:val="00A32A24"/>
    <w:rsid w:val="00A34FE1"/>
    <w:rsid w:val="00A43764"/>
    <w:rsid w:val="00A43ACD"/>
    <w:rsid w:val="00A5721C"/>
    <w:rsid w:val="00A57CED"/>
    <w:rsid w:val="00A60200"/>
    <w:rsid w:val="00A61DD1"/>
    <w:rsid w:val="00A6428D"/>
    <w:rsid w:val="00A734B1"/>
    <w:rsid w:val="00A81065"/>
    <w:rsid w:val="00A9539D"/>
    <w:rsid w:val="00A95EFF"/>
    <w:rsid w:val="00A97598"/>
    <w:rsid w:val="00AA1D5D"/>
    <w:rsid w:val="00AA27AD"/>
    <w:rsid w:val="00AA304D"/>
    <w:rsid w:val="00AB2900"/>
    <w:rsid w:val="00AB4E62"/>
    <w:rsid w:val="00AC3FC0"/>
    <w:rsid w:val="00AD07DF"/>
    <w:rsid w:val="00AE1D1F"/>
    <w:rsid w:val="00AE60BD"/>
    <w:rsid w:val="00AE759D"/>
    <w:rsid w:val="00AF1612"/>
    <w:rsid w:val="00AF1614"/>
    <w:rsid w:val="00AF2AAC"/>
    <w:rsid w:val="00B07440"/>
    <w:rsid w:val="00B215A7"/>
    <w:rsid w:val="00B2550E"/>
    <w:rsid w:val="00B32685"/>
    <w:rsid w:val="00B3618C"/>
    <w:rsid w:val="00B37F7E"/>
    <w:rsid w:val="00B47D80"/>
    <w:rsid w:val="00B51ED3"/>
    <w:rsid w:val="00B561D1"/>
    <w:rsid w:val="00B91C95"/>
    <w:rsid w:val="00B92121"/>
    <w:rsid w:val="00B92928"/>
    <w:rsid w:val="00BA5A96"/>
    <w:rsid w:val="00BA713B"/>
    <w:rsid w:val="00BB11A1"/>
    <w:rsid w:val="00BB4FA1"/>
    <w:rsid w:val="00BC7AF7"/>
    <w:rsid w:val="00BD59BE"/>
    <w:rsid w:val="00BD6071"/>
    <w:rsid w:val="00BE203C"/>
    <w:rsid w:val="00BF19D9"/>
    <w:rsid w:val="00BF4505"/>
    <w:rsid w:val="00C012B4"/>
    <w:rsid w:val="00C0745F"/>
    <w:rsid w:val="00C146E9"/>
    <w:rsid w:val="00C15AC7"/>
    <w:rsid w:val="00C40654"/>
    <w:rsid w:val="00C4254C"/>
    <w:rsid w:val="00C47E58"/>
    <w:rsid w:val="00C565EF"/>
    <w:rsid w:val="00C63DE7"/>
    <w:rsid w:val="00C662AC"/>
    <w:rsid w:val="00C7474E"/>
    <w:rsid w:val="00C81640"/>
    <w:rsid w:val="00C816CB"/>
    <w:rsid w:val="00C95DFE"/>
    <w:rsid w:val="00CB573A"/>
    <w:rsid w:val="00CC3535"/>
    <w:rsid w:val="00CD034D"/>
    <w:rsid w:val="00CD4426"/>
    <w:rsid w:val="00CD5266"/>
    <w:rsid w:val="00CE7A9C"/>
    <w:rsid w:val="00CF08A0"/>
    <w:rsid w:val="00CF1563"/>
    <w:rsid w:val="00D232A8"/>
    <w:rsid w:val="00D26D2A"/>
    <w:rsid w:val="00D36768"/>
    <w:rsid w:val="00D406F8"/>
    <w:rsid w:val="00D42698"/>
    <w:rsid w:val="00D5227E"/>
    <w:rsid w:val="00D52D55"/>
    <w:rsid w:val="00D70F49"/>
    <w:rsid w:val="00D8654A"/>
    <w:rsid w:val="00DB0CF1"/>
    <w:rsid w:val="00DC1EA3"/>
    <w:rsid w:val="00DD4060"/>
    <w:rsid w:val="00DD5B22"/>
    <w:rsid w:val="00DE32AB"/>
    <w:rsid w:val="00DE6C3B"/>
    <w:rsid w:val="00DF4A09"/>
    <w:rsid w:val="00E00684"/>
    <w:rsid w:val="00E01CB7"/>
    <w:rsid w:val="00E12E80"/>
    <w:rsid w:val="00E13303"/>
    <w:rsid w:val="00E20141"/>
    <w:rsid w:val="00E411B5"/>
    <w:rsid w:val="00E56273"/>
    <w:rsid w:val="00E67B3D"/>
    <w:rsid w:val="00E7576D"/>
    <w:rsid w:val="00E76131"/>
    <w:rsid w:val="00E91476"/>
    <w:rsid w:val="00E92C88"/>
    <w:rsid w:val="00E93710"/>
    <w:rsid w:val="00EB1D52"/>
    <w:rsid w:val="00EB2771"/>
    <w:rsid w:val="00EB37CA"/>
    <w:rsid w:val="00EC03B3"/>
    <w:rsid w:val="00EC2519"/>
    <w:rsid w:val="00ED68E9"/>
    <w:rsid w:val="00ED6B6D"/>
    <w:rsid w:val="00EE2648"/>
    <w:rsid w:val="00EE541D"/>
    <w:rsid w:val="00EF0A56"/>
    <w:rsid w:val="00EF4CA0"/>
    <w:rsid w:val="00F0387D"/>
    <w:rsid w:val="00F26B7B"/>
    <w:rsid w:val="00F349AC"/>
    <w:rsid w:val="00F42C37"/>
    <w:rsid w:val="00F46203"/>
    <w:rsid w:val="00F47922"/>
    <w:rsid w:val="00F51927"/>
    <w:rsid w:val="00F57AA4"/>
    <w:rsid w:val="00F62281"/>
    <w:rsid w:val="00F64E12"/>
    <w:rsid w:val="00F71D4E"/>
    <w:rsid w:val="00F80CAF"/>
    <w:rsid w:val="00F907E5"/>
    <w:rsid w:val="00F90BA6"/>
    <w:rsid w:val="00F9464A"/>
    <w:rsid w:val="00FA30D6"/>
    <w:rsid w:val="00FA36A4"/>
    <w:rsid w:val="00FA7D97"/>
    <w:rsid w:val="00FB5F99"/>
    <w:rsid w:val="00FD0E27"/>
    <w:rsid w:val="00FD175F"/>
    <w:rsid w:val="00FD6278"/>
    <w:rsid w:val="00FE203A"/>
    <w:rsid w:val="00FE3337"/>
    <w:rsid w:val="00FE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A3C"/>
  </w:style>
  <w:style w:type="paragraph" w:styleId="Heading1">
    <w:name w:val="heading 1"/>
    <w:basedOn w:val="Normal"/>
    <w:next w:val="Normal"/>
    <w:autoRedefine/>
    <w:uiPriority w:val="9"/>
    <w:qFormat/>
    <w:rsid w:val="00667A23"/>
    <w:pPr>
      <w:keepNext/>
      <w:spacing w:before="120" w:line="360" w:lineRule="auto"/>
      <w:jc w:val="center"/>
      <w:outlineLvl w:val="0"/>
    </w:pPr>
    <w:rPr>
      <w:b/>
      <w:caps/>
    </w:rPr>
  </w:style>
  <w:style w:type="paragraph" w:styleId="Heading2">
    <w:name w:val="heading 2"/>
    <w:basedOn w:val="Normal"/>
    <w:next w:val="Normal"/>
    <w:autoRedefine/>
    <w:uiPriority w:val="9"/>
    <w:unhideWhenUsed/>
    <w:rsid w:val="004A31D5"/>
    <w:pPr>
      <w:keepNext/>
      <w:spacing w:before="120" w:line="360" w:lineRule="auto"/>
      <w:outlineLvl w:val="1"/>
    </w:pPr>
    <w:rPr>
      <w:b/>
      <w:szCs w:val="28"/>
    </w:rPr>
  </w:style>
  <w:style w:type="paragraph" w:styleId="Heading3">
    <w:name w:val="heading 3"/>
    <w:basedOn w:val="Normal"/>
    <w:next w:val="Normal"/>
    <w:autoRedefine/>
    <w:uiPriority w:val="9"/>
    <w:unhideWhenUsed/>
    <w:rsid w:val="004A31D5"/>
    <w:pPr>
      <w:keepNext/>
      <w:spacing w:before="120" w:line="360" w:lineRule="auto"/>
      <w:outlineLvl w:val="2"/>
    </w:pPr>
    <w:rPr>
      <w:b/>
    </w:rPr>
  </w:style>
  <w:style w:type="paragraph" w:styleId="Heading4">
    <w:name w:val="heading 4"/>
    <w:basedOn w:val="Normal"/>
    <w:next w:val="Normal"/>
    <w:uiPriority w:val="9"/>
    <w:semiHidden/>
    <w:unhideWhenUsed/>
    <w:pPr>
      <w:keepNext/>
      <w:spacing w:line="480" w:lineRule="auto"/>
      <w:outlineLvl w:val="3"/>
    </w:pPr>
    <w:rPr>
      <w:b/>
      <w:u w:val="single"/>
    </w:rPr>
  </w:style>
  <w:style w:type="paragraph" w:styleId="Heading5">
    <w:name w:val="heading 5"/>
    <w:basedOn w:val="Normal"/>
    <w:next w:val="Normal"/>
    <w:uiPriority w:val="9"/>
    <w:semiHidden/>
    <w:unhideWhenUsed/>
    <w:pPr>
      <w:keepNext/>
      <w:spacing w:line="360" w:lineRule="auto"/>
      <w:jc w:val="center"/>
      <w:outlineLvl w:val="4"/>
    </w:pPr>
    <w:rPr>
      <w:b/>
      <w:sz w:val="28"/>
      <w:szCs w:val="28"/>
    </w:rPr>
  </w:style>
  <w:style w:type="paragraph" w:styleId="Heading6">
    <w:name w:val="heading 6"/>
    <w:basedOn w:val="Normal"/>
    <w:next w:val="Normal"/>
    <w:uiPriority w:val="9"/>
    <w:semiHidden/>
    <w:unhideWhenUsed/>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autoRedefine/>
    <w:uiPriority w:val="11"/>
    <w:qFormat/>
    <w:rsid w:val="00FA7D97"/>
    <w:pPr>
      <w:spacing w:before="120" w:line="360" w:lineRule="auto"/>
    </w:pPr>
    <w:rPr>
      <w:rFonts w:eastAsia="Cambria" w:cs="Cambria"/>
      <w:b/>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Caption">
    <w:name w:val="caption"/>
    <w:basedOn w:val="Normal"/>
    <w:next w:val="Normal"/>
    <w:autoRedefine/>
    <w:uiPriority w:val="35"/>
    <w:unhideWhenUsed/>
    <w:qFormat/>
    <w:rsid w:val="009337DB"/>
    <w:pPr>
      <w:spacing w:before="120" w:line="360" w:lineRule="auto"/>
      <w:jc w:val="center"/>
    </w:pPr>
    <w:rPr>
      <w:b/>
      <w:iCs/>
      <w:szCs w:val="18"/>
    </w:rPr>
  </w:style>
  <w:style w:type="paragraph" w:styleId="TOC1">
    <w:name w:val="toc 1"/>
    <w:basedOn w:val="Normal"/>
    <w:next w:val="Normal"/>
    <w:autoRedefine/>
    <w:uiPriority w:val="39"/>
    <w:unhideWhenUsed/>
    <w:qFormat/>
    <w:rsid w:val="006011D6"/>
    <w:pPr>
      <w:spacing w:before="120"/>
      <w:jc w:val="both"/>
    </w:pPr>
  </w:style>
  <w:style w:type="paragraph" w:styleId="Revision">
    <w:name w:val="Revision"/>
    <w:hidden/>
    <w:uiPriority w:val="99"/>
    <w:semiHidden/>
    <w:rsid w:val="000E5BFC"/>
  </w:style>
  <w:style w:type="character" w:styleId="Hyperlink">
    <w:name w:val="Hyperlink"/>
    <w:basedOn w:val="DefaultParagraphFont"/>
    <w:uiPriority w:val="99"/>
    <w:unhideWhenUsed/>
    <w:rsid w:val="00FB5F99"/>
    <w:rPr>
      <w:color w:val="0000FF" w:themeColor="hyperlink"/>
      <w:u w:val="single"/>
    </w:rPr>
  </w:style>
  <w:style w:type="paragraph" w:styleId="TableofFigures">
    <w:name w:val="table of figures"/>
    <w:basedOn w:val="Normal"/>
    <w:next w:val="Normal"/>
    <w:autoRedefine/>
    <w:uiPriority w:val="99"/>
    <w:unhideWhenUsed/>
    <w:qFormat/>
    <w:rsid w:val="00066D5F"/>
    <w:pPr>
      <w:spacing w:before="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366</cp:revision>
  <dcterms:created xsi:type="dcterms:W3CDTF">2023-09-11T14:53:00Z</dcterms:created>
  <dcterms:modified xsi:type="dcterms:W3CDTF">2024-05-26T17:52:00Z</dcterms:modified>
</cp:coreProperties>
</file>