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E3699" w14:textId="30BE233E" w:rsidR="003C451B" w:rsidRPr="000921E1" w:rsidRDefault="00774E87" w:rsidP="00451AAC">
      <w:pPr>
        <w:pStyle w:val="Heading1"/>
        <w:spacing w:before="0" w:after="0" w:line="360" w:lineRule="auto"/>
        <w:jc w:val="center"/>
        <w:rPr>
          <w:b w:val="0"/>
          <w:sz w:val="44"/>
          <w:szCs w:val="44"/>
        </w:rPr>
      </w:pPr>
      <w:r w:rsidRPr="000921E1">
        <w:rPr>
          <w:sz w:val="24"/>
          <w:szCs w:val="24"/>
        </w:rPr>
        <w:t>R</w:t>
      </w:r>
      <w:r w:rsidR="00A4720E">
        <w:rPr>
          <w:sz w:val="24"/>
          <w:szCs w:val="24"/>
        </w:rPr>
        <w:t>ecommendation</w:t>
      </w:r>
      <w:r w:rsidRPr="000921E1">
        <w:rPr>
          <w:sz w:val="24"/>
          <w:szCs w:val="24"/>
        </w:rPr>
        <w:t xml:space="preserve"> </w:t>
      </w:r>
      <w:r w:rsidR="00410575" w:rsidRPr="000921E1">
        <w:rPr>
          <w:sz w:val="24"/>
          <w:szCs w:val="24"/>
        </w:rPr>
        <w:t>${</w:t>
      </w:r>
      <w:r w:rsidR="00A4720E">
        <w:rPr>
          <w:sz w:val="24"/>
          <w:szCs w:val="24"/>
        </w:rPr>
        <w:t>REC</w:t>
      </w:r>
      <w:r w:rsidR="00410575" w:rsidRPr="000921E1">
        <w:rPr>
          <w:sz w:val="24"/>
          <w:szCs w:val="24"/>
        </w:rPr>
        <w:t>}</w:t>
      </w:r>
      <w:r w:rsidRPr="000921E1">
        <w:rPr>
          <w:sz w:val="24"/>
          <w:szCs w:val="24"/>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F2734F">
      <w:pPr>
        <w:keepNext/>
        <w:spacing w:before="120" w:after="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C06BD1" w14:paraId="0DE2DBF7" w14:textId="77777777" w:rsidTr="00C06BD1">
        <w:trPr>
          <w:jc w:val="center"/>
        </w:trPr>
        <w:tc>
          <w:tcPr>
            <w:tcW w:w="3703" w:type="dxa"/>
            <w:vAlign w:val="center"/>
          </w:tcPr>
          <w:p w14:paraId="7DF69D89" w14:textId="6CFFB240" w:rsidR="00C06BD1" w:rsidRDefault="00C06BD1" w:rsidP="0091599D">
            <w:pPr>
              <w:spacing w:before="60" w:after="60"/>
            </w:pPr>
            <w:r>
              <w:t>Recommendation Type</w:t>
            </w:r>
          </w:p>
        </w:tc>
        <w:tc>
          <w:tcPr>
            <w:tcW w:w="2222" w:type="dxa"/>
            <w:vAlign w:val="center"/>
          </w:tcPr>
          <w:p w14:paraId="79069DDB" w14:textId="75D78C49" w:rsidR="00C06BD1" w:rsidRDefault="00C06BD1" w:rsidP="0091599D">
            <w:pPr>
              <w:spacing w:before="60" w:after="60"/>
            </w:pPr>
            <w:r>
              <w:t>Lighting</w:t>
            </w:r>
          </w:p>
        </w:tc>
      </w:tr>
      <w:tr w:rsidR="003C451B" w14:paraId="37533877" w14:textId="77777777" w:rsidTr="00C06BD1">
        <w:trPr>
          <w:jc w:val="center"/>
        </w:trPr>
        <w:tc>
          <w:tcPr>
            <w:tcW w:w="3703" w:type="dxa"/>
            <w:vAlign w:val="center"/>
          </w:tcPr>
          <w:p w14:paraId="22810C30" w14:textId="77777777" w:rsidR="003C451B" w:rsidRDefault="00774E87" w:rsidP="0091599D">
            <w:pPr>
              <w:spacing w:before="60" w:after="60"/>
            </w:pPr>
            <w:r>
              <w:t>Annual Cost Saving</w:t>
            </w:r>
          </w:p>
        </w:tc>
        <w:tc>
          <w:tcPr>
            <w:tcW w:w="2222" w:type="dxa"/>
            <w:vAlign w:val="center"/>
          </w:tcPr>
          <w:p w14:paraId="4BBD46D5" w14:textId="10A78CBB" w:rsidR="003C451B" w:rsidRDefault="007F6735" w:rsidP="0091599D">
            <w:pPr>
              <w:spacing w:before="60" w:after="60"/>
            </w:pPr>
            <w:r>
              <w:t>${ACS}</w:t>
            </w:r>
          </w:p>
        </w:tc>
      </w:tr>
      <w:tr w:rsidR="003C451B" w14:paraId="28D6E9E4" w14:textId="77777777" w:rsidTr="00C06BD1">
        <w:trPr>
          <w:jc w:val="center"/>
        </w:trPr>
        <w:tc>
          <w:tcPr>
            <w:tcW w:w="3703" w:type="dxa"/>
            <w:vAlign w:val="center"/>
          </w:tcPr>
          <w:p w14:paraId="0EA9F3F7" w14:textId="77777777" w:rsidR="003C451B" w:rsidRDefault="00774E87" w:rsidP="0091599D">
            <w:pPr>
              <w:spacing w:before="60" w:after="60"/>
            </w:pPr>
            <w:r>
              <w:t>Implementation Cost</w:t>
            </w:r>
          </w:p>
        </w:tc>
        <w:tc>
          <w:tcPr>
            <w:tcW w:w="2222" w:type="dxa"/>
            <w:vAlign w:val="center"/>
          </w:tcPr>
          <w:p w14:paraId="29011031" w14:textId="06CEA213" w:rsidR="003C451B" w:rsidRDefault="007F6735" w:rsidP="0091599D">
            <w:pPr>
              <w:spacing w:before="60" w:after="60"/>
            </w:pPr>
            <w:r>
              <w:t>${MIC}</w:t>
            </w:r>
          </w:p>
        </w:tc>
      </w:tr>
      <w:tr w:rsidR="003C451B" w14:paraId="10551388" w14:textId="77777777" w:rsidTr="00C06BD1">
        <w:trPr>
          <w:jc w:val="center"/>
        </w:trPr>
        <w:tc>
          <w:tcPr>
            <w:tcW w:w="3703" w:type="dxa"/>
            <w:vAlign w:val="center"/>
          </w:tcPr>
          <w:p w14:paraId="57D78B3F" w14:textId="77777777" w:rsidR="003C451B" w:rsidRDefault="00774E87" w:rsidP="0091599D">
            <w:pPr>
              <w:spacing w:before="60" w:after="60"/>
            </w:pPr>
            <w:r>
              <w:t>Payback Period</w:t>
            </w:r>
          </w:p>
        </w:tc>
        <w:tc>
          <w:tcPr>
            <w:tcW w:w="2222" w:type="dxa"/>
            <w:vAlign w:val="center"/>
          </w:tcPr>
          <w:p w14:paraId="0305CB4E" w14:textId="7BD3EC97" w:rsidR="003C451B" w:rsidRDefault="007F6735" w:rsidP="0091599D">
            <w:pPr>
              <w:spacing w:before="60" w:after="60"/>
            </w:pPr>
            <w:r>
              <w:t>${</w:t>
            </w:r>
            <w:r w:rsidR="00F11454">
              <w:t>M</w:t>
            </w:r>
            <w:r>
              <w:t>P</w:t>
            </w:r>
            <w:r w:rsidR="00AE3534">
              <w:t>B</w:t>
            </w:r>
            <w:r>
              <w:t>}</w:t>
            </w:r>
          </w:p>
        </w:tc>
      </w:tr>
      <w:tr w:rsidR="003C451B" w14:paraId="7F1BF897" w14:textId="77777777" w:rsidTr="00C06BD1">
        <w:trPr>
          <w:jc w:val="center"/>
        </w:trPr>
        <w:tc>
          <w:tcPr>
            <w:tcW w:w="3703" w:type="dxa"/>
            <w:vAlign w:val="center"/>
          </w:tcPr>
          <w:p w14:paraId="2ADAF19F" w14:textId="77777777" w:rsidR="003C451B" w:rsidRDefault="00774E87" w:rsidP="0091599D">
            <w:pPr>
              <w:spacing w:before="60" w:after="60"/>
            </w:pPr>
            <w:r>
              <w:t>Annual Electricity Savings</w:t>
            </w:r>
          </w:p>
        </w:tc>
        <w:tc>
          <w:tcPr>
            <w:tcW w:w="2222" w:type="dxa"/>
            <w:vAlign w:val="center"/>
          </w:tcPr>
          <w:p w14:paraId="2C74277F" w14:textId="221E3E3A" w:rsidR="003C451B" w:rsidRDefault="007F6735" w:rsidP="0091599D">
            <w:pPr>
              <w:spacing w:before="60" w:after="60"/>
            </w:pPr>
            <w:r>
              <w:t>${ES}</w:t>
            </w:r>
            <w:r w:rsidR="004205BE">
              <w:t xml:space="preserve"> </w:t>
            </w:r>
            <w:r w:rsidR="00774E87">
              <w:t>kWh</w:t>
            </w:r>
          </w:p>
        </w:tc>
      </w:tr>
      <w:tr w:rsidR="003C451B" w14:paraId="24DB5526" w14:textId="77777777" w:rsidTr="00C06BD1">
        <w:trPr>
          <w:jc w:val="center"/>
        </w:trPr>
        <w:tc>
          <w:tcPr>
            <w:tcW w:w="3703" w:type="dxa"/>
            <w:vAlign w:val="center"/>
          </w:tcPr>
          <w:p w14:paraId="6F1CC7AB" w14:textId="77777777" w:rsidR="003C451B" w:rsidRDefault="00774E87" w:rsidP="0091599D">
            <w:pPr>
              <w:spacing w:before="60" w:after="60"/>
            </w:pPr>
            <w:r>
              <w:t>Annual Demand Savings</w:t>
            </w:r>
          </w:p>
        </w:tc>
        <w:tc>
          <w:tcPr>
            <w:tcW w:w="2222" w:type="dxa"/>
            <w:vAlign w:val="center"/>
          </w:tcPr>
          <w:p w14:paraId="3E24CD0E" w14:textId="6BC968BD" w:rsidR="003C451B" w:rsidRDefault="007F6735" w:rsidP="0091599D">
            <w:pPr>
              <w:spacing w:before="60" w:after="60"/>
            </w:pPr>
            <w:r>
              <w:t>${DS}</w:t>
            </w:r>
            <w:r w:rsidR="00774E87">
              <w:t xml:space="preserve"> kW</w:t>
            </w:r>
          </w:p>
        </w:tc>
      </w:tr>
      <w:tr w:rsidR="003C451B" w14:paraId="207F4197" w14:textId="77777777" w:rsidTr="00C06BD1">
        <w:trPr>
          <w:jc w:val="center"/>
        </w:trPr>
        <w:tc>
          <w:tcPr>
            <w:tcW w:w="3703" w:type="dxa"/>
            <w:vAlign w:val="center"/>
          </w:tcPr>
          <w:p w14:paraId="0D5E5C17" w14:textId="77777777" w:rsidR="003C451B" w:rsidRDefault="00774E87" w:rsidP="0091599D">
            <w:pPr>
              <w:spacing w:before="60" w:after="60"/>
            </w:pPr>
            <w:r>
              <w:t>ARC Number</w:t>
            </w:r>
          </w:p>
        </w:tc>
        <w:tc>
          <w:tcPr>
            <w:tcW w:w="2222" w:type="dxa"/>
            <w:vAlign w:val="center"/>
          </w:tcPr>
          <w:p w14:paraId="77FF8431" w14:textId="77777777" w:rsidR="003C451B" w:rsidRDefault="00774E87" w:rsidP="0091599D">
            <w:pPr>
              <w:spacing w:before="60" w:after="60"/>
            </w:pPr>
            <w:r>
              <w:t>2.7142.3</w:t>
            </w:r>
          </w:p>
        </w:tc>
      </w:tr>
    </w:tbl>
    <w:p w14:paraId="4D040603" w14:textId="40CFCC5C" w:rsidR="003C451B" w:rsidRDefault="00774E87" w:rsidP="00F2734F">
      <w:pPr>
        <w:spacing w:before="240" w:line="360" w:lineRule="auto"/>
        <w:rPr>
          <w:b/>
        </w:rPr>
      </w:pPr>
      <w:r>
        <w:rPr>
          <w:b/>
        </w:rPr>
        <w:t>Current Practice and Observations</w:t>
      </w:r>
    </w:p>
    <w:p w14:paraId="7EDFAE53" w14:textId="365BD604" w:rsidR="000A4F5E" w:rsidRPr="000A4F5E" w:rsidRDefault="00E443AD" w:rsidP="00E443AD">
      <w:pPr>
        <w:spacing w:line="360" w:lineRule="auto"/>
        <w:jc w:val="both"/>
        <w:rPr>
          <w:bCs/>
        </w:rPr>
      </w:pPr>
      <w:r>
        <w:rPr>
          <w:bCs/>
        </w:rPr>
        <w:tab/>
      </w:r>
      <w:r w:rsidR="000A4F5E" w:rsidRPr="000A4F5E">
        <w:rPr>
          <w:bCs/>
        </w:rPr>
        <w:t xml:space="preserve">Replacing the old lights with new light emitting diode (LED) lights inside the plant will save energy. This </w:t>
      </w:r>
      <w:r w:rsidR="00A4720E">
        <w:rPr>
          <w:bCs/>
        </w:rPr>
        <w:t>recommendation</w:t>
      </w:r>
      <w:r w:rsidR="000A4F5E" w:rsidRPr="000A4F5E">
        <w:rPr>
          <w:bCs/>
        </w:rPr>
        <w:t xml:space="preserve"> will indicate the additional savings realized by replacing all existing old lights with new, reliable, and highly-efficient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790B87FC" w:rsidR="00D556A8" w:rsidRDefault="00E068ED" w:rsidP="00E068ED">
      <w:pPr>
        <w:pBdr>
          <w:top w:val="nil"/>
          <w:left w:val="nil"/>
          <w:bottom w:val="nil"/>
          <w:right w:val="nil"/>
          <w:between w:val="nil"/>
        </w:pBdr>
        <w:spacing w:line="360" w:lineRule="auto"/>
        <w:jc w:val="both"/>
      </w:pPr>
      <w:bookmarkStart w:id="0" w:name="_heading=h.30j0zll" w:colFirst="0" w:colLast="0"/>
      <w:bookmarkEnd w:id="0"/>
      <w:r>
        <w:tab/>
      </w:r>
      <w:r w:rsidR="002D6296"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w:t>
      </w:r>
      <w:r w:rsidR="002D6296"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r w:rsidR="00A162D5">
        <w:t>number</w:t>
      </w:r>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692DC24E">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1"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1"/>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7FCF4" w14:textId="77777777" w:rsidR="00DB1174" w:rsidRDefault="00DB1174" w:rsidP="00D556A8">
      <w:r>
        <w:separator/>
      </w:r>
    </w:p>
  </w:endnote>
  <w:endnote w:type="continuationSeparator" w:id="0">
    <w:p w14:paraId="38ABF57D" w14:textId="77777777" w:rsidR="00DB1174" w:rsidRDefault="00DB1174"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41CED" w14:textId="77777777" w:rsidR="00DB1174" w:rsidRDefault="00DB1174" w:rsidP="00D556A8">
      <w:r>
        <w:separator/>
      </w:r>
    </w:p>
  </w:footnote>
  <w:footnote w:type="continuationSeparator" w:id="0">
    <w:p w14:paraId="5ED3ADFD" w14:textId="77777777" w:rsidR="00DB1174" w:rsidRDefault="00DB1174"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1E1"/>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A2B15"/>
    <w:rsid w:val="001B236A"/>
    <w:rsid w:val="001B3167"/>
    <w:rsid w:val="001B619E"/>
    <w:rsid w:val="001D2886"/>
    <w:rsid w:val="001D4E2E"/>
    <w:rsid w:val="001D7505"/>
    <w:rsid w:val="001E1EC6"/>
    <w:rsid w:val="001E221A"/>
    <w:rsid w:val="001E504B"/>
    <w:rsid w:val="001F3D33"/>
    <w:rsid w:val="001F4330"/>
    <w:rsid w:val="001F4C98"/>
    <w:rsid w:val="00202415"/>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24AD3"/>
    <w:rsid w:val="0055244C"/>
    <w:rsid w:val="005638A5"/>
    <w:rsid w:val="00564A92"/>
    <w:rsid w:val="00571341"/>
    <w:rsid w:val="00573EEE"/>
    <w:rsid w:val="005813C4"/>
    <w:rsid w:val="0059155E"/>
    <w:rsid w:val="00594727"/>
    <w:rsid w:val="005A4465"/>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1599D"/>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162D5"/>
    <w:rsid w:val="00A24BB0"/>
    <w:rsid w:val="00A3444F"/>
    <w:rsid w:val="00A34E71"/>
    <w:rsid w:val="00A417C3"/>
    <w:rsid w:val="00A45E96"/>
    <w:rsid w:val="00A46AB6"/>
    <w:rsid w:val="00A4720E"/>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06BD1"/>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1174"/>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1454"/>
    <w:rsid w:val="00F17DFA"/>
    <w:rsid w:val="00F23120"/>
    <w:rsid w:val="00F236D1"/>
    <w:rsid w:val="00F2734F"/>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28C6"/>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197</cp:revision>
  <dcterms:created xsi:type="dcterms:W3CDTF">2022-06-24T20:56:00Z</dcterms:created>
  <dcterms:modified xsi:type="dcterms:W3CDTF">2025-06-24T14:02:00Z</dcterms:modified>
</cp:coreProperties>
</file>