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spacing w:before="1540" w:after="240"/>
        <w:jc w:val="center"/>
        <w:rPr>
          <w:color w:val="5B9BD5"/>
        </w:rPr>
      </w:pPr>
      <w:r>
        <w:rPr>
          <w:color w:val="5B9BD5"/>
        </w:rPr>
        <w:drawing>
          <wp:inline distT="0" distB="0" distL="0" distR="0">
            <wp:extent cx="1419225" cy="752475"/>
            <wp:effectExtent l="19050" t="0" r="9525" b="0"/>
            <wp:docPr id="1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-224" b="-8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="黑体" w:hAnsi="黑体" w:eastAsia="黑体"/>
          <w:b/>
          <w:caps/>
          <w:color w:val="5B9BD5"/>
          <w:sz w:val="96"/>
          <w:szCs w:val="96"/>
        </w:rPr>
      </w:pPr>
      <w:r>
        <w:rPr>
          <w:rFonts w:hint="eastAsia" w:ascii="黑体" w:hAnsi="黑体" w:eastAsia="黑体"/>
          <w:b/>
          <w:caps/>
          <w:sz w:val="96"/>
          <w:szCs w:val="96"/>
        </w:rPr>
        <w:t>快递物流系统</w:t>
      </w:r>
    </w:p>
    <w:p>
      <w:pPr>
        <w:pStyle w:val="12"/>
        <w:jc w:val="center"/>
        <w:rPr>
          <w:rFonts w:hint="eastAsia" w:ascii="黑体" w:hAnsi="黑体" w:eastAsia="黑体"/>
          <w:b/>
          <w:color w:val="5B9BD5"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</w:rPr>
        <w:t>系统</w:t>
      </w:r>
      <w:r>
        <w:rPr>
          <w:rFonts w:ascii="黑体" w:hAnsi="黑体" w:eastAsia="黑体"/>
          <w:b/>
          <w:sz w:val="56"/>
          <w:szCs w:val="56"/>
        </w:rPr>
        <w:t>测试用例</w:t>
      </w:r>
      <w:r>
        <w:rPr>
          <w:rFonts w:hint="eastAsia" w:ascii="黑体" w:hAnsi="黑体" w:eastAsia="黑体"/>
          <w:b/>
          <w:sz w:val="56"/>
          <w:szCs w:val="56"/>
        </w:rPr>
        <w:t>及</w:t>
      </w:r>
      <w:r>
        <w:rPr>
          <w:rFonts w:ascii="黑体" w:hAnsi="黑体" w:eastAsia="黑体"/>
          <w:b/>
          <w:sz w:val="56"/>
          <w:szCs w:val="56"/>
        </w:rPr>
        <w:t>测试报告</w:t>
      </w:r>
    </w:p>
    <w:p>
      <w:pPr>
        <w:pStyle w:val="12"/>
        <w:spacing w:before="480"/>
        <w:jc w:val="center"/>
        <w:rPr>
          <w:color w:val="5B9BD5"/>
        </w:rPr>
      </w:pPr>
      <w:r>
        <w:rPr>
          <w:color w:val="5B9BD5"/>
        </w:rPr>
        <w:drawing>
          <wp:inline distT="0" distB="0" distL="0" distR="0">
            <wp:extent cx="762000" cy="485775"/>
            <wp:effectExtent l="19050" t="0" r="0" b="0"/>
            <wp:docPr id="2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4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  <w:bookmarkStart w:id="6" w:name="_GoBack"/>
      <w:bookmarkEnd w:id="6"/>
      <w:r>
        <w:pict>
          <v:shape id="文本框 142" o:spid="_x0000_s2050" o:spt="202" type="#_x0000_t202" style="position:absolute;left:0pt;margin-left:0pt;margin-top:595.6pt;height:173.15pt;width:415.1pt;mso-position-horizontal-relative:margin;mso-position-vertical-relative:page;z-index:251660288;v-text-anchor:bottom;mso-width-relative:margin;mso-height-relative:margin;mso-width-percent:10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FEmWb09AgAAVAQAAA4AAAAAAAAA&#10;AAAAAAAALgIAAGRycy9lMm9Eb2MueG1sUEsBAi0AFAAGAAgAAAAhAOiYQrTaAAAABQEAAA8AAAAA&#10;AAAAAAAAAAAAlwQAAGRycy9kb3ducmV2LnhtbFBLBQYAAAAABAAEAPMAAACeBQAAAAA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pStyle w:val="12"/>
                    <w:spacing w:after="40"/>
                    <w:jc w:val="center"/>
                    <w:rPr>
                      <w:rFonts w:hint="eastAsia" w:ascii="黑体" w:hAnsi="黑体" w:eastAsia="黑体"/>
                      <w:b/>
                      <w:caps/>
                      <w:sz w:val="36"/>
                      <w:szCs w:val="36"/>
                    </w:rPr>
                  </w:pPr>
                  <w:r>
                    <w:rPr>
                      <w:rFonts w:hint="eastAsia" w:ascii="黑体" w:hAnsi="黑体" w:eastAsia="黑体"/>
                      <w:b/>
                      <w:caps/>
                      <w:sz w:val="36"/>
                      <w:szCs w:val="36"/>
                    </w:rPr>
                    <w:t>V</w:t>
                  </w:r>
                  <w:r>
                    <w:rPr>
                      <w:rFonts w:ascii="黑体" w:hAnsi="黑体" w:eastAsia="黑体"/>
                      <w:b/>
                      <w:caps/>
                      <w:sz w:val="36"/>
                      <w:szCs w:val="36"/>
                    </w:rPr>
                    <w:t>1.0</w:t>
                  </w:r>
                  <w:r>
                    <w:rPr>
                      <w:rFonts w:hint="eastAsia" w:ascii="黑体" w:hAnsi="黑体" w:eastAsia="黑体"/>
                      <w:b/>
                      <w:caps/>
                      <w:sz w:val="36"/>
                      <w:szCs w:val="36"/>
                    </w:rPr>
                    <w:t>正式版</w:t>
                  </w:r>
                </w:p>
                <w:p>
                  <w:pPr>
                    <w:pStyle w:val="12"/>
                    <w:spacing w:after="40"/>
                    <w:jc w:val="center"/>
                    <w:rPr>
                      <w:rFonts w:ascii="黑体" w:hAnsi="黑体" w:eastAsia="黑体"/>
                      <w:b/>
                      <w:caps/>
                      <w:sz w:val="36"/>
                      <w:szCs w:val="36"/>
                    </w:rPr>
                  </w:pPr>
                </w:p>
                <w:p>
                  <w:pPr>
                    <w:pStyle w:val="12"/>
                    <w:spacing w:after="40"/>
                    <w:jc w:val="center"/>
                    <w:rPr>
                      <w:rFonts w:ascii="黑体" w:hAnsi="黑体" w:eastAsia="黑体"/>
                      <w:b/>
                      <w:caps/>
                      <w:sz w:val="36"/>
                      <w:szCs w:val="36"/>
                    </w:rPr>
                  </w:pPr>
                  <w:r>
                    <w:rPr>
                      <w:rFonts w:hint="eastAsia" w:ascii="黑体" w:hAnsi="黑体" w:eastAsia="黑体"/>
                      <w:b/>
                      <w:caps/>
                      <w:sz w:val="36"/>
                      <w:szCs w:val="36"/>
                    </w:rPr>
                    <w:t>2015-12-20</w:t>
                  </w:r>
                </w:p>
                <w:p>
                  <w:pPr>
                    <w:pStyle w:val="12"/>
                    <w:spacing w:after="40"/>
                    <w:jc w:val="center"/>
                    <w:rPr>
                      <w:rFonts w:ascii="黑体" w:hAnsi="黑体" w:eastAsia="黑体"/>
                      <w:b/>
                      <w:caps/>
                      <w:color w:val="5B9BD5"/>
                      <w:sz w:val="36"/>
                      <w:szCs w:val="36"/>
                    </w:rPr>
                  </w:pPr>
                </w:p>
                <w:p>
                  <w:pPr>
                    <w:widowControl/>
                    <w:jc w:val="center"/>
                    <w:rPr>
                      <w:rFonts w:hint="eastAsia" w:ascii="黑体" w:hAnsi="黑体" w:eastAsia="黑体"/>
                      <w:b/>
                      <w:sz w:val="36"/>
                      <w:szCs w:val="36"/>
                    </w:rPr>
                  </w:pPr>
                  <w:r>
                    <w:rPr>
                      <w:rFonts w:hint="eastAsia" w:ascii="黑体" w:hAnsi="黑体" w:eastAsia="黑体"/>
                      <w:b/>
                      <w:sz w:val="36"/>
                      <w:szCs w:val="36"/>
                    </w:rPr>
                    <w:t>噔海马小王子Team</w:t>
                  </w:r>
                </w:p>
                <w:p>
                  <w:pPr>
                    <w:pStyle w:val="12"/>
                    <w:jc w:val="center"/>
                    <w:rPr>
                      <w:rFonts w:hint="eastAsia" w:ascii="黑体" w:hAnsi="黑体" w:eastAsia="黑体"/>
                      <w:b/>
                      <w:color w:val="5B9BD5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sz w:val="40"/>
          <w:szCs w:val="40"/>
        </w:rPr>
        <w:br w:type="page"/>
      </w:r>
      <w:r>
        <w:t xml:space="preserve"> </w:t>
      </w:r>
      <w:bookmarkStart w:id="0" w:name="_Toc4775"/>
      <w:bookmarkStart w:id="1" w:name="_Toc2461"/>
      <w:bookmarkStart w:id="2" w:name="_Toc23231"/>
      <w:r>
        <w:rPr>
          <w:rFonts w:hint="eastAsia" w:ascii="宋体" w:hAnsi="宋体" w:cs="宋体"/>
          <w:b/>
          <w:bCs/>
          <w:sz w:val="36"/>
          <w:szCs w:val="36"/>
        </w:rPr>
        <w:t>文档修改历史：</w:t>
      </w: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633"/>
        <w:gridCol w:w="3567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修改人员</w:t>
            </w:r>
          </w:p>
        </w:tc>
        <w:tc>
          <w:tcPr>
            <w:tcW w:w="1633" w:type="dxa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3567" w:type="dxa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修改原因</w:t>
            </w:r>
          </w:p>
        </w:tc>
        <w:tc>
          <w:tcPr>
            <w:tcW w:w="1553" w:type="dxa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全体</w:t>
            </w:r>
            <w:r>
              <w:rPr>
                <w:rFonts w:ascii="宋体" w:hAnsi="宋体"/>
              </w:rPr>
              <w:t>小组成员</w:t>
            </w:r>
          </w:p>
        </w:tc>
        <w:tc>
          <w:tcPr>
            <w:tcW w:w="1633" w:type="dxa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2015/12/20</w:t>
            </w:r>
          </w:p>
        </w:tc>
        <w:tc>
          <w:tcPr>
            <w:tcW w:w="3567" w:type="dxa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测试</w:t>
            </w:r>
            <w:r>
              <w:rPr>
                <w:rFonts w:ascii="宋体" w:hAnsi="宋体"/>
              </w:rPr>
              <w:t>用例测试报告</w:t>
            </w:r>
          </w:p>
        </w:tc>
        <w:tc>
          <w:tcPr>
            <w:tcW w:w="1553" w:type="dxa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 xml:space="preserve">1.0 </w:t>
            </w:r>
            <w:r>
              <w:rPr>
                <w:rFonts w:hint="eastAsia" w:ascii="宋体" w:hAnsi="宋体"/>
              </w:rPr>
              <w:t>正式版</w:t>
            </w:r>
          </w:p>
        </w:tc>
      </w:tr>
    </w:tbl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小组成员：</w:t>
      </w: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Style w:val="8"/>
        <w:tblpPr w:leftFromText="180" w:rightFromText="180" w:vertAnchor="text" w:horzAnchor="margin" w:tblpY="89"/>
        <w:tblW w:w="8296" w:type="dxa"/>
        <w:tblInd w:w="0" w:type="dxa"/>
        <w:tblBorders>
          <w:top w:val="single" w:color="9CC2E5" w:sz="2" w:space="0"/>
          <w:left w:val="none" w:color="auto" w:sz="0" w:space="0"/>
          <w:bottom w:val="single" w:color="9CC2E5" w:sz="2" w:space="0"/>
          <w:right w:val="none" w:color="auto" w:sz="0" w:space="0"/>
          <w:insideH w:val="single" w:color="9CC2E5" w:sz="2" w:space="0"/>
          <w:insideV w:val="single" w:color="9CC2E5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148" w:type="dxa"/>
            <w:shd w:val="clear" w:color="auto" w:fill="DEEAF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曹姝玥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  <w:r>
              <w:t>1250</w:t>
            </w:r>
            <w:r>
              <w:rPr>
                <w:rFonts w:hint="eastAsia"/>
              </w:rPr>
              <w:t>005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雷婷</w:t>
            </w:r>
          </w:p>
        </w:tc>
        <w:tc>
          <w:tcPr>
            <w:tcW w:w="4148" w:type="dxa"/>
            <w:shd w:val="clear" w:color="auto" w:fill="DEEAF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141250061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李莹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141250065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徐海溦</w:t>
            </w:r>
          </w:p>
        </w:tc>
        <w:tc>
          <w:tcPr>
            <w:tcW w:w="4148" w:type="dxa"/>
            <w:shd w:val="clear" w:color="auto" w:fill="DEEAF6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  <w:r>
              <w:t>125015</w:t>
            </w:r>
            <w:r>
              <w:rPr>
                <w:rFonts w:hint="eastAsia"/>
              </w:rPr>
              <w:t>8</w:t>
            </w:r>
          </w:p>
        </w:tc>
      </w:tr>
    </w:tbl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tabs>
          <w:tab w:val="left" w:pos="5610"/>
        </w:tabs>
        <w:jc w:val="left"/>
        <w:rPr>
          <w:rFonts w:ascii="宋体" w:hAnsi="宋体" w:cs="宋体"/>
          <w:sz w:val="36"/>
          <w:szCs w:val="36"/>
        </w:rPr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rFonts w:hint="eastAsia"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spacing w:line="240" w:lineRule="auto"/>
        <w:rPr>
          <w:rFonts w:ascii="宋体" w:hAnsi="宋体" w:cs="宋体"/>
          <w:sz w:val="40"/>
          <w:szCs w:val="40"/>
        </w:rPr>
      </w:pPr>
      <w:r>
        <w:rPr>
          <w:rFonts w:hint="eastAsia" w:ascii="宋体" w:hAnsi="宋体" w:cs="宋体"/>
          <w:sz w:val="40"/>
          <w:szCs w:val="40"/>
        </w:rPr>
        <w:t>引</w:t>
      </w:r>
      <w:bookmarkEnd w:id="0"/>
      <w:bookmarkEnd w:id="1"/>
      <w:r>
        <w:rPr>
          <w:rFonts w:hint="eastAsia" w:ascii="宋体" w:hAnsi="宋体" w:cs="宋体"/>
          <w:sz w:val="40"/>
          <w:szCs w:val="40"/>
        </w:rPr>
        <w:t>言</w:t>
      </w:r>
    </w:p>
    <w:p>
      <w:pPr>
        <w:pStyle w:val="2"/>
        <w:numPr>
          <w:ilvl w:val="1"/>
          <w:numId w:val="1"/>
        </w:numPr>
        <w:tabs>
          <w:tab w:val="left" w:pos="425"/>
          <w:tab w:val="left" w:pos="850"/>
        </w:tabs>
        <w:spacing w:line="24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>简介</w:t>
      </w:r>
    </w:p>
    <w:p>
      <w:pPr>
        <w:ind w:left="840" w:firstLine="420"/>
        <w:jc w:val="left"/>
        <w:rPr>
          <w:rFonts w:hint="eastAsia" w:ascii="宋体" w:hAnsi="宋体"/>
          <w:sz w:val="20"/>
        </w:rPr>
      </w:pPr>
      <w:r>
        <w:rPr>
          <w:rFonts w:hint="eastAsia" w:ascii="宋体" w:hAnsi="宋体" w:cs="宋体"/>
          <w:sz w:val="20"/>
        </w:rPr>
        <w:t>本文档</w:t>
      </w:r>
      <w:r>
        <w:rPr>
          <w:rFonts w:ascii="宋体" w:hAnsi="宋体"/>
          <w:sz w:val="20"/>
        </w:rPr>
        <w:t>为</w:t>
      </w:r>
      <w:r>
        <w:rPr>
          <w:rFonts w:hint="eastAsia" w:ascii="宋体" w:hAnsi="宋体"/>
          <w:sz w:val="20"/>
        </w:rPr>
        <w:t>快递物流系统（ES</w:t>
      </w:r>
      <w:r>
        <w:rPr>
          <w:rFonts w:ascii="宋体" w:hAnsi="宋体"/>
          <w:sz w:val="20"/>
        </w:rPr>
        <w:t>）项目的测试报告，目的在于总结测试阶段的测试以及分析测试结果，描述系统是否符合需求</w:t>
      </w:r>
      <w:r>
        <w:rPr>
          <w:rFonts w:hint="eastAsia" w:ascii="宋体" w:hAnsi="宋体"/>
          <w:sz w:val="20"/>
        </w:rPr>
        <w:t>，达到各用户在快递物流系统中的功能目标</w:t>
      </w:r>
      <w:r>
        <w:rPr>
          <w:rFonts w:ascii="宋体" w:hAnsi="宋体"/>
          <w:sz w:val="20"/>
        </w:rPr>
        <w:t>。</w:t>
      </w:r>
      <w:r>
        <w:rPr>
          <w:rFonts w:hint="eastAsia" w:ascii="宋体" w:hAnsi="宋体" w:cs="宋体"/>
          <w:sz w:val="20"/>
        </w:rPr>
        <w:t>在单元测试的基础上对整个系统进行功能测试，通过模拟系统使用过程中可能出现的各种情况，完善功能的缺失和性能的缺陷，消除编码过程中的BUG；统一系统整体风格，美化用户界面。</w:t>
      </w:r>
      <w:r>
        <w:rPr>
          <w:rFonts w:ascii="宋体" w:hAnsi="宋体"/>
          <w:sz w:val="20"/>
        </w:rPr>
        <w:t>预期参考人员包括用户、测试人员、开发人员、项目管理者、其他质量管理人员和需要阅读本报告的</w:t>
      </w:r>
      <w:r>
        <w:rPr>
          <w:rFonts w:hint="eastAsia" w:ascii="宋体" w:hAnsi="宋体"/>
          <w:sz w:val="20"/>
        </w:rPr>
        <w:t>相关人员。</w:t>
      </w:r>
    </w:p>
    <w:p>
      <w:pPr>
        <w:ind w:left="840" w:firstLine="420"/>
        <w:jc w:val="left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采用标准多级序号样式。</w:t>
      </w:r>
    </w:p>
    <w:p>
      <w:pPr>
        <w:pStyle w:val="2"/>
        <w:numPr>
          <w:ilvl w:val="1"/>
          <w:numId w:val="1"/>
        </w:numPr>
        <w:tabs>
          <w:tab w:val="left" w:pos="425"/>
          <w:tab w:val="left" w:pos="850"/>
        </w:tabs>
        <w:spacing w:line="24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缩略语、定义术语</w:t>
      </w:r>
    </w:p>
    <w:p>
      <w:pPr>
        <w:pStyle w:val="18"/>
        <w:ind w:left="425" w:firstLine="415" w:firstLineChars="0"/>
        <w:rPr>
          <w:rFonts w:hint="eastAsia" w:ascii="宋体" w:hAnsi="宋体" w:cs="宋体"/>
          <w:sz w:val="20"/>
          <w:szCs w:val="21"/>
        </w:rPr>
      </w:pPr>
      <w:bookmarkStart w:id="3" w:name="_Toc13307"/>
      <w:r>
        <w:rPr>
          <w:rFonts w:hint="eastAsia" w:ascii="宋体" w:hAnsi="宋体" w:cs="宋体"/>
          <w:sz w:val="20"/>
          <w:szCs w:val="21"/>
        </w:rPr>
        <w:t>ES:快递物流系统(Express System)</w:t>
      </w:r>
    </w:p>
    <w:p>
      <w:pPr>
        <w:pStyle w:val="2"/>
        <w:numPr>
          <w:ilvl w:val="1"/>
          <w:numId w:val="1"/>
        </w:numPr>
        <w:tabs>
          <w:tab w:val="left" w:pos="425"/>
          <w:tab w:val="left" w:pos="850"/>
        </w:tabs>
        <w:spacing w:line="24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参考文献</w:t>
      </w:r>
      <w:bookmarkEnd w:id="3"/>
    </w:p>
    <w:p>
      <w:pPr>
        <w:numPr>
          <w:ilvl w:val="0"/>
          <w:numId w:val="2"/>
        </w:numPr>
        <w:jc w:val="left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IEEE标准。</w:t>
      </w:r>
    </w:p>
    <w:p>
      <w:pPr>
        <w:numPr>
          <w:ilvl w:val="0"/>
          <w:numId w:val="2"/>
        </w:numPr>
        <w:jc w:val="left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</w:t>
      </w:r>
      <w:r>
        <w:rPr>
          <w:rFonts w:ascii="宋体" w:hAnsi="宋体" w:cs="宋体"/>
          <w:sz w:val="20"/>
        </w:rPr>
        <w:t>系统测试用例文档</w:t>
      </w:r>
      <w:r>
        <w:rPr>
          <w:rFonts w:hint="eastAsia" w:ascii="宋体" w:hAnsi="宋体" w:cs="宋体"/>
          <w:sz w:val="20"/>
        </w:rPr>
        <w:t>V1.1。</w:t>
      </w:r>
    </w:p>
    <w:p>
      <w:pPr>
        <w:numPr>
          <w:ilvl w:val="0"/>
          <w:numId w:val="2"/>
        </w:numPr>
        <w:jc w:val="left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快递物流系统</w:t>
      </w:r>
      <w:r>
        <w:rPr>
          <w:rFonts w:ascii="宋体" w:hAnsi="宋体" w:cs="宋体"/>
          <w:sz w:val="20"/>
        </w:rPr>
        <w:t>需求规格说明文档</w:t>
      </w:r>
      <w:r>
        <w:rPr>
          <w:rFonts w:hint="eastAsia" w:ascii="宋体" w:hAnsi="宋体" w:cs="宋体"/>
          <w:sz w:val="20"/>
        </w:rPr>
        <w:t>V1.6。</w:t>
      </w:r>
    </w:p>
    <w:p>
      <w:pPr>
        <w:numPr>
          <w:ilvl w:val="0"/>
          <w:numId w:val="2"/>
        </w:numPr>
        <w:jc w:val="left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</w:t>
      </w:r>
      <w:r>
        <w:rPr>
          <w:rFonts w:ascii="宋体" w:hAnsi="宋体" w:cs="宋体"/>
          <w:sz w:val="20"/>
        </w:rPr>
        <w:t>系统</w:t>
      </w:r>
      <w:r>
        <w:rPr>
          <w:rFonts w:hint="eastAsia" w:ascii="宋体" w:hAnsi="宋体" w:cs="宋体"/>
          <w:sz w:val="20"/>
        </w:rPr>
        <w:t>详细</w:t>
      </w:r>
      <w:r>
        <w:rPr>
          <w:rFonts w:ascii="宋体" w:hAnsi="宋体" w:cs="宋体"/>
          <w:sz w:val="20"/>
        </w:rPr>
        <w:t>设计文档</w:t>
      </w:r>
      <w:r>
        <w:rPr>
          <w:rFonts w:hint="eastAsia" w:ascii="宋体" w:hAnsi="宋体" w:cs="宋体"/>
          <w:sz w:val="20"/>
        </w:rPr>
        <w:t>V</w:t>
      </w:r>
      <w:r>
        <w:rPr>
          <w:rFonts w:ascii="宋体" w:hAnsi="宋体" w:cs="宋体"/>
          <w:sz w:val="20"/>
        </w:rPr>
        <w:t>1.</w:t>
      </w:r>
      <w:r>
        <w:rPr>
          <w:rFonts w:hint="eastAsia" w:ascii="宋体" w:hAnsi="宋体" w:cs="宋体"/>
          <w:sz w:val="20"/>
        </w:rPr>
        <w:t>1。</w:t>
      </w:r>
    </w:p>
    <w:p>
      <w:pPr>
        <w:pStyle w:val="2"/>
        <w:numPr>
          <w:ilvl w:val="0"/>
          <w:numId w:val="1"/>
        </w:numPr>
        <w:tabs>
          <w:tab w:val="left" w:pos="425"/>
        </w:tabs>
        <w:spacing w:line="240" w:lineRule="auto"/>
        <w:rPr>
          <w:rFonts w:hint="eastAsia" w:ascii="宋体" w:hAnsi="宋体" w:cs="宋体"/>
          <w:sz w:val="40"/>
          <w:szCs w:val="40"/>
        </w:rPr>
      </w:pPr>
      <w:r>
        <w:rPr>
          <w:rFonts w:hint="eastAsia" w:ascii="宋体" w:hAnsi="宋体" w:cs="宋体"/>
          <w:sz w:val="40"/>
          <w:szCs w:val="40"/>
        </w:rPr>
        <w:t>测试</w:t>
      </w:r>
      <w:r>
        <w:rPr>
          <w:rFonts w:ascii="宋体" w:hAnsi="宋体" w:cs="宋体"/>
          <w:sz w:val="40"/>
          <w:szCs w:val="40"/>
        </w:rPr>
        <w:t>概述</w:t>
      </w:r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hint="eastAsia" w:ascii="宋体" w:hAnsi="宋体" w:cs="宋体"/>
          <w:sz w:val="32"/>
          <w:szCs w:val="32"/>
        </w:rPr>
      </w:pPr>
      <w:bookmarkStart w:id="4" w:name="_Toc5195"/>
      <w:r>
        <w:rPr>
          <w:rFonts w:hint="eastAsia" w:ascii="宋体" w:hAnsi="宋体" w:cs="宋体"/>
          <w:sz w:val="32"/>
          <w:szCs w:val="32"/>
        </w:rPr>
        <w:t>测试</w:t>
      </w:r>
      <w:bookmarkEnd w:id="2"/>
      <w:bookmarkEnd w:id="4"/>
      <w:r>
        <w:rPr>
          <w:rFonts w:hint="eastAsia" w:ascii="宋体" w:hAnsi="宋体" w:cs="宋体"/>
          <w:sz w:val="32"/>
          <w:szCs w:val="32"/>
        </w:rPr>
        <w:t>日志</w:t>
      </w:r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</w:t>
      </w:r>
      <w:r>
        <w:rPr>
          <w:rFonts w:ascii="宋体" w:hAnsi="宋体" w:cs="宋体"/>
          <w:sz w:val="20"/>
        </w:rPr>
        <w:t>系统（</w:t>
      </w:r>
      <w:r>
        <w:rPr>
          <w:rFonts w:hint="eastAsia" w:ascii="宋体" w:hAnsi="宋体" w:cs="宋体"/>
          <w:sz w:val="20"/>
        </w:rPr>
        <w:t>ES</w:t>
      </w:r>
      <w:r>
        <w:rPr>
          <w:rFonts w:ascii="宋体" w:hAnsi="宋体" w:cs="宋体"/>
          <w:sz w:val="20"/>
        </w:rPr>
        <w:t>）</w:t>
      </w:r>
      <w:r>
        <w:rPr>
          <w:rFonts w:hint="eastAsia" w:ascii="宋体" w:hAnsi="宋体" w:cs="宋体"/>
          <w:sz w:val="20"/>
        </w:rPr>
        <w:t>的</w:t>
      </w:r>
      <w:r>
        <w:rPr>
          <w:rFonts w:ascii="宋体" w:hAnsi="宋体" w:cs="宋体"/>
          <w:sz w:val="20"/>
        </w:rPr>
        <w:t>测试</w:t>
      </w:r>
      <w:r>
        <w:rPr>
          <w:rFonts w:hint="eastAsia" w:ascii="宋体" w:hAnsi="宋体" w:cs="宋体"/>
          <w:sz w:val="20"/>
        </w:rPr>
        <w:t>是2015</w:t>
      </w:r>
      <w:r>
        <w:rPr>
          <w:rFonts w:ascii="宋体" w:hAnsi="宋体" w:cs="宋体"/>
          <w:sz w:val="20"/>
        </w:rPr>
        <w:t>/10/01</w:t>
      </w:r>
      <w:r>
        <w:rPr>
          <w:rFonts w:hint="eastAsia" w:ascii="宋体" w:hAnsi="宋体" w:cs="宋体"/>
          <w:sz w:val="20"/>
        </w:rPr>
        <w:t>至2014/</w:t>
      </w:r>
      <w:r>
        <w:rPr>
          <w:rFonts w:ascii="宋体" w:hAnsi="宋体" w:cs="宋体"/>
          <w:sz w:val="20"/>
        </w:rPr>
        <w:t>12</w:t>
      </w:r>
      <w:r>
        <w:rPr>
          <w:rFonts w:hint="eastAsia" w:ascii="宋体" w:hAnsi="宋体" w:cs="宋体"/>
          <w:sz w:val="20"/>
        </w:rPr>
        <w:t>/20位于</w:t>
      </w:r>
      <w:r>
        <w:rPr>
          <w:rFonts w:ascii="宋体" w:hAnsi="宋体" w:cs="宋体"/>
          <w:sz w:val="20"/>
        </w:rPr>
        <w:t>jenkins</w:t>
      </w:r>
      <w:r>
        <w:rPr>
          <w:rFonts w:hint="eastAsia" w:ascii="宋体" w:hAnsi="宋体" w:cs="宋体"/>
          <w:sz w:val="20"/>
        </w:rPr>
        <w:t>测试</w:t>
      </w:r>
      <w:r>
        <w:rPr>
          <w:rFonts w:ascii="宋体" w:hAnsi="宋体" w:cs="宋体"/>
          <w:sz w:val="20"/>
        </w:rPr>
        <w:t>平台</w:t>
      </w:r>
      <w:r>
        <w:rPr>
          <w:rFonts w:hint="eastAsia" w:ascii="宋体" w:hAnsi="宋体" w:cs="宋体"/>
          <w:sz w:val="20"/>
        </w:rPr>
        <w:t>进行的</w:t>
      </w:r>
      <w:r>
        <w:rPr>
          <w:rFonts w:ascii="宋体" w:hAnsi="宋体" w:cs="宋体"/>
          <w:sz w:val="20"/>
        </w:rPr>
        <w:t>测试，</w:t>
      </w:r>
      <w:r>
        <w:rPr>
          <w:rFonts w:hint="eastAsia" w:ascii="宋体" w:hAnsi="宋体" w:cs="宋体"/>
          <w:sz w:val="20"/>
        </w:rPr>
        <w:t>测试</w:t>
      </w:r>
      <w:r>
        <w:rPr>
          <w:rFonts w:ascii="宋体" w:hAnsi="宋体" w:cs="宋体"/>
          <w:sz w:val="20"/>
        </w:rPr>
        <w:t>人员：</w:t>
      </w:r>
      <w:r>
        <w:rPr>
          <w:rFonts w:hint="eastAsia" w:ascii="宋体" w:hAnsi="宋体" w:cs="宋体"/>
          <w:sz w:val="20"/>
        </w:rPr>
        <w:t>噔海马小王子Team</w:t>
      </w:r>
      <w:r>
        <w:rPr>
          <w:rFonts w:ascii="宋体" w:hAnsi="宋体" w:cs="宋体"/>
          <w:sz w:val="20"/>
        </w:rPr>
        <w:t>全体成员。</w:t>
      </w:r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hint="eastAsia" w:ascii="宋体" w:hAnsi="宋体" w:cs="宋体"/>
          <w:sz w:val="32"/>
          <w:szCs w:val="32"/>
        </w:rPr>
      </w:pPr>
      <w:bookmarkStart w:id="5" w:name="_Toc2151"/>
      <w:r>
        <w:rPr>
          <w:rFonts w:hint="eastAsia" w:ascii="宋体" w:hAnsi="宋体" w:cs="宋体"/>
          <w:sz w:val="32"/>
          <w:szCs w:val="32"/>
        </w:rPr>
        <w:t>决策</w:t>
      </w:r>
      <w:r>
        <w:rPr>
          <w:rFonts w:ascii="宋体" w:hAnsi="宋体" w:cs="宋体"/>
          <w:sz w:val="32"/>
          <w:szCs w:val="32"/>
        </w:rPr>
        <w:t>理由</w:t>
      </w:r>
    </w:p>
    <w:bookmarkEnd w:id="5"/>
    <w:p>
      <w:pPr>
        <w:ind w:left="840" w:firstLine="420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>执行测试后，</w:t>
      </w:r>
      <w:r>
        <w:rPr>
          <w:rFonts w:hint="eastAsia" w:ascii="宋体" w:hAnsi="宋体" w:cs="宋体"/>
          <w:sz w:val="20"/>
        </w:rPr>
        <w:t>决策</w:t>
      </w:r>
      <w:r>
        <w:rPr>
          <w:rFonts w:ascii="宋体" w:hAnsi="宋体" w:cs="宋体"/>
          <w:sz w:val="20"/>
        </w:rPr>
        <w:t>是根据以下规则定义：</w:t>
      </w:r>
    </w:p>
    <w:p>
      <w:pPr>
        <w:ind w:left="840" w:firstLine="420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 xml:space="preserve">• OK: </w:t>
      </w:r>
      <w:r>
        <w:rPr>
          <w:rFonts w:hint="eastAsia" w:ascii="宋体" w:hAnsi="宋体" w:cs="宋体"/>
          <w:sz w:val="20"/>
        </w:rPr>
        <w:t>测试</w:t>
      </w:r>
      <w:r>
        <w:rPr>
          <w:rFonts w:ascii="宋体" w:hAnsi="宋体" w:cs="宋体"/>
          <w:sz w:val="20"/>
        </w:rPr>
        <w:t>表格被设置为“OK”状态时，所有的步骤都在“</w:t>
      </w:r>
      <w:r>
        <w:rPr>
          <w:rFonts w:hint="eastAsia" w:ascii="宋体" w:hAnsi="宋体" w:cs="宋体"/>
          <w:sz w:val="20"/>
        </w:rPr>
        <w:t>O</w:t>
      </w:r>
      <w:r>
        <w:rPr>
          <w:rFonts w:ascii="宋体" w:hAnsi="宋体" w:cs="宋体"/>
          <w:sz w:val="20"/>
        </w:rPr>
        <w:t>K”的状态。真正的结果是符合预期的结果。</w:t>
      </w:r>
    </w:p>
    <w:p>
      <w:pPr>
        <w:ind w:left="840" w:firstLine="420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>• NOK:</w:t>
      </w:r>
      <w:r>
        <w:rPr>
          <w:rFonts w:hint="eastAsia" w:ascii="宋体" w:hAnsi="宋体" w:cs="宋体"/>
          <w:sz w:val="20"/>
        </w:rPr>
        <w:t>测试表格</w:t>
      </w:r>
      <w:r>
        <w:rPr>
          <w:rFonts w:ascii="宋体" w:hAnsi="宋体" w:cs="宋体"/>
          <w:sz w:val="20"/>
        </w:rPr>
        <w:t>被设置为“NOK”状态时，测试的所有步骤都设置为“NOK”的状态或</w:t>
      </w:r>
      <w:r>
        <w:rPr>
          <w:rFonts w:hint="eastAsia" w:ascii="宋体" w:hAnsi="宋体" w:cs="宋体"/>
          <w:sz w:val="20"/>
        </w:rPr>
        <w:t>某</w:t>
      </w:r>
      <w:r>
        <w:rPr>
          <w:rFonts w:ascii="宋体" w:hAnsi="宋体" w:cs="宋体"/>
          <w:sz w:val="20"/>
        </w:rPr>
        <w:t>个步骤的结果与预期的结果</w:t>
      </w:r>
      <w:r>
        <w:rPr>
          <w:rFonts w:hint="eastAsia" w:ascii="宋体" w:hAnsi="宋体" w:cs="宋体"/>
          <w:sz w:val="20"/>
        </w:rPr>
        <w:t>不同</w:t>
      </w:r>
      <w:r>
        <w:rPr>
          <w:rFonts w:ascii="宋体" w:hAnsi="宋体" w:cs="宋体"/>
          <w:sz w:val="20"/>
        </w:rPr>
        <w:t>。</w:t>
      </w:r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ascii="宋体" w:hAnsi="宋体" w:cs="宋体"/>
          <w:sz w:val="20"/>
        </w:rPr>
        <w:t>• Partial OK:</w:t>
      </w:r>
      <w:r>
        <w:rPr>
          <w:rFonts w:hint="eastAsia" w:ascii="宋体" w:hAnsi="宋体" w:cs="宋体"/>
          <w:sz w:val="20"/>
        </w:rPr>
        <w:t>当</w:t>
      </w:r>
      <w:r>
        <w:rPr>
          <w:rFonts w:ascii="宋体" w:hAnsi="宋体" w:cs="宋体"/>
          <w:sz w:val="20"/>
        </w:rPr>
        <w:t>测试至少一步是设置为“</w:t>
      </w:r>
      <w:r>
        <w:rPr>
          <w:rFonts w:hint="eastAsia" w:ascii="宋体" w:hAnsi="宋体" w:cs="宋体"/>
          <w:sz w:val="20"/>
        </w:rPr>
        <w:t>N</w:t>
      </w:r>
      <w:r>
        <w:rPr>
          <w:rFonts w:ascii="宋体" w:hAnsi="宋体" w:cs="宋体"/>
          <w:sz w:val="20"/>
        </w:rPr>
        <w:t>OK”的状态或</w:t>
      </w:r>
      <w:r>
        <w:rPr>
          <w:rFonts w:hint="eastAsia" w:ascii="宋体" w:hAnsi="宋体" w:cs="宋体"/>
          <w:sz w:val="20"/>
        </w:rPr>
        <w:t>某</w:t>
      </w:r>
      <w:r>
        <w:rPr>
          <w:rFonts w:ascii="宋体" w:hAnsi="宋体" w:cs="宋体"/>
          <w:sz w:val="20"/>
        </w:rPr>
        <w:t>个步骤的结果部分符合预期的结果</w:t>
      </w:r>
      <w:r>
        <w:rPr>
          <w:rFonts w:hint="eastAsia" w:ascii="宋体" w:hAnsi="宋体" w:cs="宋体"/>
          <w:sz w:val="20"/>
        </w:rPr>
        <w:t>时测试</w:t>
      </w:r>
      <w:r>
        <w:rPr>
          <w:rFonts w:ascii="宋体" w:hAnsi="宋体" w:cs="宋体"/>
          <w:sz w:val="20"/>
        </w:rPr>
        <w:t>表格被设置为“Partial OK”状态。</w:t>
      </w:r>
      <w:r>
        <w:rPr>
          <w:highlight w:val="lightGray"/>
        </w:rPr>
        <w:sym w:font="Wingdings" w:char="F0E0"/>
      </w:r>
      <w:r>
        <w:rPr>
          <w:rFonts w:ascii="宋体" w:hAnsi="宋体" w:cs="宋体"/>
          <w:sz w:val="20"/>
        </w:rPr>
        <w:t>保留或删除。不一致</w:t>
      </w:r>
      <w:r>
        <w:rPr>
          <w:rFonts w:hint="eastAsia" w:ascii="宋体" w:hAnsi="宋体" w:cs="宋体"/>
          <w:sz w:val="20"/>
        </w:rPr>
        <w:t>的</w:t>
      </w:r>
      <w:r>
        <w:rPr>
          <w:rFonts w:ascii="宋体" w:hAnsi="宋体" w:cs="宋体"/>
          <w:sz w:val="20"/>
        </w:rPr>
        <w:t>源：如果</w:t>
      </w:r>
      <w:r>
        <w:rPr>
          <w:rFonts w:hint="eastAsia" w:ascii="宋体" w:hAnsi="宋体" w:cs="宋体"/>
          <w:sz w:val="20"/>
        </w:rPr>
        <w:t>测试</w:t>
      </w:r>
      <w:r>
        <w:rPr>
          <w:rFonts w:ascii="宋体" w:hAnsi="宋体" w:cs="宋体"/>
          <w:sz w:val="20"/>
        </w:rPr>
        <w:t>结果是Partial OK</w:t>
      </w:r>
      <w:r>
        <w:rPr>
          <w:rFonts w:hint="eastAsia" w:ascii="宋体" w:hAnsi="宋体" w:cs="宋体"/>
          <w:sz w:val="20"/>
        </w:rPr>
        <w:t>，</w:t>
      </w:r>
      <w:r>
        <w:rPr>
          <w:rFonts w:ascii="宋体" w:hAnsi="宋体" w:cs="宋体"/>
          <w:sz w:val="20"/>
        </w:rPr>
        <w:t>设置标准可以是定性的。</w:t>
      </w:r>
    </w:p>
    <w:p>
      <w:pPr>
        <w:ind w:left="840" w:firstLine="420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>• NOT RUN:一个尚未执行的测试表的默认状态。</w:t>
      </w:r>
    </w:p>
    <w:p>
      <w:pPr>
        <w:ind w:left="840" w:firstLine="420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 xml:space="preserve">• NOT COMPLETED: </w:t>
      </w:r>
      <w:r>
        <w:rPr>
          <w:rFonts w:hint="eastAsia" w:ascii="宋体" w:hAnsi="宋体" w:cs="宋体"/>
          <w:sz w:val="20"/>
        </w:rPr>
        <w:t>测试表格</w:t>
      </w:r>
      <w:r>
        <w:rPr>
          <w:rFonts w:ascii="宋体" w:hAnsi="宋体" w:cs="宋体"/>
          <w:sz w:val="20"/>
        </w:rPr>
        <w:t>被设置为“未完成”状态时的测试至少一个步骤是“不运行”状态。</w:t>
      </w:r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测试</w:t>
      </w:r>
      <w:r>
        <w:rPr>
          <w:rFonts w:ascii="宋体" w:hAnsi="宋体" w:cs="宋体"/>
          <w:sz w:val="32"/>
          <w:szCs w:val="32"/>
        </w:rPr>
        <w:t>的总体评价</w:t>
      </w:r>
    </w:p>
    <w:p>
      <w:pPr>
        <w:pStyle w:val="2"/>
        <w:numPr>
          <w:ilvl w:val="2"/>
          <w:numId w:val="1"/>
        </w:numPr>
        <w:tabs>
          <w:tab w:val="left" w:pos="850"/>
          <w:tab w:val="left" w:pos="1508"/>
        </w:tabs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测试结论</w:t>
      </w:r>
    </w:p>
    <w:p>
      <w:pPr>
        <w:pStyle w:val="2"/>
        <w:numPr>
          <w:ilvl w:val="3"/>
          <w:numId w:val="1"/>
        </w:numPr>
        <w:tabs>
          <w:tab w:val="left" w:pos="850"/>
          <w:tab w:val="left" w:pos="2053"/>
        </w:tabs>
        <w:spacing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测试执行是否充分</w:t>
      </w:r>
    </w:p>
    <w:p>
      <w:pPr>
        <w:ind w:left="840" w:firstLine="420"/>
        <w:rPr>
          <w:sz w:val="22"/>
          <w:szCs w:val="22"/>
        </w:rPr>
      </w:pPr>
      <w:r>
        <w:rPr>
          <w:rFonts w:hint="eastAsia" w:ascii="宋体" w:hAnsi="宋体" w:cs="宋体"/>
          <w:sz w:val="20"/>
        </w:rPr>
        <w:t>本次测试首先对于用例中的各项功能进行了检查，测试了系统功能的完整性；对于各项数据进行了边界测试。并且增加了系统的安全性和可靠性的测试；同时对数据库等进行了可维护性测试。因此测试执行充分。</w:t>
      </w:r>
    </w:p>
    <w:p>
      <w:pPr>
        <w:pStyle w:val="2"/>
        <w:numPr>
          <w:ilvl w:val="3"/>
          <w:numId w:val="1"/>
        </w:numPr>
        <w:tabs>
          <w:tab w:val="left" w:pos="850"/>
          <w:tab w:val="left" w:pos="2053"/>
        </w:tabs>
        <w:spacing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对测试风险的控制措施和成效</w:t>
      </w:r>
    </w:p>
    <w:p>
      <w:pPr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491"/>
        <w:gridCol w:w="2908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风险</w:t>
            </w:r>
          </w:p>
        </w:tc>
        <w:tc>
          <w:tcPr>
            <w:tcW w:w="2491" w:type="dxa"/>
          </w:tcPr>
          <w:p>
            <w:pPr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潜在影响</w:t>
            </w:r>
          </w:p>
        </w:tc>
        <w:tc>
          <w:tcPr>
            <w:tcW w:w="2908" w:type="dxa"/>
          </w:tcPr>
          <w:p>
            <w:pPr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控制措施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成效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软件需求不清楚、变更导致测试需求及范围发生了变化</w:t>
            </w:r>
          </w:p>
        </w:tc>
        <w:tc>
          <w:tcPr>
            <w:tcW w:w="2491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导致测试计划、工作量等发生变化</w:t>
            </w:r>
          </w:p>
        </w:tc>
        <w:tc>
          <w:tcPr>
            <w:tcW w:w="290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和用户充分沟通、做好调研、需求获取和分析，调整测试策略和计划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开发进度延长，包括项目计划的变更、各个环节的进度拖延</w:t>
            </w:r>
          </w:p>
        </w:tc>
        <w:tc>
          <w:tcPr>
            <w:tcW w:w="2491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推迟系统测试执行的时间和进度</w:t>
            </w:r>
          </w:p>
        </w:tc>
        <w:tc>
          <w:tcPr>
            <w:tcW w:w="290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设定更多的子里程碑，控制整体进度</w:t>
            </w:r>
            <w:r>
              <w:rPr>
                <w:rStyle w:val="14"/>
                <w:rFonts w:hint="eastAsia" w:ascii="宋体" w:hAnsi="宋体" w:cs="Arial"/>
                <w:sz w:val="20"/>
                <w:shd w:val="clear" w:color="auto" w:fill="FFFFFF"/>
              </w:rPr>
              <w:t>，</w:t>
            </w: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做好沟通和协调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由于设计时间不足、代码互审和单元测试不够，导致开发代码质量低</w:t>
            </w:r>
          </w:p>
        </w:tc>
        <w:tc>
          <w:tcPr>
            <w:tcW w:w="2491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BUG太多、严重，反复测试的次数和工作量大</w:t>
            </w:r>
          </w:p>
        </w:tc>
        <w:tc>
          <w:tcPr>
            <w:tcW w:w="290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做好软件设计、提高编码人员的编码水平、进行单元测试。严格控制提交测试的版本、调整整体测试策略和计划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对需求的理解偏差太大、原因是缺乏原型、与客户沟通不足需求评审不到位</w:t>
            </w:r>
          </w:p>
        </w:tc>
        <w:tc>
          <w:tcPr>
            <w:tcW w:w="2491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对Bug、设计的合理性等确认困难</w:t>
            </w:r>
          </w:p>
        </w:tc>
        <w:tc>
          <w:tcPr>
            <w:tcW w:w="2908" w:type="dxa"/>
          </w:tcPr>
          <w:p>
            <w:pPr>
              <w:pStyle w:val="16"/>
              <w:shd w:val="clear" w:color="auto" w:fill="FFFFFF"/>
              <w:spacing w:before="0" w:beforeAutospacing="0" w:after="150" w:afterAutospacing="0" w:line="375" w:lineRule="atLeast"/>
              <w:rPr>
                <w:sz w:val="20"/>
                <w:szCs w:val="20"/>
              </w:rPr>
            </w:pPr>
            <w:r>
              <w:rPr>
                <w:rStyle w:val="14"/>
                <w:rFonts w:cs="Arial"/>
                <w:sz w:val="20"/>
                <w:szCs w:val="20"/>
                <w:shd w:val="clear" w:color="auto" w:fill="FFFFFF"/>
              </w:rPr>
              <w:t>与用户、产品经理多沟通、并借助</w:t>
            </w:r>
            <w:r>
              <w:rPr>
                <w:rFonts w:cs="Arial"/>
                <w:sz w:val="20"/>
                <w:szCs w:val="20"/>
              </w:rPr>
              <w:t>一些原型和演示版本来改进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测试工程师对业务不熟悉，主要原因是业务领域新、测试人员是新人或介入项目太迟</w:t>
            </w:r>
          </w:p>
        </w:tc>
        <w:tc>
          <w:tcPr>
            <w:tcW w:w="2491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测试数据准备不足、不充分测不到关键点，同时测试效率难以提高</w:t>
            </w:r>
          </w:p>
        </w:tc>
        <w:tc>
          <w:tcPr>
            <w:tcW w:w="290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测试人员及早介入项目，与产品经理，市场、设计等各类开发人员沟通，加强培训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由于项目提交日期的变更导致测试周期变更，一般是由客户提出的</w:t>
            </w:r>
          </w:p>
        </w:tc>
        <w:tc>
          <w:tcPr>
            <w:tcW w:w="2491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系统测试总时间缩短，</w:t>
            </w:r>
            <w:r>
              <w:rPr>
                <w:rStyle w:val="15"/>
                <w:rFonts w:ascii="宋体" w:hAnsi="宋体" w:cs="Arial"/>
                <w:sz w:val="20"/>
                <w:shd w:val="clear" w:color="auto" w:fill="FFFFFF"/>
              </w:rPr>
              <w:t> </w:t>
            </w: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难以保证测试的质量</w:t>
            </w:r>
          </w:p>
        </w:tc>
        <w:tc>
          <w:tcPr>
            <w:tcW w:w="290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Style w:val="14"/>
                <w:rFonts w:ascii="宋体" w:hAnsi="宋体" w:cs="Arial"/>
                <w:sz w:val="20"/>
                <w:shd w:val="clear" w:color="auto" w:fill="FFFFFF"/>
              </w:rPr>
              <w:t>严格控制项目的时间变更，多与客户沟通并得到客户的理解。调整测试策略、测试资源及计划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一般</w:t>
            </w:r>
          </w:p>
        </w:tc>
      </w:tr>
    </w:tbl>
    <w:p>
      <w:pPr>
        <w:ind w:left="840" w:firstLine="420"/>
        <w:rPr>
          <w:rFonts w:ascii="宋体" w:hAnsi="宋体" w:cs="宋体"/>
          <w:sz w:val="20"/>
        </w:rPr>
      </w:pPr>
    </w:p>
    <w:p>
      <w:pPr>
        <w:pStyle w:val="2"/>
        <w:numPr>
          <w:ilvl w:val="3"/>
          <w:numId w:val="1"/>
        </w:numPr>
        <w:tabs>
          <w:tab w:val="left" w:pos="850"/>
          <w:tab w:val="left" w:pos="2053"/>
        </w:tabs>
        <w:spacing w:line="240" w:lineRule="auto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2"/>
          <w:szCs w:val="22"/>
        </w:rPr>
        <w:t>测试目标是否完成</w:t>
      </w:r>
    </w:p>
    <w:p>
      <w:pPr>
        <w:ind w:left="840"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>测试目标基本完成。</w:t>
      </w:r>
    </w:p>
    <w:p>
      <w:pPr>
        <w:pStyle w:val="2"/>
        <w:numPr>
          <w:ilvl w:val="3"/>
          <w:numId w:val="1"/>
        </w:numPr>
        <w:tabs>
          <w:tab w:val="left" w:pos="850"/>
          <w:tab w:val="left" w:pos="2053"/>
        </w:tabs>
        <w:spacing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测试是否通过</w:t>
      </w:r>
      <w:r>
        <w:rPr>
          <w:rFonts w:ascii="宋体" w:hAnsi="宋体" w:cs="宋体"/>
          <w:sz w:val="22"/>
          <w:szCs w:val="22"/>
        </w:rPr>
        <w:tab/>
      </w:r>
    </w:p>
    <w:p>
      <w:pPr>
        <w:ind w:left="840"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>测试并未一次性通过，但在修改之后通过。</w:t>
      </w:r>
    </w:p>
    <w:p>
      <w:pPr>
        <w:pStyle w:val="2"/>
        <w:numPr>
          <w:ilvl w:val="3"/>
          <w:numId w:val="1"/>
        </w:numPr>
        <w:tabs>
          <w:tab w:val="left" w:pos="850"/>
          <w:tab w:val="left" w:pos="2053"/>
        </w:tabs>
        <w:spacing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是否可以进入下一阶段项目目标</w:t>
      </w:r>
    </w:p>
    <w:p>
      <w:pPr>
        <w:ind w:left="840"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>可以进入。</w:t>
      </w:r>
    </w:p>
    <w:p>
      <w:pPr>
        <w:pStyle w:val="2"/>
        <w:numPr>
          <w:ilvl w:val="3"/>
          <w:numId w:val="1"/>
        </w:numPr>
        <w:tabs>
          <w:tab w:val="left" w:pos="850"/>
          <w:tab w:val="left" w:pos="2053"/>
        </w:tabs>
        <w:spacing w:line="24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总结收集相关度量数据</w:t>
      </w:r>
    </w:p>
    <w:p>
      <w:pPr>
        <w:numPr>
          <w:ilvl w:val="0"/>
          <w:numId w:val="3"/>
        </w:numPr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需求覆盖率： 100%</w:t>
      </w:r>
    </w:p>
    <w:p>
      <w:pPr>
        <w:numPr>
          <w:ilvl w:val="0"/>
          <w:numId w:val="3"/>
        </w:numPr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测试覆盖率： 3</w:t>
      </w:r>
      <w:r>
        <w:rPr>
          <w:rFonts w:ascii="宋体" w:hAnsi="宋体" w:cs="宋体"/>
          <w:sz w:val="20"/>
        </w:rPr>
        <w:t>1</w:t>
      </w:r>
      <w:r>
        <w:rPr>
          <w:rFonts w:hint="eastAsia" w:ascii="宋体" w:hAnsi="宋体" w:cs="宋体"/>
          <w:sz w:val="20"/>
        </w:rPr>
        <w:t>/3</w:t>
      </w:r>
      <w:r>
        <w:rPr>
          <w:rFonts w:ascii="宋体" w:hAnsi="宋体" w:cs="宋体"/>
          <w:sz w:val="20"/>
        </w:rPr>
        <w:t>1</w:t>
      </w:r>
      <w:r>
        <w:rPr>
          <w:rFonts w:hint="eastAsia" w:ascii="宋体" w:hAnsi="宋体" w:cs="宋体"/>
          <w:sz w:val="20"/>
        </w:rPr>
        <w:t xml:space="preserve"> = 100%</w:t>
      </w:r>
    </w:p>
    <w:p>
      <w:pPr>
        <w:numPr>
          <w:ilvl w:val="0"/>
          <w:numId w:val="3"/>
        </w:numPr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用例质量：缺陷总数/测试用例总数 = 8/3</w:t>
      </w:r>
      <w:r>
        <w:rPr>
          <w:rFonts w:ascii="宋体" w:hAnsi="宋体" w:cs="宋体"/>
          <w:sz w:val="20"/>
        </w:rPr>
        <w:t>1</w:t>
      </w:r>
      <w:r>
        <w:rPr>
          <w:rFonts w:hint="eastAsia" w:ascii="宋体" w:hAnsi="宋体" w:cs="宋体"/>
          <w:sz w:val="20"/>
        </w:rPr>
        <w:t xml:space="preserve"> = 25.</w:t>
      </w:r>
      <w:r>
        <w:rPr>
          <w:rFonts w:ascii="宋体" w:hAnsi="宋体" w:cs="宋体"/>
          <w:sz w:val="20"/>
        </w:rPr>
        <w:t>81</w:t>
      </w:r>
      <w:r>
        <w:rPr>
          <w:rFonts w:hint="eastAsia" w:ascii="宋体" w:hAnsi="宋体" w:cs="宋体"/>
          <w:sz w:val="20"/>
        </w:rPr>
        <w:t>%</w:t>
      </w:r>
    </w:p>
    <w:p>
      <w:pPr>
        <w:numPr>
          <w:ilvl w:val="0"/>
          <w:numId w:val="3"/>
        </w:numPr>
        <w:rPr>
          <w:rFonts w:hint="eastAsia" w:ascii="宋体" w:hAnsi="宋体" w:cs="宋体"/>
          <w:sz w:val="20"/>
        </w:rPr>
      </w:pPr>
      <w:r>
        <w:rPr>
          <w:rFonts w:ascii="宋体" w:hAnsi="宋体" w:cs="宋体"/>
          <w:sz w:val="20"/>
        </w:rPr>
        <w:t>缺陷密度</w:t>
      </w:r>
      <w:r>
        <w:rPr>
          <w:rFonts w:hint="eastAsia" w:ascii="宋体" w:hAnsi="宋体" w:cs="宋体"/>
          <w:sz w:val="20"/>
        </w:rPr>
        <w:t>：</w:t>
      </w:r>
      <w:r>
        <w:rPr>
          <w:rFonts w:ascii="宋体" w:hAnsi="宋体" w:cs="宋体"/>
          <w:sz w:val="20"/>
        </w:rPr>
        <w:t>缺陷总数/功能点总数</w:t>
      </w:r>
      <w:r>
        <w:rPr>
          <w:rFonts w:hint="eastAsia" w:ascii="宋体" w:hAnsi="宋体" w:cs="宋体"/>
          <w:sz w:val="20"/>
        </w:rPr>
        <w:t xml:space="preserve"> = 8/3225 = 0.25%</w:t>
      </w:r>
      <w:r>
        <w:rPr>
          <w:rFonts w:ascii="宋体" w:hAnsi="宋体" w:cs="宋体"/>
          <w:sz w:val="20"/>
        </w:rPr>
        <w:t>　</w:t>
      </w:r>
    </w:p>
    <w:p>
      <w:pPr>
        <w:pStyle w:val="2"/>
        <w:numPr>
          <w:ilvl w:val="2"/>
          <w:numId w:val="1"/>
        </w:numPr>
        <w:tabs>
          <w:tab w:val="left" w:pos="850"/>
          <w:tab w:val="left" w:pos="1508"/>
        </w:tabs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建议</w:t>
      </w:r>
    </w:p>
    <w:p>
      <w:pPr>
        <w:numPr>
          <w:ilvl w:val="0"/>
          <w:numId w:val="4"/>
        </w:numPr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建议进一步加强软件需求规格说明、软件设计文档编制和编码的规范化。</w:t>
      </w:r>
    </w:p>
    <w:p>
      <w:pPr>
        <w:numPr>
          <w:ilvl w:val="0"/>
          <w:numId w:val="4"/>
        </w:numPr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应该尽早开展软件测试工作，给软件测试留有必要的时间，在资源配置上给软件测试提供必要的支撑。</w:t>
      </w:r>
    </w:p>
    <w:p>
      <w:pPr>
        <w:numPr>
          <w:ilvl w:val="0"/>
          <w:numId w:val="4"/>
        </w:numPr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在测试阶段发现缺陷以后，尽快进行缺陷的修复，重新测试等一系列的后续工作。</w:t>
      </w:r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测试</w:t>
      </w:r>
      <w:r>
        <w:rPr>
          <w:rFonts w:ascii="宋体" w:hAnsi="宋体" w:cs="宋体"/>
          <w:sz w:val="32"/>
          <w:szCs w:val="32"/>
        </w:rPr>
        <w:t>环境的影响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硬件环境：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CPU型号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Intel(R) Core(TM) </w:t>
            </w:r>
            <w:r>
              <w:rPr>
                <w:rFonts w:hint="eastAsia" w:ascii="微软雅黑" w:hAnsi="微软雅黑" w:eastAsia="微软雅黑"/>
                <w:szCs w:val="21"/>
              </w:rPr>
              <w:t>Duo</w:t>
            </w:r>
            <w:r>
              <w:rPr>
                <w:rFonts w:ascii="微软雅黑" w:hAnsi="微软雅黑" w:eastAsia="微软雅黑"/>
                <w:szCs w:val="21"/>
              </w:rPr>
              <w:t xml:space="preserve"> 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CPU主频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1.8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  <w:r>
              <w:rPr>
                <w:rFonts w:ascii="微软雅黑" w:hAnsi="微软雅黑" w:eastAsia="微软雅黑"/>
                <w:szCs w:val="21"/>
              </w:rPr>
              <w:t>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内存容量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显卡芯片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ATI Mobility Radeon X2300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硬盘容量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80</w:t>
            </w:r>
            <w:r>
              <w:rPr>
                <w:rFonts w:ascii="微软雅黑" w:hAnsi="微软雅黑" w:eastAsia="微软雅黑"/>
                <w:szCs w:val="21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屏幕尺寸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14 英寸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软件环境：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jre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1.7.0_</w:t>
            </w:r>
            <w:r>
              <w:rPr>
                <w:rFonts w:hint="eastAsia" w:ascii="微软雅黑" w:hAnsi="微软雅黑" w:eastAsia="微软雅黑"/>
                <w:szCs w:val="21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clipse IDE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eclipse-SDK-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  <w:r>
              <w:rPr>
                <w:rFonts w:ascii="微软雅黑" w:hAnsi="微软雅黑" w:eastAsia="微软雅黑"/>
                <w:szCs w:val="21"/>
              </w:rPr>
              <w:t>.4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spacing w:line="240" w:lineRule="auto"/>
        <w:rPr>
          <w:rFonts w:ascii="宋体" w:hAnsi="宋体" w:cs="宋体"/>
          <w:sz w:val="40"/>
          <w:szCs w:val="40"/>
        </w:rPr>
      </w:pPr>
      <w:r>
        <w:rPr>
          <w:rFonts w:hint="eastAsia" w:ascii="宋体" w:hAnsi="宋体" w:cs="宋体"/>
          <w:sz w:val="40"/>
          <w:szCs w:val="40"/>
        </w:rPr>
        <w:t>详细</w:t>
      </w:r>
      <w:r>
        <w:rPr>
          <w:rFonts w:ascii="宋体" w:hAnsi="宋体" w:cs="宋体"/>
          <w:sz w:val="40"/>
          <w:szCs w:val="40"/>
        </w:rPr>
        <w:t>测试</w:t>
      </w:r>
      <w:r>
        <w:rPr>
          <w:rFonts w:hint="eastAsia" w:ascii="宋体" w:hAnsi="宋体" w:cs="宋体"/>
          <w:sz w:val="40"/>
          <w:szCs w:val="40"/>
        </w:rPr>
        <w:t>结果</w:t>
      </w:r>
    </w:p>
    <w:p>
      <w:pPr>
        <w:jc w:val="center"/>
        <w:rPr>
          <w:rFonts w:hint="eastAsia" w:cs="宋体"/>
          <w:b/>
          <w:sz w:val="40"/>
          <w:szCs w:val="40"/>
        </w:rPr>
      </w:pPr>
      <w:r>
        <w:rPr>
          <w:rFonts w:hint="eastAsia"/>
          <w:b/>
        </w:rPr>
        <w:t>TUS1的测试用例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387"/>
        <w:gridCol w:w="2580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ID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输入</w:t>
            </w:r>
          </w:p>
        </w:tc>
        <w:tc>
          <w:tcPr>
            <w:tcW w:w="3646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1-1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不输入任何信息并点击确认按钮</w:t>
            </w:r>
          </w:p>
        </w:tc>
        <w:tc>
          <w:tcPr>
            <w:tcW w:w="3646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系统跳出弹窗提示输入完整信息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1-2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进入登录界面，输入不存在的账号，输入密码并点击确认按钮</w:t>
            </w:r>
          </w:p>
        </w:tc>
        <w:tc>
          <w:tcPr>
            <w:tcW w:w="3646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1-3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进入登录界面，输入已有ID号，输入错误密码并点击确认按钮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1-4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进入登录界面，正确输入帐号密码并点击确认按钮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登录成功，系统根据输入的ID身份，进入相应身份的界面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1-5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用户点击修改密码，输入错误原密码，匹配的新密码及二次密码并点击确认按钮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出现修改密码的框架，系统跳出弹窗提示原密码错误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1-6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用户点击修改密码，正确输入原密码，输入与原密码相同的新密码及二次密码并点击确认按钮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出现修改密码的框架，系统跳出弹窗提示新密码与旧密码相同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1-7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用户点击修改密码，正确输入原密码，输入不匹配的新密码及二次密码并点击确认按钮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出现修改密码的框架，系统跳出弹窗提示新密码与二次密码不匹配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1-8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用户点击修改密码，正确输入原密码、新密码及二次密码并点击确认按钮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出现修改密码的框架，并在点击确认按钮后跳转回个人信息界面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1-9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all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用户点击退出登录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界面关闭，系统关闭</w:t>
            </w:r>
          </w:p>
        </w:tc>
      </w:tr>
    </w:tbl>
    <w:p>
      <w:pPr>
        <w:pStyle w:val="18"/>
        <w:ind w:left="425" w:firstLine="0" w:firstLineChars="0"/>
      </w:pPr>
    </w:p>
    <w:p>
      <w:pPr>
        <w:pStyle w:val="18"/>
        <w:ind w:left="2945" w:firstLine="415" w:firstLineChars="0"/>
        <w:rPr>
          <w:b/>
          <w:szCs w:val="21"/>
        </w:rPr>
      </w:pPr>
      <w:r>
        <w:rPr>
          <w:rFonts w:hint="eastAsia"/>
          <w:b/>
        </w:rPr>
        <w:t>TUS2的测试用例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365"/>
        <w:gridCol w:w="2595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ID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输入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2-1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点击增加员工按钮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跳转至新增员工信息填写界面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2-2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未填写新增员工姓名并点击确认按钮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系统跳出弹窗并提示请完整填写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2-3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正确填写新增员工信息并点击确认按钮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系统跳出弹窗提示增加成功并返回员工列表显示界面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2-4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点击取消新增员工信息按钮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系统返回员工列表显示界面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2-5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点击查看员工信息按钮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跳转至该员工信息显示界面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2-6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点击删除员工按钮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系统跳出弹窗提示删除成功并返回员工列表显示界面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2-7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点击确认查看按钮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返回员工列表显示界面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2-8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点击修改权限按钮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跳转至修改权限界面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2-9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点击相应职位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跳转至相应职位权限界面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2-10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点击取消修改权限按钮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系统返回初始修改权限界面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1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2-11</w:t>
            </w:r>
          </w:p>
        </w:tc>
        <w:tc>
          <w:tcPr>
            <w:tcW w:w="136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管理员</w:t>
            </w:r>
          </w:p>
        </w:tc>
        <w:tc>
          <w:tcPr>
            <w:tcW w:w="2595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点击查询按钮并输入员工ID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跳转至该员工信息显示界面</w:t>
            </w:r>
          </w:p>
        </w:tc>
      </w:tr>
    </w:tbl>
    <w:p>
      <w:pPr>
        <w:pStyle w:val="18"/>
        <w:ind w:left="3365" w:firstLine="0" w:firstLineChars="0"/>
        <w:rPr>
          <w:rFonts w:hint="eastAsia"/>
          <w:b/>
        </w:rPr>
      </w:pPr>
    </w:p>
    <w:p>
      <w:pPr>
        <w:pStyle w:val="18"/>
        <w:ind w:left="3365" w:firstLine="0" w:firstLineChars="0"/>
        <w:rPr>
          <w:rFonts w:hint="eastAsia" w:cs="宋体"/>
          <w:b/>
          <w:sz w:val="40"/>
          <w:szCs w:val="40"/>
        </w:rPr>
      </w:pPr>
      <w:r>
        <w:rPr>
          <w:rFonts w:hint="eastAsia"/>
          <w:b/>
        </w:rPr>
        <w:t>TUS3的测试用例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388"/>
        <w:gridCol w:w="2580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ID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用户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输入</w:t>
            </w:r>
          </w:p>
        </w:tc>
        <w:tc>
          <w:tcPr>
            <w:tcW w:w="3646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点击增加机构按钮</w:t>
            </w:r>
          </w:p>
        </w:tc>
        <w:tc>
          <w:tcPr>
            <w:tcW w:w="3646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跳转至新增员工信息填写界面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3-2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未填写新增机构姓名并点击确认按钮</w:t>
            </w:r>
          </w:p>
        </w:tc>
        <w:tc>
          <w:tcPr>
            <w:tcW w:w="3646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系统跳出弹窗并提示请完整填写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3-3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正确填写新增机构信息并点击确认按钮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系统跳出弹窗提示增加成功并返回机构列表显示界面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3-4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点击取消新增机构信息按钮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返回机构列表显示界面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3-5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点击查看机构信息按钮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跳转至该机构信息显示界面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3-6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点击删除机构按钮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系统跳出弹窗提示删除成功并返回机构列表显示界面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3-7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点击查看员工信息按钮</w:t>
            </w:r>
          </w:p>
        </w:tc>
        <w:tc>
          <w:tcPr>
            <w:tcW w:w="3646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跳转至该员工信息显示界面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3-8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点击修改职位按钮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跳转至员工信息修改界面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3-9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点击修改薪水按钮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跳转至修改薪水界面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3-10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未完整填写薪水信息并点击确认按钮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系统跳出弹窗并提示请完整填写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3-11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pStyle w:val="19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完整填写薪水信息并点击确认按钮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返回更新信息后的员工信息界面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3-12</w:t>
            </w:r>
          </w:p>
        </w:tc>
        <w:tc>
          <w:tcPr>
            <w:tcW w:w="1388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点击确认查看按钮</w:t>
            </w:r>
          </w:p>
        </w:tc>
        <w:tc>
          <w:tcPr>
            <w:tcW w:w="3646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返回机构列表显示界面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3-13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点击查询按钮并输入机构ID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跳转至该机构信息显示界面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3-14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点击审批单据，勾选通过的单据后提交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提示单据审批成功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3-15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点击制定常量，输入的常量值为空或者小于零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提示错误，错误信息为常量值不符合规范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3-16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点击制定常量，输入合理常量值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提示常量制定成功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3-17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点击查看日志，所选日期大于今日日期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提示错误，错误信息为日期选择错误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TUS 3-18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点击查看日志，所选日期小于等于今日日期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显示所选日期的所有操作日志</w:t>
            </w:r>
          </w:p>
        </w:tc>
      </w:tr>
    </w:tbl>
    <w:p>
      <w:pPr>
        <w:rPr>
          <w:rFonts w:hint="eastAsia"/>
        </w:rPr>
      </w:pPr>
    </w:p>
    <w:p>
      <w:pPr>
        <w:rPr>
          <w:rFonts w:cs="宋体"/>
          <w:b/>
          <w:sz w:val="40"/>
          <w:szCs w:val="4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TUS4的测试用例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410"/>
        <w:gridCol w:w="3090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4-1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快递员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点击新建寄件单，快递物流编号仅输入九位（长度不等于10位）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提示错误，错误信息为快递物流编号格式错误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4-2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快递员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点击新建寄件单，手机号码输入10位（长度不等于11位）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提示错误，错误信息为手机号码格式错误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4-3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快递员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点击新建寄件单，寄件信息存在未填写部分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提示错误，错误信息为寄件信息不完整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4-4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快递员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点击新建寄件单，收件信息存在未填写部分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提示错误，错误信息为收件信息不完整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4-5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快递员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点击新建寄件单，正确填写所有信息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提示单据提交成功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4-6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快递员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点击填写收件信息，输入不存在的快递物流编号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提示错误，错误信息为不存在对应的寄件单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4-7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快递员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点击填写收件信息，输入存在的快递物流编号，并填写所有的收件信息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显示对应寄件单信息，提交后提示单据提交成功</w:t>
            </w:r>
          </w:p>
        </w:tc>
      </w:tr>
    </w:tbl>
    <w:p>
      <w:pPr/>
    </w:p>
    <w:p>
      <w:pPr>
        <w:ind w:left="2520" w:firstLine="420"/>
        <w:rPr>
          <w:rFonts w:cs="宋体"/>
          <w:b/>
          <w:sz w:val="40"/>
          <w:szCs w:val="40"/>
        </w:rPr>
      </w:pPr>
      <w:r>
        <w:rPr>
          <w:rFonts w:hint="eastAsia"/>
          <w:b/>
        </w:rPr>
        <w:t>TUS5的测试用例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410"/>
        <w:gridCol w:w="3090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5-1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点击新建付款单，选择银行账户，付款金额大于账户余额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提示错误，错误信息为账户余额不足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5-2</w:t>
            </w:r>
          </w:p>
        </w:tc>
        <w:tc>
          <w:tcPr>
            <w:tcW w:w="141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点击新建付款单，选择银行账户，付款金额小于等于账户余额</w:t>
            </w:r>
          </w:p>
        </w:tc>
        <w:tc>
          <w:tcPr>
            <w:tcW w:w="310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提示单据提交成功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5-3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进入银行账户管理界面，增加一个银行账户，不输入任何信息并保存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系统提示信息填写错误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5-4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进入银行账户管理界面，增加一个银行账户，只输入银行账户名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系统提示信息填写错误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5-5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进入银行账户管理界面，增加一个银行账户，输入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账户名：小灯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账号：10002000300040005000（20位）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余额：200.444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系统提示信息填写错误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5-6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进入银行账户管理界面，增加一个银行账户，输入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账户名：小灯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账号：1000200030004000500（20位）</w:t>
            </w:r>
          </w:p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余额：200.444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系统保存新账户，显示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账户名：小灯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账号：1000200030004000500（20位）</w:t>
            </w:r>
          </w:p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余额：200.44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5-7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进入银行账户管理界面，再次增加一个银行账户，输入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账户名：小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灯</w:t>
            </w:r>
          </w:p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账号：1000200030004000500（20位）</w:t>
            </w:r>
          </w:p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余额：200.444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系统提示已存在账户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5-8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进入期初建账界面，不输入任何信息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系统提示信息填写错误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5-9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进入期初建账界面，进入银行账户界面，同银行账户管理界面测试用例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5-10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进入期初建账界面，进入司机信息界面，同司机信息界面测试用例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5-11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进入期初建账界面，进入车辆信息界面，同车辆信息界面测试用例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5-12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进入期初建账界面，进入库存信息界面，同库存信息界面测试用例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5-13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财务人员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进入期初建账界面，进入人员信息界面，同人员信息界面测试用例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ind w:left="2520" w:firstLine="420"/>
        <w:rPr>
          <w:rFonts w:cs="宋体"/>
          <w:b/>
          <w:sz w:val="40"/>
          <w:szCs w:val="40"/>
        </w:rPr>
      </w:pPr>
      <w:r>
        <w:rPr>
          <w:rFonts w:hint="eastAsia"/>
          <w:b/>
        </w:rPr>
        <w:t>TUS6的测试用例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816"/>
        <w:gridCol w:w="2685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</w:t>
            </w:r>
          </w:p>
        </w:tc>
        <w:tc>
          <w:tcPr>
            <w:tcW w:w="18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</w:t>
            </w:r>
          </w:p>
        </w:tc>
        <w:tc>
          <w:tcPr>
            <w:tcW w:w="268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</w:t>
            </w:r>
          </w:p>
        </w:tc>
        <w:tc>
          <w:tcPr>
            <w:tcW w:w="310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6-1</w:t>
            </w:r>
          </w:p>
        </w:tc>
        <w:tc>
          <w:tcPr>
            <w:tcW w:w="18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营业厅业务员/中转中心业务员</w:t>
            </w:r>
          </w:p>
        </w:tc>
        <w:tc>
          <w:tcPr>
            <w:tcW w:w="268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点击新建装车单，所填快递物流编号小于十位</w:t>
            </w:r>
          </w:p>
        </w:tc>
        <w:tc>
          <w:tcPr>
            <w:tcW w:w="310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提示错误，错误信息为快递物流编号格式错误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6-2</w:t>
            </w:r>
          </w:p>
        </w:tc>
        <w:tc>
          <w:tcPr>
            <w:tcW w:w="1816" w:type="dxa"/>
          </w:tcPr>
          <w:p>
            <w:pPr>
              <w:pStyle w:val="20"/>
              <w:tabs>
                <w:tab w:val="center" w:pos="672"/>
              </w:tabs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营业厅业务员/中转中心业务员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</w:p>
        </w:tc>
        <w:tc>
          <w:tcPr>
            <w:tcW w:w="268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点击新建装车单，正确填写所有信息</w:t>
            </w:r>
          </w:p>
        </w:tc>
        <w:tc>
          <w:tcPr>
            <w:tcW w:w="310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提示单据提交成功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6-3</w:t>
            </w:r>
          </w:p>
        </w:tc>
        <w:tc>
          <w:tcPr>
            <w:tcW w:w="18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营业厅业务员/中转中心业务员</w:t>
            </w:r>
          </w:p>
        </w:tc>
        <w:tc>
          <w:tcPr>
            <w:tcW w:w="268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点击新建接收单，所填快递物流编号小于十位</w:t>
            </w:r>
          </w:p>
        </w:tc>
        <w:tc>
          <w:tcPr>
            <w:tcW w:w="310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提示错误，错误信息为快递物流编号格式错误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6-4</w:t>
            </w:r>
          </w:p>
        </w:tc>
        <w:tc>
          <w:tcPr>
            <w:tcW w:w="1816" w:type="dxa"/>
          </w:tcPr>
          <w:p>
            <w:pPr>
              <w:pStyle w:val="20"/>
              <w:tabs>
                <w:tab w:val="center" w:pos="672"/>
              </w:tabs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营业厅业务员/中转中心业务员</w:t>
            </w:r>
          </w:p>
        </w:tc>
        <w:tc>
          <w:tcPr>
            <w:tcW w:w="268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点击新建接收单，正确填写所有信息</w:t>
            </w:r>
          </w:p>
        </w:tc>
        <w:tc>
          <w:tcPr>
            <w:tcW w:w="310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提示单据提交成功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16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TUS 6-5</w:t>
            </w:r>
          </w:p>
        </w:tc>
        <w:tc>
          <w:tcPr>
            <w:tcW w:w="1816" w:type="dxa"/>
          </w:tcPr>
          <w:p>
            <w:pPr>
              <w:pStyle w:val="20"/>
              <w:tabs>
                <w:tab w:val="center" w:pos="672"/>
              </w:tabs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中转中心业务员</w:t>
            </w:r>
          </w:p>
        </w:tc>
        <w:tc>
          <w:tcPr>
            <w:tcW w:w="268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点击新建发货单，正确填写所有信息</w:t>
            </w:r>
          </w:p>
        </w:tc>
        <w:tc>
          <w:tcPr>
            <w:tcW w:w="3105" w:type="dxa"/>
          </w:tcPr>
          <w:p>
            <w:pPr>
              <w:pStyle w:val="20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提示单据提交成功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8214806">
    <w:nsid w:val="3E7A7D16"/>
    <w:multiLevelType w:val="multilevel"/>
    <w:tmpl w:val="3E7A7D16"/>
    <w:lvl w:ilvl="0" w:tentative="1">
      <w:start w:val="1"/>
      <w:numFmt w:val="decimal"/>
      <w:lvlText w:val="%1)"/>
      <w:lvlJc w:val="left"/>
      <w:pPr>
        <w:ind w:left="2473" w:hanging="420"/>
      </w:pPr>
    </w:lvl>
    <w:lvl w:ilvl="1" w:tentative="1">
      <w:start w:val="1"/>
      <w:numFmt w:val="lowerLetter"/>
      <w:lvlText w:val="%2)"/>
      <w:lvlJc w:val="left"/>
      <w:pPr>
        <w:ind w:left="2893" w:hanging="420"/>
      </w:pPr>
    </w:lvl>
    <w:lvl w:ilvl="2" w:tentative="1">
      <w:start w:val="1"/>
      <w:numFmt w:val="lowerRoman"/>
      <w:lvlText w:val="%3."/>
      <w:lvlJc w:val="right"/>
      <w:pPr>
        <w:ind w:left="3313" w:hanging="420"/>
      </w:pPr>
    </w:lvl>
    <w:lvl w:ilvl="3" w:tentative="1">
      <w:start w:val="1"/>
      <w:numFmt w:val="decimal"/>
      <w:lvlText w:val="%4."/>
      <w:lvlJc w:val="left"/>
      <w:pPr>
        <w:ind w:left="3733" w:hanging="420"/>
      </w:pPr>
    </w:lvl>
    <w:lvl w:ilvl="4" w:tentative="1">
      <w:start w:val="1"/>
      <w:numFmt w:val="lowerLetter"/>
      <w:lvlText w:val="%5)"/>
      <w:lvlJc w:val="left"/>
      <w:pPr>
        <w:ind w:left="4153" w:hanging="420"/>
      </w:pPr>
    </w:lvl>
    <w:lvl w:ilvl="5" w:tentative="1">
      <w:start w:val="1"/>
      <w:numFmt w:val="lowerRoman"/>
      <w:lvlText w:val="%6."/>
      <w:lvlJc w:val="right"/>
      <w:pPr>
        <w:ind w:left="4573" w:hanging="420"/>
      </w:pPr>
    </w:lvl>
    <w:lvl w:ilvl="6" w:tentative="1">
      <w:start w:val="1"/>
      <w:numFmt w:val="decimal"/>
      <w:lvlText w:val="%7."/>
      <w:lvlJc w:val="left"/>
      <w:pPr>
        <w:ind w:left="4993" w:hanging="420"/>
      </w:pPr>
    </w:lvl>
    <w:lvl w:ilvl="7" w:tentative="1">
      <w:start w:val="1"/>
      <w:numFmt w:val="lowerLetter"/>
      <w:lvlText w:val="%8)"/>
      <w:lvlJc w:val="left"/>
      <w:pPr>
        <w:ind w:left="5413" w:hanging="420"/>
      </w:pPr>
    </w:lvl>
    <w:lvl w:ilvl="8" w:tentative="1">
      <w:start w:val="1"/>
      <w:numFmt w:val="lowerRoman"/>
      <w:lvlText w:val="%9."/>
      <w:lvlJc w:val="right"/>
      <w:pPr>
        <w:ind w:left="5833" w:hanging="420"/>
      </w:pPr>
    </w:lvl>
  </w:abstractNum>
  <w:abstractNum w:abstractNumId="159544284">
    <w:nsid w:val="098273DC"/>
    <w:multiLevelType w:val="multilevel"/>
    <w:tmpl w:val="098273DC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74157863">
    <w:nsid w:val="7BA12327"/>
    <w:multiLevelType w:val="multilevel"/>
    <w:tmpl w:val="7BA12327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11564813">
    <w:nsid w:val="5422C50D"/>
    <w:multiLevelType w:val="multilevel"/>
    <w:tmpl w:val="5422C5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11564813"/>
  </w:num>
  <w:num w:numId="2">
    <w:abstractNumId w:val="2074157863"/>
  </w:num>
  <w:num w:numId="3">
    <w:abstractNumId w:val="1048214806"/>
  </w:num>
  <w:num w:numId="4">
    <w:abstractNumId w:val="159544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29E"/>
    <w:rsid w:val="000B137E"/>
    <w:rsid w:val="001725A9"/>
    <w:rsid w:val="0065629E"/>
    <w:rsid w:val="009D27B1"/>
    <w:rsid w:val="00A5284C"/>
    <w:rsid w:val="00DE1ADA"/>
    <w:rsid w:val="48F52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2">
    <w:name w:val="No Spacing"/>
    <w:link w:val="13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link w:val="12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4">
    <w:name w:val="apple-style-span"/>
    <w:basedOn w:val="7"/>
    <w:uiPriority w:val="0"/>
  </w:style>
  <w:style w:type="character" w:customStyle="1" w:styleId="15">
    <w:name w:val="apple-converted-space"/>
    <w:uiPriority w:val="0"/>
  </w:style>
  <w:style w:type="paragraph" w:customStyle="1" w:styleId="1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7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List Paragraph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列出段落1"/>
    <w:basedOn w:val="1"/>
    <w:uiPriority w:val="0"/>
    <w:pPr>
      <w:ind w:firstLine="420" w:firstLineChars="200"/>
    </w:pPr>
    <w:rPr>
      <w:rFonts w:ascii="Calibri" w:hAnsi="Calibr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820</Words>
  <Characters>4678</Characters>
  <Lines>38</Lines>
  <Paragraphs>10</Paragraphs>
  <TotalTime>0</TotalTime>
  <ScaleCrop>false</ScaleCrop>
  <LinksUpToDate>false</LinksUpToDate>
  <CharactersWithSpaces>5488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2015-12-20T11:36:00Z</dcterms:created>
  <dc:creator>曹姝玥</dc:creator>
  <cp:lastModifiedBy>dell</cp:lastModifiedBy>
  <dcterms:modified xsi:type="dcterms:W3CDTF">2015-12-20T13:38:49Z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