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0000" w:sz="6" w:space="1"/>
        </w:pBdr>
      </w:pPr>
      <w:r>
        <w:t>Application Activity: Basic Paragraph</w:t>
      </w:r>
    </w:p>
    <w:p w14:paraId="02DFECBC">
      <w:pPr>
        <w:rPr>
          <w:rFonts w:hint="default"/>
          <w:sz w:val="32"/>
          <w:szCs w:val="32"/>
          <w:lang w:val="es-ES"/>
        </w:rPr>
      </w:pPr>
      <w:r>
        <w:t xml:space="preserve">Name: </w:t>
      </w:r>
      <w:r>
        <w:rPr>
          <w:i/>
          <w:iCs/>
          <w:color w:val="1F497D" w:themeColor="text2"/>
          <w14:textFill>
            <w14:solidFill>
              <w14:schemeClr w14:val="tx2"/>
            </w14:solidFill>
          </w14:textFill>
        </w:rPr>
        <w:t xml:space="preserve"> </w:t>
      </w:r>
      <w:r>
        <w:rPr>
          <w:rFonts w:hint="default"/>
          <w:i/>
          <w:iCs/>
          <w:color w:val="1F497D" w:themeColor="text2"/>
          <w:lang w:val="es-ES"/>
          <w14:textFill>
            <w14:solidFill>
              <w14:schemeClr w14:val="tx2"/>
            </w14:solidFill>
          </w14:textFill>
        </w:rPr>
        <w:t>Leida Josefina Pereira Hidrogo</w:t>
      </w:r>
    </w:p>
    <w:p w14:paraId="5985E55D">
      <w:pPr>
        <w:pStyle w:val="3"/>
        <w:rPr>
          <w:sz w:val="32"/>
          <w:szCs w:val="32"/>
        </w:rPr>
      </w:pPr>
      <w:r>
        <w:rPr>
          <w:sz w:val="32"/>
          <w:szCs w:val="32"/>
        </w:rPr>
        <w:t>Instructions</w:t>
      </w:r>
    </w:p>
    <w:p w14:paraId="24A59F7A">
      <w:pPr>
        <w:rPr>
          <w:sz w:val="20"/>
          <w:szCs w:val="20"/>
        </w:rPr>
      </w:pPr>
      <w:r>
        <w:rPr>
          <w:sz w:val="20"/>
          <w:szCs w:val="20"/>
        </w:rPr>
        <w:t>Write a paragraph in response to the writing prompt. First write the parts of the paragraph in the appropriate order (topic sentence, supporting details, and concluding sentence). Then paste the paragraph parts into one single paragraph. Look at the sample to see how this is done.</w:t>
      </w:r>
    </w:p>
    <w:p w14:paraId="7D10387D"/>
    <w:p w14:paraId="00000007">
      <w:pPr>
        <w:pStyle w:val="3"/>
        <w:rPr>
          <w:sz w:val="24"/>
          <w:szCs w:val="24"/>
        </w:rPr>
      </w:pPr>
      <w:r>
        <w:rPr>
          <w:sz w:val="24"/>
          <w:szCs w:val="24"/>
        </w:rPr>
        <w:t>Writing Prompt</w:t>
      </w:r>
    </w:p>
    <w:p w14:paraId="1AE74FA4">
      <w:pPr>
        <w:rPr>
          <w:sz w:val="20"/>
          <w:szCs w:val="20"/>
        </w:rPr>
      </w:pPr>
      <w:r>
        <w:rPr>
          <w:i/>
          <w:iCs/>
          <w:sz w:val="20"/>
          <w:szCs w:val="20"/>
        </w:rPr>
        <w:t>Choose a learning strategy from the course and explain why it can help you succeed in PathwayConnect</w:t>
      </w:r>
      <w:r>
        <w:rPr>
          <w:sz w:val="20"/>
          <w:szCs w:val="20"/>
        </w:rPr>
        <w:t>.</w:t>
      </w:r>
      <w:bookmarkStart w:id="0" w:name="_heading=h.r5hct89dsf2s" w:colFirst="0" w:colLast="0"/>
      <w:bookmarkEnd w:id="0"/>
    </w:p>
    <w:p w14:paraId="12E09F81"/>
    <w:p w14:paraId="7797E0E0">
      <w:pPr>
        <w:pStyle w:val="3"/>
        <w:rPr>
          <w:color w:val="7030A0"/>
          <w:sz w:val="24"/>
          <w:szCs w:val="24"/>
        </w:rPr>
      </w:pPr>
      <w:r>
        <w:rPr>
          <w:color w:val="7030A0"/>
          <w:sz w:val="24"/>
          <w:szCs w:val="24"/>
        </w:rPr>
        <w:t>Sample Paragraph</w:t>
      </w:r>
    </w:p>
    <w:p w14:paraId="458DB748"/>
    <w:p w14:paraId="2BD5D511">
      <w:pPr>
        <w:pStyle w:val="10"/>
        <w:numPr>
          <w:ilvl w:val="0"/>
          <w:numId w:val="1"/>
        </w:numPr>
        <w:spacing w:before="0" w:beforeAutospacing="0" w:after="0" w:afterAutospacing="0"/>
        <w:rPr>
          <w:rFonts w:ascii="Calibri" w:hAnsi="Calibri" w:eastAsia="Calibri" w:cs="Calibri"/>
          <w:b/>
          <w:sz w:val="18"/>
          <w:szCs w:val="18"/>
        </w:rPr>
      </w:pPr>
      <w:r>
        <w:rPr>
          <w:rFonts w:ascii="Calibri" w:hAnsi="Calibri" w:eastAsia="Calibri" w:cs="Calibri"/>
          <w:b/>
          <w:sz w:val="18"/>
          <w:szCs w:val="18"/>
        </w:rPr>
        <w:t>Topic Sentence</w:t>
      </w:r>
    </w:p>
    <w:p w14:paraId="455BB050">
      <w:pPr>
        <w:pStyle w:val="10"/>
        <w:spacing w:before="0" w:beforeAutospacing="0" w:after="0" w:afterAutospacing="0"/>
        <w:ind w:left="720"/>
        <w:rPr>
          <w:rFonts w:ascii="Calibri" w:hAnsi="Calibri" w:eastAsia="Calibri" w:cs="Calibri"/>
          <w:sz w:val="18"/>
          <w:szCs w:val="18"/>
        </w:rPr>
      </w:pPr>
      <w:r>
        <w:rPr>
          <w:rFonts w:ascii="Calibri" w:hAnsi="Calibri" w:eastAsia="Calibri" w:cs="Calibri"/>
          <w:sz w:val="18"/>
          <w:szCs w:val="18"/>
        </w:rPr>
        <w:t>This should state a single controlling idea for the whole paragraph.</w:t>
      </w:r>
    </w:p>
    <w:p w14:paraId="6987BD4F">
      <w:pPr>
        <w:pStyle w:val="10"/>
        <w:spacing w:before="0" w:beforeAutospacing="0" w:after="0" w:afterAutospacing="0"/>
        <w:rPr>
          <w:rFonts w:ascii="Calibri" w:hAnsi="Calibri" w:eastAsia="Calibri" w:cs="Calibri"/>
          <w:sz w:val="18"/>
          <w:szCs w:val="18"/>
        </w:rPr>
      </w:pPr>
    </w:p>
    <w:p w14:paraId="17766E25">
      <w:pPr>
        <w:ind w:left="720"/>
        <w:rPr>
          <w:color w:val="376092" w:themeColor="accent1" w:themeShade="BF"/>
          <w:sz w:val="20"/>
          <w:szCs w:val="20"/>
        </w:rPr>
      </w:pPr>
      <w:r>
        <w:rPr>
          <w:color w:val="376092" w:themeColor="accent1" w:themeShade="BF"/>
          <w:sz w:val="20"/>
          <w:szCs w:val="20"/>
        </w:rPr>
        <w:t xml:space="preserve"> “Teach to Learn” is a learning strategy that will help me succeed in PathwayConnect because it will force me to think of more than one way to explain concepts.</w:t>
      </w:r>
    </w:p>
    <w:p w14:paraId="3E92EC5D">
      <w:pPr>
        <w:ind w:left="720"/>
        <w:rPr>
          <w:color w:val="376092" w:themeColor="accent1" w:themeShade="BF"/>
          <w:sz w:val="20"/>
          <w:szCs w:val="20"/>
        </w:rPr>
      </w:pPr>
    </w:p>
    <w:p w14:paraId="3694CA56">
      <w:pPr>
        <w:pStyle w:val="19"/>
        <w:numPr>
          <w:ilvl w:val="0"/>
          <w:numId w:val="1"/>
        </w:numPr>
        <w:rPr>
          <w:b/>
          <w:bCs/>
          <w:sz w:val="18"/>
          <w:szCs w:val="18"/>
        </w:rPr>
      </w:pPr>
      <w:r>
        <w:rPr>
          <w:b/>
          <w:bCs/>
          <w:sz w:val="18"/>
          <w:szCs w:val="18"/>
        </w:rPr>
        <w:t>Supporting Details</w:t>
      </w:r>
    </w:p>
    <w:p w14:paraId="05230948">
      <w:pPr>
        <w:ind w:left="720"/>
        <w:rPr>
          <w:sz w:val="18"/>
          <w:szCs w:val="18"/>
        </w:rPr>
      </w:pPr>
      <w:r>
        <w:rPr>
          <w:sz w:val="18"/>
          <w:szCs w:val="18"/>
        </w:rPr>
        <w:t>Support the topic sentence. Use two supporting details from the approved list (i.e. fact, expert testimony, statistics, personal experience). Write complete sentences.</w:t>
      </w:r>
    </w:p>
    <w:p w14:paraId="2C27BFF0">
      <w:pPr>
        <w:rPr>
          <w:sz w:val="18"/>
          <w:szCs w:val="18"/>
        </w:rPr>
      </w:pPr>
    </w:p>
    <w:p w14:paraId="0BFB172F">
      <w:pPr>
        <w:ind w:left="720"/>
        <w:rPr>
          <w:color w:val="376092" w:themeColor="accent1" w:themeShade="BF"/>
          <w:sz w:val="20"/>
          <w:szCs w:val="20"/>
        </w:rPr>
      </w:pPr>
      <w:r>
        <w:rPr>
          <w:color w:val="376092" w:themeColor="accent1" w:themeShade="BF"/>
          <w:sz w:val="20"/>
          <w:szCs w:val="20"/>
        </w:rPr>
        <w:t xml:space="preserve">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w:t>
      </w:r>
    </w:p>
    <w:p w14:paraId="0BF043FB">
      <w:pPr>
        <w:ind w:firstLine="360"/>
        <w:rPr>
          <w:b/>
          <w:bCs/>
          <w:color w:val="FF0000"/>
          <w:sz w:val="20"/>
          <w:szCs w:val="20"/>
        </w:rPr>
      </w:pPr>
    </w:p>
    <w:p w14:paraId="30DAB0C4">
      <w:pPr>
        <w:pStyle w:val="19"/>
        <w:numPr>
          <w:ilvl w:val="0"/>
          <w:numId w:val="1"/>
        </w:numPr>
        <w:rPr>
          <w:sz w:val="18"/>
          <w:szCs w:val="18"/>
        </w:rPr>
      </w:pPr>
      <w:r>
        <w:rPr>
          <w:b/>
          <w:bCs/>
          <w:sz w:val="18"/>
          <w:szCs w:val="18"/>
        </w:rPr>
        <w:t>Concluding Sentence</w:t>
      </w:r>
    </w:p>
    <w:p w14:paraId="50BC10EA">
      <w:pPr>
        <w:ind w:left="720"/>
        <w:rPr>
          <w:sz w:val="18"/>
          <w:szCs w:val="18"/>
        </w:rPr>
      </w:pPr>
      <w:r>
        <w:rPr>
          <w:sz w:val="18"/>
          <w:szCs w:val="18"/>
        </w:rPr>
        <w:t>This should sum up the supporting details of the paragraph and reinforce the topic sentence.</w:t>
      </w:r>
    </w:p>
    <w:p w14:paraId="59E1C64F">
      <w:pPr>
        <w:rPr>
          <w:sz w:val="18"/>
          <w:szCs w:val="18"/>
        </w:rPr>
      </w:pPr>
    </w:p>
    <w:p w14:paraId="4211A0E3">
      <w:pPr>
        <w:ind w:left="720"/>
        <w:rPr>
          <w:color w:val="376092" w:themeColor="accent1" w:themeShade="BF"/>
          <w:sz w:val="20"/>
          <w:szCs w:val="20"/>
        </w:rPr>
      </w:pPr>
      <w:r>
        <w:rPr>
          <w:color w:val="376092" w:themeColor="accent1" w:themeShade="BF"/>
          <w:sz w:val="20"/>
          <w:szCs w:val="20"/>
        </w:rPr>
        <w:t>Through the expert testimony of others and my own personal experience, I have learned that as I teach to learn, the efforts I make to help others understand will help me understand too, and that will help me succeed in PathwayConnect.</w:t>
      </w:r>
    </w:p>
    <w:p w14:paraId="3E49A2D9">
      <w:pPr>
        <w:rPr>
          <w:rFonts w:ascii="Arial" w:hAnsi="Arial" w:eastAsia="Arial" w:cs="Arial"/>
          <w:b/>
          <w:sz w:val="20"/>
          <w:szCs w:val="20"/>
        </w:rPr>
      </w:pPr>
    </w:p>
    <w:p w14:paraId="4B3ED7B2">
      <w:pPr>
        <w:ind w:firstLine="720"/>
        <w:rPr>
          <w:rFonts w:ascii="Arial" w:hAnsi="Arial" w:eastAsia="Arial" w:cs="Arial"/>
          <w:bCs/>
          <w:color w:val="FF0000"/>
          <w:sz w:val="20"/>
          <w:szCs w:val="20"/>
        </w:rPr>
      </w:pPr>
    </w:p>
    <w:p w14:paraId="3C7C2635">
      <w:pPr>
        <w:ind w:firstLine="720"/>
        <w:rPr>
          <w:rFonts w:ascii="Arial" w:hAnsi="Arial" w:eastAsia="Arial" w:cs="Arial"/>
          <w:b/>
          <w:sz w:val="20"/>
          <w:szCs w:val="20"/>
        </w:rPr>
      </w:pPr>
      <w:r>
        <w:rPr>
          <w:rFonts w:ascii="Arial" w:hAnsi="Arial" w:eastAsia="Arial" w:cs="Arial"/>
          <w:bCs/>
          <w:color w:val="FF0000"/>
          <w:sz w:val="20"/>
          <w:szCs w:val="20"/>
        </w:rPr>
        <w:t>Paste the paragraph parts together here. Indent the first line. Do not separate lines with space.</w:t>
      </w:r>
    </w:p>
    <w:p w14:paraId="55CC851F">
      <w:pPr>
        <w:ind w:left="360"/>
        <w:rPr>
          <w:i/>
          <w:iCs/>
          <w:color w:val="376092" w:themeColor="accent1" w:themeShade="BF"/>
          <w:sz w:val="20"/>
          <w:szCs w:val="20"/>
        </w:rPr>
      </w:pPr>
      <w:r>
        <w:rPr>
          <w:rFonts w:ascii="Arial" w:hAnsi="Arial" w:eastAsia="Arial" w:cs="Arial"/>
          <w:b/>
          <w:sz w:val="20"/>
          <w:szCs w:val="20"/>
        </w:rPr>
        <mc:AlternateContent>
          <mc:Choice Requires="wps">
            <w:drawing>
              <wp:anchor distT="0" distB="0" distL="114300" distR="114300" simplePos="0" relativeHeight="251659264" behindDoc="0" locked="0" layoutInCell="1" allowOverlap="1">
                <wp:simplePos x="0" y="0"/>
                <wp:positionH relativeFrom="column">
                  <wp:posOffset>-65405</wp:posOffset>
                </wp:positionH>
                <wp:positionV relativeFrom="paragraph">
                  <wp:posOffset>113030</wp:posOffset>
                </wp:positionV>
                <wp:extent cx="711835" cy="262255"/>
                <wp:effectExtent l="0" t="0" r="0" b="0"/>
                <wp:wrapNone/>
                <wp:docPr id="1" name="Text Box 1"/>
                <wp:cNvGraphicFramePr/>
                <a:graphic xmlns:a="http://schemas.openxmlformats.org/drawingml/2006/main">
                  <a:graphicData uri="http://schemas.microsoft.com/office/word/2010/wordprocessingShape">
                    <wps:wsp>
                      <wps:cNvSpPr txBox="1"/>
                      <wps:spPr>
                        <a:xfrm>
                          <a:off x="0" y="0"/>
                          <a:ext cx="712033" cy="262328"/>
                        </a:xfrm>
                        <a:prstGeom prst="rect">
                          <a:avLst/>
                        </a:prstGeom>
                        <a:noFill/>
                        <a:ln w="6350">
                          <a:noFill/>
                        </a:ln>
                      </wps:spPr>
                      <wps:txbx>
                        <w:txbxContent>
                          <w:p w14:paraId="0D489DE5">
                            <w:pPr>
                              <w:rPr>
                                <w:sz w:val="20"/>
                                <w:szCs w:val="20"/>
                              </w:rPr>
                            </w:pPr>
                            <w:r>
                              <w:rPr>
                                <w:sz w:val="20"/>
                                <w:szCs w:val="20"/>
                              </w:rPr>
                              <w:t xml:space="preserve">Indent </w:t>
                            </w:r>
                            <w:r>
                              <w:rPr>
                                <w:rFonts w:ascii="Wingdings" w:hAnsi="Wingdings" w:eastAsia="Wingdings" w:cs="Wingdings"/>
                                <w:sz w:val="20"/>
                                <w:szCs w:val="20"/>
                              </w:rPr>
                              <w:t>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5.15pt;margin-top:8.9pt;height:20.65pt;width:56.05pt;z-index:251659264;mso-width-relative:page;mso-height-relative:page;" filled="f" stroked="f" coordsize="21600,21600" o:gfxdata="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UgMptkAAAAJAQAADwAAAAAAAAABACAAAAAiAAAAZHJzL2Rvd25yZXYueG1sUEsBAhQA&#10;FAAAAAgAh07iQNwrjSUqAgAAZAQAAA4AAAAAAAAAAQAgAAAAKAEAAGRycy9lMm9Eb2MueG1sUEsF&#10;BgAAAAAGAAYAWQEAAMQFAAAAAA==&#10;">
                <v:fill on="f" focussize="0,0"/>
                <v:stroke on="f" weight="0.5pt"/>
                <v:imagedata o:title=""/>
                <o:lock v:ext="edit" aspectratio="f"/>
                <v:textbox>
                  <w:txbxContent>
                    <w:p w14:paraId="0D489DE5">
                      <w:pPr>
                        <w:rPr>
                          <w:sz w:val="20"/>
                          <w:szCs w:val="20"/>
                        </w:rPr>
                      </w:pPr>
                      <w:r>
                        <w:rPr>
                          <w:sz w:val="20"/>
                          <w:szCs w:val="20"/>
                        </w:rPr>
                        <w:t xml:space="preserve">Indent </w:t>
                      </w:r>
                      <w:r>
                        <w:rPr>
                          <w:rFonts w:ascii="Wingdings" w:hAnsi="Wingdings" w:eastAsia="Wingdings" w:cs="Wingdings"/>
                          <w:sz w:val="20"/>
                          <w:szCs w:val="20"/>
                        </w:rPr>
                        <w:t>à</w:t>
                      </w:r>
                    </w:p>
                  </w:txbxContent>
                </v:textbox>
              </v:shape>
            </w:pict>
          </mc:Fallback>
        </mc:AlternateContent>
      </w:r>
      <w:r>
        <w:rPr>
          <w:rFonts w:ascii="Arial" w:hAnsi="Arial" w:eastAsia="Arial" w:cs="Arial"/>
          <w:b/>
          <w:sz w:val="20"/>
          <w:szCs w:val="20"/>
        </w:rPr>
        <w:br w:type="textWrapping"/>
      </w:r>
      <w:r>
        <w:rPr>
          <w:color w:val="376092" w:themeColor="accent1" w:themeShade="BF"/>
          <w:sz w:val="20"/>
          <w:szCs w:val="20"/>
        </w:rPr>
        <w:t xml:space="preserve">          </w:t>
      </w:r>
      <w:r>
        <w:rPr>
          <w:i/>
          <w:iCs/>
          <w:color w:val="376092" w:themeColor="accent1" w:themeShade="BF"/>
          <w:sz w:val="20"/>
          <w:szCs w:val="20"/>
        </w:rPr>
        <w:t xml:space="preserve">Teach to Learn is a learning strategy that will help me succeed in PathwayConnect because it will force me to think of more than one way to explain concepts. 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Through the expert testimony of others and my own personal experience, I have learned that as I teach to learn, the efforts I make to help others understand will help me understand too, and that will help me succeed in PathwayConnect. </w:t>
      </w:r>
    </w:p>
    <w:p w14:paraId="463712F4">
      <w:pPr>
        <w:jc w:val="right"/>
      </w:pPr>
      <w:r>
        <w:t xml:space="preserve">Go the next page to write your own paragraph </w:t>
      </w:r>
      <w:r>
        <w:rPr>
          <w:rFonts w:ascii="Wingdings" w:hAnsi="Wingdings" w:eastAsia="Wingdings" w:cs="Wingdings"/>
        </w:rPr>
        <w:t>à</w:t>
      </w:r>
    </w:p>
    <w:p w14:paraId="263D8D16">
      <w:pPr>
        <w:pStyle w:val="3"/>
        <w:rPr>
          <w:sz w:val="24"/>
          <w:szCs w:val="24"/>
        </w:rPr>
      </w:pPr>
      <w:r>
        <w:rPr>
          <w:sz w:val="24"/>
          <w:szCs w:val="24"/>
        </w:rPr>
        <w:t>Writing Prompt</w:t>
      </w:r>
    </w:p>
    <w:p w14:paraId="225A4894">
      <w:r>
        <w:rPr>
          <w:i/>
          <w:iCs/>
        </w:rPr>
        <w:t>Choose a learning strategy from the course and explain why it can help you succeed in PathwayConnect</w:t>
      </w:r>
      <w:r>
        <w:t>.</w:t>
      </w:r>
    </w:p>
    <w:p w14:paraId="48C27053"/>
    <w:p w14:paraId="0E80AB23">
      <w:pPr>
        <w:ind w:left="360"/>
        <w:rPr>
          <w:color w:val="FF0000"/>
          <w:sz w:val="20"/>
          <w:szCs w:val="20"/>
        </w:rPr>
      </w:pPr>
      <w:r>
        <w:rPr>
          <w:color w:val="FF0000"/>
          <w:sz w:val="20"/>
          <w:szCs w:val="20"/>
        </w:rPr>
        <w:t>Write the paragraph parts here</w:t>
      </w:r>
    </w:p>
    <w:p w14:paraId="5345C0C0">
      <w:pPr>
        <w:ind w:left="360"/>
        <w:rPr>
          <w:color w:val="FF0000"/>
          <w:sz w:val="20"/>
          <w:szCs w:val="20"/>
        </w:rPr>
      </w:pPr>
    </w:p>
    <w:p w14:paraId="1FD315BE">
      <w:pPr>
        <w:pStyle w:val="10"/>
        <w:numPr>
          <w:ilvl w:val="0"/>
          <w:numId w:val="2"/>
        </w:numPr>
        <w:spacing w:before="0" w:beforeAutospacing="0" w:after="0" w:afterAutospacing="0"/>
        <w:rPr>
          <w:rFonts w:ascii="Calibri" w:hAnsi="Calibri" w:eastAsia="Calibri" w:cs="Calibri"/>
          <w:b/>
          <w:sz w:val="18"/>
          <w:szCs w:val="18"/>
        </w:rPr>
      </w:pPr>
      <w:r>
        <w:rPr>
          <w:rFonts w:ascii="Calibri" w:hAnsi="Calibri" w:eastAsia="Calibri" w:cs="Calibri"/>
          <w:b/>
          <w:sz w:val="18"/>
          <w:szCs w:val="18"/>
        </w:rPr>
        <w:t>Topic Sentence</w:t>
      </w:r>
    </w:p>
    <w:p w14:paraId="1A3EA168">
      <w:pPr>
        <w:pStyle w:val="10"/>
        <w:spacing w:before="0" w:beforeAutospacing="0" w:after="0" w:afterAutospacing="0"/>
        <w:ind w:left="720"/>
        <w:rPr>
          <w:rFonts w:ascii="Calibri" w:hAnsi="Calibri" w:eastAsia="Calibri" w:cs="Calibri"/>
          <w:sz w:val="18"/>
          <w:szCs w:val="18"/>
        </w:rPr>
      </w:pPr>
      <w:r>
        <w:rPr>
          <w:rFonts w:ascii="Calibri" w:hAnsi="Calibri" w:eastAsia="Calibri" w:cs="Calibri"/>
          <w:sz w:val="18"/>
          <w:szCs w:val="18"/>
        </w:rPr>
        <w:t>This should state a single controlling idea for the whole paragraph.</w:t>
      </w:r>
    </w:p>
    <w:p w14:paraId="7ECA2CAF">
      <w:pPr>
        <w:pStyle w:val="10"/>
        <w:spacing w:before="0" w:beforeAutospacing="0" w:after="0" w:afterAutospacing="0"/>
        <w:ind w:left="720"/>
        <w:rPr>
          <w:rFonts w:ascii="Calibri" w:hAnsi="Calibri" w:eastAsia="Calibri" w:cs="Calibri"/>
          <w:sz w:val="18"/>
          <w:szCs w:val="18"/>
        </w:rPr>
      </w:pPr>
    </w:p>
    <w:p w14:paraId="06F0E2F5">
      <w:pPr>
        <w:pStyle w:val="10"/>
        <w:spacing w:before="0" w:beforeAutospacing="0" w:after="0" w:afterAutospacing="0"/>
        <w:ind w:left="720" w:leftChars="0" w:firstLine="720" w:firstLineChars="0"/>
        <w:jc w:val="both"/>
        <w:rPr>
          <w:rFonts w:hint="default" w:ascii="Times New Roman" w:hAnsi="Times New Roman" w:cs="Times New Roman"/>
          <w:b/>
          <w:bCs/>
          <w:i/>
          <w:iCs/>
          <w:color w:val="1F497D" w:themeColor="text2"/>
          <w:sz w:val="24"/>
          <w:szCs w:val="24"/>
          <w14:textFill>
            <w14:solidFill>
              <w14:schemeClr w14:val="tx2"/>
            </w14:solidFill>
          </w14:textFill>
        </w:rPr>
      </w:pP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ascii="Times New Roman" w:hAnsi="Times New Roman" w:cs="Times New Roman"/>
          <w:i/>
          <w:iCs/>
          <w:color w:val="1F497D" w:themeColor="text2"/>
          <w:sz w:val="24"/>
          <w:szCs w:val="24"/>
          <w14:textFill>
            <w14:solidFill>
              <w14:schemeClr w14:val="tx2"/>
            </w14:solidFill>
          </w14:textFill>
        </w:rPr>
        <w:t xml:space="preserve">Recognize and Act on Promptings from the Holy </w:t>
      </w:r>
      <w:r>
        <w:rPr>
          <w:rFonts w:hint="default" w:ascii="Times New Roman" w:hAnsi="Times New Roman" w:cs="Times New Roman"/>
          <w:i/>
          <w:iCs/>
          <w:color w:val="1F497D" w:themeColor="text2"/>
          <w:sz w:val="24"/>
          <w:szCs w:val="24"/>
          <w:lang w:val="es-ES"/>
          <w14:textFill>
            <w14:solidFill>
              <w14:schemeClr w14:val="tx2"/>
            </w14:solidFill>
          </w14:textFill>
        </w:rPr>
        <w:t>Ghost</w:t>
      </w: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cs="Times New Roman"/>
          <w:b w:val="0"/>
          <w:bCs w:val="0"/>
          <w:i/>
          <w:iCs/>
          <w:color w:val="1F497D" w:themeColor="text2"/>
          <w:sz w:val="24"/>
          <w:szCs w:val="24"/>
          <w:lang w:val="es-ES"/>
          <w14:textFill>
            <w14:solidFill>
              <w14:schemeClr w14:val="tx2"/>
            </w14:solidFill>
          </w14:textFill>
        </w:rPr>
        <w:t xml:space="preserve"> is a t</w:t>
      </w:r>
      <w:r>
        <w:rPr>
          <w:rFonts w:hint="default" w:ascii="Times New Roman" w:hAnsi="Times New Roman" w:eastAsia="SimSun" w:cs="Times New Roman"/>
          <w:i/>
          <w:iCs/>
          <w:color w:val="1F497D" w:themeColor="text2"/>
          <w:sz w:val="24"/>
          <w:szCs w:val="24"/>
          <w14:textFill>
            <w14:solidFill>
              <w14:schemeClr w14:val="tx2"/>
            </w14:solidFill>
          </w14:textFill>
        </w:rPr>
        <w:t>he learning strategy of  will significantly help me succeed in PathwayConnect</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because, </w:t>
      </w:r>
      <w:r>
        <w:rPr>
          <w:rFonts w:hint="default" w:ascii="Times New Roman" w:hAnsi="Times New Roman" w:cs="Times New Roman"/>
          <w:i/>
          <w:iCs/>
          <w:color w:val="1F497D" w:themeColor="text2"/>
          <w:sz w:val="24"/>
          <w:szCs w:val="24"/>
          <w:lang w:val="es-ES"/>
          <w14:textFill>
            <w14:solidFill>
              <w14:schemeClr w14:val="tx2"/>
            </w14:solidFill>
          </w14:textFill>
        </w:rPr>
        <w:t>T</w:t>
      </w:r>
      <w:r>
        <w:rPr>
          <w:rFonts w:hint="default" w:ascii="Times New Roman" w:hAnsi="Times New Roman" w:cs="Times New Roman"/>
          <w:b w:val="0"/>
          <w:bCs w:val="0"/>
          <w:i/>
          <w:iCs/>
          <w:color w:val="1F497D" w:themeColor="text2"/>
          <w:sz w:val="24"/>
          <w:szCs w:val="24"/>
          <w14:textFill>
            <w14:solidFill>
              <w14:schemeClr w14:val="tx2"/>
            </w14:solidFill>
          </w14:textFill>
        </w:rPr>
        <w:t>he Lord communicates with me through the Holy Ghost, and I can increase my own capacity to recognize and respond to His promptings, which often come "line upon line" to my mind and heart, instead of as a single, immediate answer.</w:t>
      </w:r>
    </w:p>
    <w:p w14:paraId="158ADFB0">
      <w:pPr>
        <w:pStyle w:val="10"/>
        <w:spacing w:before="0" w:beforeAutospacing="0" w:after="0" w:afterAutospacing="0"/>
        <w:ind w:left="720"/>
        <w:rPr>
          <w:rFonts w:asciiTheme="majorHAnsi" w:hAnsiTheme="majorHAnsi" w:cstheme="majorHAnsi"/>
          <w:color w:val="0070C0"/>
        </w:rPr>
      </w:pPr>
    </w:p>
    <w:p w14:paraId="325DD042">
      <w:pPr>
        <w:pStyle w:val="19"/>
        <w:numPr>
          <w:ilvl w:val="0"/>
          <w:numId w:val="2"/>
        </w:numPr>
        <w:rPr>
          <w:b/>
          <w:bCs/>
          <w:sz w:val="18"/>
          <w:szCs w:val="18"/>
        </w:rPr>
      </w:pPr>
      <w:r>
        <w:rPr>
          <w:b/>
          <w:bCs/>
          <w:sz w:val="18"/>
          <w:szCs w:val="18"/>
        </w:rPr>
        <w:t>Supporting Details.</w:t>
      </w:r>
    </w:p>
    <w:p w14:paraId="35EA40DB">
      <w:pPr>
        <w:ind w:left="720"/>
        <w:rPr>
          <w:sz w:val="18"/>
          <w:szCs w:val="18"/>
        </w:rPr>
      </w:pPr>
      <w:r>
        <w:rPr>
          <w:sz w:val="18"/>
          <w:szCs w:val="18"/>
        </w:rPr>
        <w:t>Support the topic sentence. Use two supporting details from the approved list (i.e. fact, expert testimony, statistics, personal experience). Write complete sentences.</w:t>
      </w:r>
    </w:p>
    <w:p w14:paraId="485E26FC">
      <w:pPr>
        <w:ind w:left="720"/>
        <w:rPr>
          <w:sz w:val="18"/>
          <w:szCs w:val="18"/>
        </w:rPr>
      </w:pPr>
    </w:p>
    <w:p w14:paraId="612A0559">
      <w:pPr>
        <w:ind w:left="720" w:leftChars="0" w:firstLine="720" w:firstLineChars="0"/>
        <w:jc w:val="both"/>
        <w:rPr>
          <w:rFonts w:hint="default" w:ascii="Times New Roman" w:hAnsi="Times New Roman" w:cs="Times New Roman"/>
          <w:i/>
          <w:iCs/>
          <w:color w:val="1F497D" w:themeColor="text2"/>
          <w:sz w:val="24"/>
          <w:szCs w:val="24"/>
          <w:lang w:val="es-ES"/>
          <w14:textFill>
            <w14:solidFill>
              <w14:schemeClr w14:val="tx2"/>
            </w14:solidFill>
          </w14:textFill>
        </w:rPr>
      </w:pPr>
      <w:r>
        <w:rPr>
          <w:rFonts w:hint="default" w:ascii="Times New Roman" w:hAnsi="Times New Roman" w:cs="Times New Roman"/>
          <w:i/>
          <w:iCs/>
          <w:color w:val="1F497D" w:themeColor="text2"/>
          <w:sz w:val="24"/>
          <w:szCs w:val="24"/>
          <w:lang w:val="en-US"/>
          <w14:textFill>
            <w14:solidFill>
              <w14:schemeClr w14:val="tx2"/>
            </w14:solidFill>
          </w14:textFill>
        </w:rPr>
        <w:t>In the devotional on March 5, 2013, Gordon E. Limb, director of the BYU School of Social Work,</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 xml:space="preserve">published in </w:t>
      </w:r>
      <w:r>
        <w:rPr>
          <w:rFonts w:hint="default" w:ascii="Times New Roman" w:hAnsi="Times New Roman" w:cs="Times New Roman"/>
          <w:i/>
          <w:iCs/>
          <w:color w:val="1F497D" w:themeColor="text2"/>
          <w:sz w:val="24"/>
          <w:szCs w:val="24"/>
          <w:lang w:val="es-ES"/>
          <w14:textFill>
            <w14:solidFill>
              <w14:schemeClr w14:val="tx2"/>
            </w14:solidFill>
          </w14:textFill>
        </w:rPr>
        <w:t>BYU</w:t>
      </w:r>
      <w:r>
        <w:rPr>
          <w:rFonts w:hint="default" w:ascii="Times New Roman" w:hAnsi="Times New Roman" w:cs="Times New Roman"/>
          <w:i/>
          <w:iCs/>
          <w:color w:val="1F497D" w:themeColor="text2"/>
          <w:sz w:val="24"/>
          <w:szCs w:val="24"/>
          <w:lang w:val="en-US"/>
          <w14:textFill>
            <w14:solidFill>
              <w14:schemeClr w14:val="tx2"/>
            </w14:solidFill>
          </w14:textFill>
        </w:rPr>
        <w:t xml:space="preserve"> speeches</w:t>
      </w:r>
      <w:r>
        <w:rPr>
          <w:rFonts w:hint="default" w:ascii="Times New Roman" w:hAnsi="Times New Roman" w:cs="Times New Roman"/>
          <w:i/>
          <w:iCs/>
          <w:color w:val="1F497D" w:themeColor="text2"/>
          <w:sz w:val="24"/>
          <w:szCs w:val="24"/>
          <w:lang w:val="es-ES"/>
          <w14:textFill>
            <w14:solidFill>
              <w14:schemeClr w14:val="tx2"/>
            </w14:solidFill>
          </w14:textFill>
        </w:rPr>
        <w:t>,</w:t>
      </w:r>
      <w:r>
        <w:rPr>
          <w:rFonts w:hint="default" w:ascii="Times New Roman" w:hAnsi="Times New Roman" w:cs="Times New Roman"/>
          <w:i/>
          <w:iCs/>
          <w:color w:val="1F497D" w:themeColor="text2"/>
          <w:sz w:val="24"/>
          <w:szCs w:val="24"/>
          <w:lang w:val="en-US"/>
          <w14:textFill>
            <w14:solidFill>
              <w14:schemeClr w14:val="tx2"/>
            </w14:solidFill>
          </w14:textFill>
        </w:rPr>
        <w:t xml:space="preserve"> gave the following address</w:t>
      </w:r>
      <w:r>
        <w:rPr>
          <w:rFonts w:hint="default" w:ascii="Times New Roman" w:hAnsi="Times New Roman" w:cs="Times New Roman"/>
          <w:i/>
          <w:iCs/>
          <w:color w:val="1F497D" w:themeColor="text2"/>
          <w:sz w:val="24"/>
          <w:szCs w:val="24"/>
          <w:lang w:val="es-ES"/>
          <w14:textFill>
            <w14:solidFill>
              <w14:schemeClr w14:val="tx2"/>
            </w14:solidFill>
          </w14:textFill>
        </w:rPr>
        <w:t>, a</w:t>
      </w:r>
      <w:r>
        <w:rPr>
          <w:rFonts w:hint="default" w:ascii="Times New Roman" w:hAnsi="Times New Roman" w:cs="Times New Roman"/>
          <w:i/>
          <w:iCs/>
          <w:color w:val="1F497D" w:themeColor="text2"/>
          <w:sz w:val="24"/>
          <w:szCs w:val="24"/>
          <w14:textFill>
            <w14:solidFill>
              <w14:schemeClr w14:val="tx2"/>
            </w14:solidFill>
          </w14:textFill>
        </w:rPr>
        <w:t>s he noted,</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i/>
          <w:iCs/>
          <w:color w:val="1F497D" w:themeColor="text2"/>
          <w:sz w:val="24"/>
          <w:szCs w:val="24"/>
          <w14:textFill>
            <w14:solidFill>
              <w14:schemeClr w14:val="tx2"/>
            </w14:solidFill>
          </w14:textFill>
        </w:rPr>
        <w:t xml:space="preserve">"Allow me to start with a personal anecdote: In the social work office, an automatic door with a self-charging mechanism has been there for two years, and although I hear it constantly, only recently, in a quiet moment, did I notice a unique melodic sound when it closed. It took me two years to realize something that has probably been happening since the beginning; I didn't hear it until I was tuned in to the sound. This experience illustrates the key question I hear from young people in their 'decade of decision': 'How do I distinguish my emotions from what the Holy Ghost tells me I need to hear?' To answer, we must understand God's pattern of communication: He speaks to us through revelation, primarily to the mind and heart, giving us peace of mind, through thoughts, feelings, impressions, and promptings. It is fundamental that we avoid anything that negatively impacts our capacity to feel these promptings. Furthermore, we must abandon the false expectation of receiving an immediate and 'big' answer; the Lord's pattern is 'line upon line, precept upon precept,' or many small answers over time. My own experience looking for a job and deciding to get married shows that the initial answer is not always the final one, but rather the first step in a continuous pattern of revelation that requires us to trust and keep moving forward, because the Lord knows what we do not. To increase our capacity to receive the Spirit, I suggest five key actions: </w:t>
      </w:r>
      <w:r>
        <w:rPr>
          <w:rFonts w:hint="default" w:ascii="Times New Roman" w:hAnsi="Times New Roman" w:eastAsia="SimSun" w:cs="Times New Roman"/>
          <w:i/>
          <w:iCs/>
          <w:color w:val="1F497D" w:themeColor="text2"/>
          <w:sz w:val="24"/>
          <w:szCs w:val="24"/>
          <w:highlight w:val="none"/>
          <w:lang w:val="es-ES"/>
          <w14:textFill>
            <w14:solidFill>
              <w14:schemeClr w14:val="tx2"/>
            </w14:solidFill>
          </w14:textFill>
        </w:rPr>
        <w:t xml:space="preserve">1) </w:t>
      </w:r>
      <w:r>
        <w:rPr>
          <w:rFonts w:hint="default" w:ascii="Times New Roman" w:hAnsi="Times New Roman" w:eastAsia="SimSun" w:cs="Times New Roman"/>
          <w:i/>
          <w:iCs/>
          <w:color w:val="1F497D" w:themeColor="text2"/>
          <w:sz w:val="24"/>
          <w:szCs w:val="24"/>
          <w:highlight w:val="none"/>
          <w14:textFill>
            <w14:solidFill>
              <w14:schemeClr w14:val="tx2"/>
            </w14:solidFill>
          </w14:textFill>
        </w:rPr>
        <w:t>Live</w:t>
      </w:r>
      <w:r>
        <w:rPr>
          <w:rFonts w:hint="default" w:ascii="Times New Roman" w:hAnsi="Times New Roman" w:eastAsia="SimSun" w:cs="Times New Roman"/>
          <w:i/>
          <w:iCs/>
          <w:color w:val="1F497D" w:themeColor="text2"/>
          <w:sz w:val="24"/>
          <w:szCs w:val="24"/>
          <w14:textFill>
            <w14:solidFill>
              <w14:schemeClr w14:val="tx2"/>
            </w14:solidFill>
          </w14:textFill>
        </w:rPr>
        <w:t xml:space="preserve"> worthily, remembering that the Lord is patient and gives us second chances if we seek to keep His commandments; 2) Pray sincerely, meditating instead of just 'placing an order' and focusing especially on gratitude; 3) Immerse ourselves in the Scriptures, to train our spiritual ear and understand God's pattern; 4) Serve, seeking to be an answer to the prayers of others; and 5) Take time to pause, ponder, and listen, so that we are not so busy that we ignore the Spirit walking right in front of us. I testify that, by learning to recognize and respond to these promptings, we will find answers to our prayers and have an increased capacity to discern if they come from the Holy Ghost, allowing those small melodic tones to guide us."</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p>
    <w:p w14:paraId="76AAA805">
      <w:pPr>
        <w:pStyle w:val="10"/>
        <w:spacing w:before="0" w:beforeAutospacing="0" w:after="0" w:afterAutospacing="0"/>
        <w:ind w:left="720"/>
        <w:rPr>
          <w:rFonts w:eastAsia="Calibri" w:asciiTheme="majorHAnsi" w:hAnsiTheme="majorHAnsi" w:cstheme="majorHAnsi"/>
          <w:sz w:val="18"/>
          <w:szCs w:val="18"/>
        </w:rPr>
      </w:pPr>
    </w:p>
    <w:p w14:paraId="1B5D2AE5">
      <w:pPr>
        <w:pStyle w:val="19"/>
        <w:numPr>
          <w:ilvl w:val="0"/>
          <w:numId w:val="2"/>
        </w:numPr>
        <w:rPr>
          <w:sz w:val="18"/>
          <w:szCs w:val="18"/>
        </w:rPr>
      </w:pPr>
      <w:r>
        <w:rPr>
          <w:b/>
          <w:bCs/>
          <w:sz w:val="18"/>
          <w:szCs w:val="18"/>
        </w:rPr>
        <w:t>Concluding Sentence.</w:t>
      </w:r>
    </w:p>
    <w:p w14:paraId="30C495D5">
      <w:pPr>
        <w:ind w:left="720"/>
        <w:rPr>
          <w:sz w:val="18"/>
          <w:szCs w:val="18"/>
        </w:rPr>
      </w:pPr>
      <w:r>
        <w:rPr>
          <w:sz w:val="18"/>
          <w:szCs w:val="18"/>
        </w:rPr>
        <w:t>This should sum up the supporting details of the paragraph and reinforce the topic sentence.</w:t>
      </w:r>
    </w:p>
    <w:p w14:paraId="7966668A">
      <w:pPr>
        <w:ind w:left="720"/>
        <w:rPr>
          <w:sz w:val="18"/>
          <w:szCs w:val="18"/>
        </w:rPr>
      </w:pPr>
    </w:p>
    <w:p w14:paraId="7453F85A">
      <w:pPr>
        <w:ind w:left="720" w:leftChars="0" w:firstLine="720" w:firstLineChars="0"/>
        <w:rPr>
          <w:rFonts w:hint="default" w:ascii="Times New Roman" w:hAnsi="Times New Roman" w:cs="Times New Roman"/>
          <w:b w:val="0"/>
          <w:bCs w:val="0"/>
          <w:i/>
          <w:iCs/>
          <w:color w:val="1F497D" w:themeColor="text2"/>
          <w:sz w:val="24"/>
          <w:szCs w:val="24"/>
          <w14:textFill>
            <w14:solidFill>
              <w14:schemeClr w14:val="tx2"/>
            </w14:solidFill>
          </w14:textFill>
        </w:rPr>
      </w:pPr>
      <w:r>
        <w:rPr>
          <w:rFonts w:hint="default" w:ascii="Times New Roman" w:hAnsi="Times New Roman" w:eastAsia="SimSun" w:cs="Times New Roman"/>
          <w:b w:val="0"/>
          <w:bCs w:val="0"/>
          <w:i/>
          <w:iCs/>
          <w:color w:val="1F497D" w:themeColor="text2"/>
          <w:sz w:val="24"/>
          <w:szCs w:val="24"/>
          <w14:textFill>
            <w14:solidFill>
              <w14:schemeClr w14:val="tx2"/>
            </w14:solidFill>
          </w14:textFill>
        </w:rPr>
        <w:t>"Through the expert testimony of others and my own personal experience, I affirm that one must be 'in tune' with the Holy Ghost to perceive His communication. Paul's words in the Bible point out the fruits of the Spirit in Galatians. Elder David A. Bednar, Elder Richard G. Scott, and President Boyd K. Packer explain the patterns of personal revelation, emphasizing the need to understand communication, correct the faulty assumptions we make, and know the ways we can increase our capacity to receive the Holy Ghost."</w:t>
      </w:r>
    </w:p>
    <w:p w14:paraId="11EC556B">
      <w:pPr>
        <w:rPr>
          <w:rFonts w:eastAsia="Calibri" w:asciiTheme="majorHAnsi" w:hAnsiTheme="majorHAnsi" w:cstheme="majorHAnsi"/>
          <w:i/>
          <w:iCs/>
          <w:sz w:val="18"/>
          <w:szCs w:val="18"/>
        </w:rPr>
      </w:pPr>
      <w:r>
        <w:rPr>
          <w:rFonts w:eastAsia="Calibri" w:asciiTheme="majorHAnsi" w:hAnsiTheme="majorHAnsi" w:cstheme="majorHAnsi"/>
          <w:i/>
          <w:iCs/>
          <w:sz w:val="18"/>
          <w:szCs w:val="18"/>
        </w:rPr>
        <w:br w:type="page"/>
      </w:r>
    </w:p>
    <w:p w14:paraId="296E8162">
      <w:pPr>
        <w:pStyle w:val="10"/>
        <w:spacing w:before="0" w:beforeAutospacing="0" w:after="0" w:afterAutospacing="0"/>
        <w:ind w:left="720"/>
        <w:rPr>
          <w:rFonts w:eastAsia="Calibri" w:asciiTheme="majorHAnsi" w:hAnsiTheme="majorHAnsi" w:cstheme="majorHAnsi"/>
          <w:sz w:val="18"/>
          <w:szCs w:val="18"/>
        </w:rPr>
      </w:pPr>
    </w:p>
    <w:p w14:paraId="7B3448A0">
      <w:pPr>
        <w:ind w:left="360"/>
        <w:rPr>
          <w:color w:val="FF0000"/>
          <w:sz w:val="20"/>
          <w:szCs w:val="20"/>
        </w:rPr>
      </w:pPr>
    </w:p>
    <w:p w14:paraId="22DE3890">
      <w:pPr>
        <w:rPr>
          <w:rFonts w:ascii="Arial" w:hAnsi="Arial" w:eastAsia="Arial" w:cs="Arial"/>
          <w:b/>
          <w:sz w:val="20"/>
          <w:szCs w:val="20"/>
        </w:rPr>
      </w:pPr>
      <w:bookmarkStart w:id="1" w:name="_heading=h.5ilrth63ekzi" w:colFirst="0" w:colLast="0"/>
      <w:bookmarkEnd w:id="1"/>
      <w:r>
        <w:rPr>
          <w:rFonts w:ascii="Arial" w:hAnsi="Arial" w:eastAsia="Arial" w:cs="Arial"/>
          <w:bCs/>
          <w:color w:val="FF0000"/>
          <w:sz w:val="20"/>
          <w:szCs w:val="20"/>
        </w:rPr>
        <w:t>Paste the paragraph parts together here. Indent the first line. Do not separate lines with space.</w:t>
      </w:r>
    </w:p>
    <w:p w14:paraId="551CFDBB">
      <w:pPr>
        <w:rPr>
          <w:rFonts w:ascii="Arial" w:hAnsi="Arial" w:eastAsia="Arial" w:cs="Arial"/>
          <w:b/>
          <w:sz w:val="20"/>
          <w:szCs w:val="20"/>
        </w:rPr>
      </w:pPr>
    </w:p>
    <w:p w14:paraId="49235DDE">
      <w:pPr>
        <w:pStyle w:val="10"/>
        <w:spacing w:before="0" w:beforeAutospacing="0" w:after="0" w:afterAutospacing="0"/>
        <w:ind w:left="720"/>
        <w:rPr>
          <w:rFonts w:ascii="Calibri" w:hAnsi="Calibri" w:eastAsia="Calibri" w:cs="Calibri"/>
          <w:i/>
          <w:iCs/>
          <w:sz w:val="18"/>
          <w:szCs w:val="18"/>
        </w:rPr>
      </w:pPr>
      <w:bookmarkStart w:id="2" w:name="_GoBack"/>
      <w:bookmarkEnd w:id="2"/>
    </w:p>
    <w:p w14:paraId="5E3C7933">
      <w:pPr>
        <w:ind w:left="720" w:leftChars="0" w:firstLine="720" w:firstLineChars="0"/>
        <w:jc w:val="both"/>
        <w:rPr>
          <w:rFonts w:hint="default" w:ascii="Times New Roman" w:hAnsi="Times New Roman" w:cs="Times New Roman"/>
          <w:b w:val="0"/>
          <w:bCs w:val="0"/>
          <w:i/>
          <w:iCs/>
          <w:color w:val="1F497D" w:themeColor="text2"/>
          <w:sz w:val="24"/>
          <w:szCs w:val="24"/>
          <w14:textFill>
            <w14:solidFill>
              <w14:schemeClr w14:val="tx2"/>
            </w14:solidFill>
          </w14:textFill>
        </w:rPr>
      </w:pP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ascii="Times New Roman" w:hAnsi="Times New Roman" w:cs="Times New Roman"/>
          <w:i/>
          <w:iCs/>
          <w:color w:val="1F497D" w:themeColor="text2"/>
          <w:sz w:val="24"/>
          <w:szCs w:val="24"/>
          <w14:textFill>
            <w14:solidFill>
              <w14:schemeClr w14:val="tx2"/>
            </w14:solidFill>
          </w14:textFill>
        </w:rPr>
        <w:t xml:space="preserve">Recognize and Act on Promptings from the Holy </w:t>
      </w:r>
      <w:r>
        <w:rPr>
          <w:rFonts w:hint="default" w:ascii="Times New Roman" w:hAnsi="Times New Roman" w:cs="Times New Roman"/>
          <w:i/>
          <w:iCs/>
          <w:color w:val="1F497D" w:themeColor="text2"/>
          <w:sz w:val="24"/>
          <w:szCs w:val="24"/>
          <w:lang w:val="es-ES"/>
          <w14:textFill>
            <w14:solidFill>
              <w14:schemeClr w14:val="tx2"/>
            </w14:solidFill>
          </w14:textFill>
        </w:rPr>
        <w:t>Ghost</w:t>
      </w: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cs="Times New Roman"/>
          <w:b w:val="0"/>
          <w:bCs w:val="0"/>
          <w:i/>
          <w:iCs/>
          <w:color w:val="1F497D" w:themeColor="text2"/>
          <w:sz w:val="24"/>
          <w:szCs w:val="24"/>
          <w:lang w:val="es-ES"/>
          <w14:textFill>
            <w14:solidFill>
              <w14:schemeClr w14:val="tx2"/>
            </w14:solidFill>
          </w14:textFill>
        </w:rPr>
        <w:t xml:space="preserve"> is a t</w:t>
      </w:r>
      <w:r>
        <w:rPr>
          <w:rFonts w:hint="default" w:ascii="Times New Roman" w:hAnsi="Times New Roman" w:eastAsia="SimSun" w:cs="Times New Roman"/>
          <w:i/>
          <w:iCs/>
          <w:color w:val="1F497D" w:themeColor="text2"/>
          <w:sz w:val="24"/>
          <w:szCs w:val="24"/>
          <w14:textFill>
            <w14:solidFill>
              <w14:schemeClr w14:val="tx2"/>
            </w14:solidFill>
          </w14:textFill>
        </w:rPr>
        <w:t>he learning strategy of  will significantly help me succeed in PathwayConnect</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because, </w:t>
      </w:r>
      <w:r>
        <w:rPr>
          <w:rFonts w:hint="default" w:ascii="Times New Roman" w:hAnsi="Times New Roman" w:cs="Times New Roman"/>
          <w:i/>
          <w:iCs/>
          <w:color w:val="1F497D" w:themeColor="text2"/>
          <w:sz w:val="24"/>
          <w:szCs w:val="24"/>
          <w:lang w:val="es-ES"/>
          <w14:textFill>
            <w14:solidFill>
              <w14:schemeClr w14:val="tx2"/>
            </w14:solidFill>
          </w14:textFill>
        </w:rPr>
        <w:t>T</w:t>
      </w:r>
      <w:r>
        <w:rPr>
          <w:rFonts w:hint="default" w:ascii="Times New Roman" w:hAnsi="Times New Roman" w:cs="Times New Roman"/>
          <w:b w:val="0"/>
          <w:bCs w:val="0"/>
          <w:i/>
          <w:iCs/>
          <w:color w:val="1F497D" w:themeColor="text2"/>
          <w:sz w:val="24"/>
          <w:szCs w:val="24"/>
          <w14:textFill>
            <w14:solidFill>
              <w14:schemeClr w14:val="tx2"/>
            </w14:solidFill>
          </w14:textFill>
        </w:rPr>
        <w:t>he Lord communicates with me through the Holy Ghost, and I can increase my own capacity to recognize and respond to His promptings, which often come "line upon line" to my mind and heart, instead of as a single, immediate answer.</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In the devotional on March 5, 2013, Gordon E. Limb, director of the BYU School of Social Work,</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 xml:space="preserve">published in </w:t>
      </w:r>
      <w:r>
        <w:rPr>
          <w:rFonts w:hint="default" w:ascii="Times New Roman" w:hAnsi="Times New Roman" w:cs="Times New Roman"/>
          <w:i/>
          <w:iCs/>
          <w:color w:val="1F497D" w:themeColor="text2"/>
          <w:sz w:val="24"/>
          <w:szCs w:val="24"/>
          <w:lang w:val="es-ES"/>
          <w14:textFill>
            <w14:solidFill>
              <w14:schemeClr w14:val="tx2"/>
            </w14:solidFill>
          </w14:textFill>
        </w:rPr>
        <w:t>BYU</w:t>
      </w:r>
      <w:r>
        <w:rPr>
          <w:rFonts w:hint="default" w:ascii="Times New Roman" w:hAnsi="Times New Roman" w:cs="Times New Roman"/>
          <w:i/>
          <w:iCs/>
          <w:color w:val="1F497D" w:themeColor="text2"/>
          <w:sz w:val="24"/>
          <w:szCs w:val="24"/>
          <w:lang w:val="en-US"/>
          <w14:textFill>
            <w14:solidFill>
              <w14:schemeClr w14:val="tx2"/>
            </w14:solidFill>
          </w14:textFill>
        </w:rPr>
        <w:t xml:space="preserve"> speeches</w:t>
      </w:r>
      <w:r>
        <w:rPr>
          <w:rFonts w:hint="default" w:ascii="Times New Roman" w:hAnsi="Times New Roman" w:cs="Times New Roman"/>
          <w:i/>
          <w:iCs/>
          <w:color w:val="1F497D" w:themeColor="text2"/>
          <w:sz w:val="24"/>
          <w:szCs w:val="24"/>
          <w:lang w:val="es-ES"/>
          <w14:textFill>
            <w14:solidFill>
              <w14:schemeClr w14:val="tx2"/>
            </w14:solidFill>
          </w14:textFill>
        </w:rPr>
        <w:t>,</w:t>
      </w:r>
      <w:r>
        <w:rPr>
          <w:rFonts w:hint="default" w:ascii="Times New Roman" w:hAnsi="Times New Roman" w:cs="Times New Roman"/>
          <w:i/>
          <w:iCs/>
          <w:color w:val="1F497D" w:themeColor="text2"/>
          <w:sz w:val="24"/>
          <w:szCs w:val="24"/>
          <w:lang w:val="en-US"/>
          <w14:textFill>
            <w14:solidFill>
              <w14:schemeClr w14:val="tx2"/>
            </w14:solidFill>
          </w14:textFill>
        </w:rPr>
        <w:t xml:space="preserve"> gave the following address</w:t>
      </w:r>
      <w:r>
        <w:rPr>
          <w:rFonts w:hint="default" w:ascii="Times New Roman" w:hAnsi="Times New Roman" w:cs="Times New Roman"/>
          <w:i/>
          <w:iCs/>
          <w:color w:val="1F497D" w:themeColor="text2"/>
          <w:sz w:val="24"/>
          <w:szCs w:val="24"/>
          <w:lang w:val="es-ES"/>
          <w14:textFill>
            <w14:solidFill>
              <w14:schemeClr w14:val="tx2"/>
            </w14:solidFill>
          </w14:textFill>
        </w:rPr>
        <w:t>, a</w:t>
      </w:r>
      <w:r>
        <w:rPr>
          <w:rFonts w:hint="default" w:ascii="Times New Roman" w:hAnsi="Times New Roman" w:cs="Times New Roman"/>
          <w:i/>
          <w:iCs/>
          <w:color w:val="1F497D" w:themeColor="text2"/>
          <w:sz w:val="24"/>
          <w:szCs w:val="24"/>
          <w14:textFill>
            <w14:solidFill>
              <w14:schemeClr w14:val="tx2"/>
            </w14:solidFill>
          </w14:textFill>
        </w:rPr>
        <w:t>s he noted,</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i/>
          <w:iCs/>
          <w:color w:val="1F497D" w:themeColor="text2"/>
          <w:sz w:val="24"/>
          <w:szCs w:val="24"/>
          <w14:textFill>
            <w14:solidFill>
              <w14:schemeClr w14:val="tx2"/>
            </w14:solidFill>
          </w14:textFill>
        </w:rPr>
        <w:t xml:space="preserve">"Allow me to start with a personal anecdote: In the social work office, an automatic door with a self-charging mechanism has been there for two years, and although I hear it constantly, only recently, in a quiet moment, did I notice a unique melodic sound when it closed. It took me two years to realize something that has probably been happening since the beginning; I didn't hear it until I was tuned in to the sound. This experience illustrates the key question I hear from young people in their 'decade of decision': 'How do I distinguish my emotions from what the Holy Ghost tells me I need to hear?' To answer, we must understand God's pattern of communication: He speaks to us through revelation, primarily to the mind and heart, giving us peace of mind, through thoughts, feelings, impressions, and promptings. It is fundamental that we avoid anything that negatively impacts our capacity to feel these promptings. Furthermore, we must abandon the false expectation of receiving an immediate and 'big' answer; the Lord's pattern is 'line upon line, precept upon precept,' or many small answers over time. My own experience looking for a job and deciding to get married shows that the initial answer is not always the final one, but rather the first step in a continuous pattern of revelation that requires us to trust and keep moving forward, because the Lord knows what we do not. To increase our capacity to receive the Spirit, I suggest five key actions: </w:t>
      </w:r>
      <w:r>
        <w:rPr>
          <w:rFonts w:hint="default" w:ascii="Times New Roman" w:hAnsi="Times New Roman" w:eastAsia="SimSun" w:cs="Times New Roman"/>
          <w:i/>
          <w:iCs/>
          <w:color w:val="1F497D" w:themeColor="text2"/>
          <w:sz w:val="24"/>
          <w:szCs w:val="24"/>
          <w:highlight w:val="none"/>
          <w:lang w:val="es-ES"/>
          <w14:textFill>
            <w14:solidFill>
              <w14:schemeClr w14:val="tx2"/>
            </w14:solidFill>
          </w14:textFill>
        </w:rPr>
        <w:t xml:space="preserve">1) </w:t>
      </w:r>
      <w:r>
        <w:rPr>
          <w:rFonts w:hint="default" w:ascii="Times New Roman" w:hAnsi="Times New Roman" w:eastAsia="SimSun" w:cs="Times New Roman"/>
          <w:i/>
          <w:iCs/>
          <w:color w:val="1F497D" w:themeColor="text2"/>
          <w:sz w:val="24"/>
          <w:szCs w:val="24"/>
          <w:highlight w:val="none"/>
          <w14:textFill>
            <w14:solidFill>
              <w14:schemeClr w14:val="tx2"/>
            </w14:solidFill>
          </w14:textFill>
        </w:rPr>
        <w:t>Live</w:t>
      </w:r>
      <w:r>
        <w:rPr>
          <w:rFonts w:hint="default" w:ascii="Times New Roman" w:hAnsi="Times New Roman" w:eastAsia="SimSun" w:cs="Times New Roman"/>
          <w:i/>
          <w:iCs/>
          <w:color w:val="1F497D" w:themeColor="text2"/>
          <w:sz w:val="24"/>
          <w:szCs w:val="24"/>
          <w14:textFill>
            <w14:solidFill>
              <w14:schemeClr w14:val="tx2"/>
            </w14:solidFill>
          </w14:textFill>
        </w:rPr>
        <w:t xml:space="preserve"> worthily, remembering that the Lord is patient and gives us second chances if we seek to keep His commandments; 2) Pray sincerely, meditating instead of just 'placing an order' and focusing especially on gratitude; 3) Immerse ourselves in the Scriptures, to train our spiritual ear and understand God's pattern; 4) Serve, seeking to be an answer to the prayers of others; and 5) Take time to pause, ponder, and listen, so that we are not so busy that we ignore the Spirit walking right in front of us. I testify that, by learning to recognize and respond to these promptings, we will find answers to our prayers and have an increased capacity to discern if they come from the Holy Ghost, allowing those small melodic tones to guide us."</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b w:val="0"/>
          <w:bCs w:val="0"/>
          <w:i/>
          <w:iCs/>
          <w:color w:val="1F497D" w:themeColor="text2"/>
          <w:sz w:val="24"/>
          <w:szCs w:val="24"/>
          <w14:textFill>
            <w14:solidFill>
              <w14:schemeClr w14:val="tx2"/>
            </w14:solidFill>
          </w14:textFill>
        </w:rPr>
        <w:t>"Through the expert testimony of others and my own personal experience, I affirm that one must be 'in tune' with the Holy Ghost to perceive His communication. Paul's words in the Bible point out the fruits of the Spirit in Galatians. Elder David A. Bednar, Elder Richard G. Scott, and President Boyd K. Packer explain the patterns of personal revelation, emphasizing the need to understand communication, correct the faulty assumptions we make, and know the ways we can increase our capacity to receive the Holy Ghost."</w:t>
      </w:r>
    </w:p>
    <w:p w14:paraId="254F8F7D">
      <w:pPr>
        <w:rPr>
          <w:b/>
          <w:color w:val="3B3838"/>
          <w:sz w:val="32"/>
          <w:szCs w:val="32"/>
        </w:rPr>
      </w:pPr>
    </w:p>
    <w:sectPr>
      <w:pgSz w:w="12240" w:h="15840"/>
      <w:pgMar w:top="720" w:right="720" w:bottom="806" w:left="72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w:panose1 w:val="05000000000000000000"/>
    <w:charset w:val="4D"/>
    <w:family w:val="decorative"/>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F0460"/>
    <w:multiLevelType w:val="multilevel"/>
    <w:tmpl w:val="0EFF04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BB61B63"/>
    <w:multiLevelType w:val="multilevel"/>
    <w:tmpl w:val="5BB61B6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64A"/>
    <w:rsid w:val="00022156"/>
    <w:rsid w:val="000D4941"/>
    <w:rsid w:val="002C6796"/>
    <w:rsid w:val="002D6844"/>
    <w:rsid w:val="0030113D"/>
    <w:rsid w:val="00302A71"/>
    <w:rsid w:val="003F2D42"/>
    <w:rsid w:val="004C00D6"/>
    <w:rsid w:val="004C0A3B"/>
    <w:rsid w:val="004D0793"/>
    <w:rsid w:val="0053325E"/>
    <w:rsid w:val="006A552E"/>
    <w:rsid w:val="006B1A90"/>
    <w:rsid w:val="0078313E"/>
    <w:rsid w:val="00792B27"/>
    <w:rsid w:val="007D519C"/>
    <w:rsid w:val="00837B4D"/>
    <w:rsid w:val="00853338"/>
    <w:rsid w:val="0085564A"/>
    <w:rsid w:val="008F421B"/>
    <w:rsid w:val="008F53FD"/>
    <w:rsid w:val="009000C8"/>
    <w:rsid w:val="009E6561"/>
    <w:rsid w:val="00A144B8"/>
    <w:rsid w:val="00A37585"/>
    <w:rsid w:val="00A442DB"/>
    <w:rsid w:val="00AE4DE0"/>
    <w:rsid w:val="00AF76F5"/>
    <w:rsid w:val="00B936DA"/>
    <w:rsid w:val="00BA6DD9"/>
    <w:rsid w:val="00BE1452"/>
    <w:rsid w:val="00D030C2"/>
    <w:rsid w:val="00D627F4"/>
    <w:rsid w:val="00DC1167"/>
    <w:rsid w:val="00E43936"/>
    <w:rsid w:val="00E65434"/>
    <w:rsid w:val="00F416C9"/>
    <w:rsid w:val="00FD748C"/>
    <w:rsid w:val="21A016A3"/>
    <w:rsid w:val="25397DBB"/>
    <w:rsid w:val="2BB32C4D"/>
    <w:rsid w:val="398C14D9"/>
    <w:rsid w:val="6602326A"/>
    <w:rsid w:val="6A9952DB"/>
    <w:rsid w:val="70694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B3838"/>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paragraph" w:styleId="11">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spacing w:before="480" w:after="120"/>
    </w:pPr>
    <w:rPr>
      <w:b/>
      <w:sz w:val="72"/>
      <w:szCs w:val="72"/>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_Style 11"/>
    <w:basedOn w:val="9"/>
    <w:qFormat/>
    <w:uiPriority w:val="0"/>
    <w:tblPr>
      <w:tblCellMar>
        <w:top w:w="15" w:type="dxa"/>
        <w:left w:w="15" w:type="dxa"/>
        <w:bottom w:w="15" w:type="dxa"/>
        <w:right w:w="15" w:type="dxa"/>
      </w:tblCellMar>
    </w:tblPr>
  </w:style>
  <w:style w:type="table" w:customStyle="1" w:styleId="15">
    <w:name w:val="_Style 12"/>
    <w:basedOn w:val="9"/>
    <w:qFormat/>
    <w:uiPriority w:val="0"/>
    <w:tblPr>
      <w:tblCellMar>
        <w:top w:w="15" w:type="dxa"/>
        <w:left w:w="15" w:type="dxa"/>
        <w:bottom w:w="15" w:type="dxa"/>
        <w:right w:w="15" w:type="dxa"/>
      </w:tblCellMar>
    </w:tblPr>
  </w:style>
  <w:style w:type="table" w:customStyle="1" w:styleId="16">
    <w:name w:val="_Style 13"/>
    <w:basedOn w:val="9"/>
    <w:qFormat/>
    <w:uiPriority w:val="0"/>
    <w:tblPr>
      <w:tblCellMar>
        <w:top w:w="15" w:type="dxa"/>
        <w:left w:w="15" w:type="dxa"/>
        <w:bottom w:w="15" w:type="dxa"/>
        <w:right w:w="15" w:type="dxa"/>
      </w:tblCellMar>
    </w:tblPr>
  </w:style>
  <w:style w:type="table" w:customStyle="1" w:styleId="17">
    <w:name w:val="_Style 14"/>
    <w:basedOn w:val="9"/>
    <w:uiPriority w:val="0"/>
    <w:tblPr>
      <w:tblCellMar>
        <w:left w:w="115" w:type="dxa"/>
        <w:right w:w="115" w:type="dxa"/>
      </w:tblCellMar>
    </w:tblPr>
  </w:style>
  <w:style w:type="character" w:styleId="18">
    <w:name w:val="Placeholder Text"/>
    <w:basedOn w:val="8"/>
    <w:semiHidden/>
    <w:qFormat/>
    <w:uiPriority w:val="99"/>
    <w:rPr>
      <w:color w:val="808080"/>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133093ef-9310-422f-9315-1fcb5b0eddcb">
      <UserInfo>
        <DisplayName/>
        <AccountId xsi:nil="true"/>
        <AccountType/>
      </UserInfo>
    </SharedWithUsers>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ZCuijge9gu8wLy80sHYkrsUK/kQ==">AMUW2mV+3rtL+j5BQgBcHxxYmYpSNQEejaLcmNRskw5N2GLCzCZBZMKI2nSRvsPmXAwN0JfwtgCI+f1SH0L1pqGDreZTmW5XCz9Tolz4syqtH9oSjHahgVSpLvM3yz/ZR+ueqjtY35c30/Ebu8pJFtySFf4tc7rNxI4f+jtjALYQQjUEMe2A6mInZq4P+Ig4IAvjJFErXyE45rm5AQGNi3JduB+1iIDJUKI+cuJTm2OyLbznHUYUhFD64RQ55834T9N7Is9VVutnfDqAaBsuyKVBwlwyJJfRxQiR9qhJhUP37KUwfhbjA2wLxgyTdXDSUlLwRNddowE7lWh6PJJLyr/EBHEhCcAY+f29DflaU3vCVjAasPLBsa/ozBdxwc+2wlUlYq060+hUEqmnQriyWeftszd+9JJRTYb0SnjC+DFlu3rTqUiFcXgqcwlgXZ1KvE2gg9YwQESrkgaCqzySBHIEn4D4JPEzY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09987E-6E59-48B6-B0FD-47B47C161663}">
  <ds:schemaRefs/>
</ds:datastoreItem>
</file>

<file path=customXml/itemProps3.xml><?xml version="1.0" encoding="utf-8"?>
<ds:datastoreItem xmlns:ds="http://schemas.openxmlformats.org/officeDocument/2006/customXml" ds:itemID="{D151E5CA-8261-4D52-B0B4-FDBCFA3B1381}">
  <ds:schemaRefs/>
</ds:datastoreItem>
</file>

<file path=customXml/itemProps4.xml><?xml version="1.0" encoding="utf-8"?>
<ds:datastoreItem xmlns:ds="http://schemas.openxmlformats.org/officeDocument/2006/customXml" ds:itemID="{24888C4F-5FC5-493A-8808-4A3B258EEF65}">
  <ds:schemaRefs/>
</ds:datastoreItem>
</file>

<file path=customXml/itemProps5.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Brigham Young University Idaho</Company>
  <Pages>3</Pages>
  <Words>723</Words>
  <Characters>4123</Characters>
  <Lines>34</Lines>
  <Paragraphs>9</Paragraphs>
  <TotalTime>2</TotalTime>
  <ScaleCrop>false</ScaleCrop>
  <LinksUpToDate>false</LinksUpToDate>
  <CharactersWithSpaces>4837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2023-06-28T18:30:00Z</dcterms:created>
  <dc:creator>r-rod</dc:creator>
  <cp:lastModifiedBy>leriennys pereira hidrogo (Nen</cp:lastModifiedBy>
  <dcterms:modified xsi:type="dcterms:W3CDTF">2025-11-19T16:56:56Z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y fmtid="{D5CDD505-2E9C-101B-9397-08002B2CF9AE}" pid="9" name="KSOProductBuildVer">
    <vt:lpwstr>3082-12.2.0.23155</vt:lpwstr>
  </property>
  <property fmtid="{D5CDD505-2E9C-101B-9397-08002B2CF9AE}" pid="10" name="ICV">
    <vt:lpwstr>6CBA44D44F0A452C88FD44A3DD4FA2DC_13</vt:lpwstr>
  </property>
</Properties>
</file>