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236BED">
      <w:pPr>
        <w:rPr>
          <w:rFonts w:hint="default"/>
          <w:lang w:val="es-ES"/>
        </w:rPr>
      </w:pPr>
      <w:r>
        <w:rPr>
          <w:rFonts w:hint="default"/>
          <w:lang w:val="es-ES"/>
        </w:rPr>
        <w:drawing>
          <wp:inline distT="0" distB="0" distL="114300" distR="114300">
            <wp:extent cx="5269230" cy="3515360"/>
            <wp:effectExtent l="0" t="0" r="7620" b="8890"/>
            <wp:docPr id="1" name="Imagen 1" descr="IM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G1"/>
                    <pic:cNvPicPr>
                      <a:picLocks noChangeAspect="1"/>
                    </pic:cNvPicPr>
                  </pic:nvPicPr>
                  <pic:blipFill>
                    <a:blip r:embed="rId4"/>
                    <a:stretch>
                      <a:fillRect/>
                    </a:stretch>
                  </pic:blipFill>
                  <pic:spPr>
                    <a:xfrm>
                      <a:off x="0" y="0"/>
                      <a:ext cx="5269230" cy="3515360"/>
                    </a:xfrm>
                    <a:prstGeom prst="rect">
                      <a:avLst/>
                    </a:prstGeom>
                  </pic:spPr>
                </pic:pic>
              </a:graphicData>
            </a:graphic>
          </wp:inline>
        </w:drawing>
      </w:r>
    </w:p>
    <w:p w14:paraId="17B7A9A8">
      <w:pPr>
        <w:rPr>
          <w:rFonts w:hint="default"/>
          <w:lang w:val="es-ES"/>
        </w:rPr>
      </w:pPr>
    </w:p>
    <w:p w14:paraId="283DD03F">
      <w:pPr>
        <w:rPr>
          <w:rFonts w:hint="default"/>
          <w:lang w:val="es-ES"/>
        </w:rPr>
      </w:pPr>
      <w:r>
        <w:rPr>
          <w:rFonts w:hint="default"/>
          <w:lang w:val="es-ES"/>
        </w:rPr>
        <w:drawing>
          <wp:inline distT="0" distB="0" distL="114300" distR="114300">
            <wp:extent cx="5268595" cy="3480435"/>
            <wp:effectExtent l="0" t="0" r="0" b="0"/>
            <wp:docPr id="2" name="Imagen 2" descr="IM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G2"/>
                    <pic:cNvPicPr>
                      <a:picLocks noChangeAspect="1"/>
                    </pic:cNvPicPr>
                  </pic:nvPicPr>
                  <pic:blipFill>
                    <a:blip r:embed="rId5"/>
                    <a:srcRect b="2142"/>
                    <a:stretch>
                      <a:fillRect/>
                    </a:stretch>
                  </pic:blipFill>
                  <pic:spPr>
                    <a:xfrm>
                      <a:off x="0" y="0"/>
                      <a:ext cx="5268595" cy="3480435"/>
                    </a:xfrm>
                    <a:prstGeom prst="rect">
                      <a:avLst/>
                    </a:prstGeom>
                  </pic:spPr>
                </pic:pic>
              </a:graphicData>
            </a:graphic>
          </wp:inline>
        </w:drawing>
      </w:r>
    </w:p>
    <w:p w14:paraId="0864EC10">
      <w:pPr>
        <w:rPr>
          <w:rFonts w:hint="default"/>
          <w:lang w:val="es-ES"/>
        </w:rPr>
      </w:pPr>
      <w:r>
        <w:rPr>
          <w:rFonts w:hint="default"/>
          <w:lang w:val="es-ES"/>
        </w:rPr>
        <w:br w:type="page"/>
      </w:r>
    </w:p>
    <w:p w14:paraId="123BD1D8">
      <w:pPr>
        <w:rPr>
          <w:rFonts w:hint="default"/>
          <w:lang w:val="es-ES"/>
        </w:rPr>
      </w:pPr>
    </w:p>
    <w:p w14:paraId="17D19FA4">
      <w:pPr>
        <w:rPr>
          <w:rFonts w:hint="default"/>
          <w:lang w:val="es-ES"/>
        </w:rPr>
      </w:pPr>
      <w:r>
        <w:rPr>
          <w:rFonts w:hint="default"/>
          <w:lang w:val="es-ES"/>
        </w:rPr>
        <w:drawing>
          <wp:inline distT="0" distB="0" distL="114300" distR="114300">
            <wp:extent cx="5270500" cy="2782570"/>
            <wp:effectExtent l="0" t="0" r="6350" b="17780"/>
            <wp:docPr id="3" name="Imagen 3" descr="IM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MG3"/>
                    <pic:cNvPicPr>
                      <a:picLocks noChangeAspect="1"/>
                    </pic:cNvPicPr>
                  </pic:nvPicPr>
                  <pic:blipFill>
                    <a:blip r:embed="rId6"/>
                    <a:stretch>
                      <a:fillRect/>
                    </a:stretch>
                  </pic:blipFill>
                  <pic:spPr>
                    <a:xfrm>
                      <a:off x="0" y="0"/>
                      <a:ext cx="5270500" cy="2782570"/>
                    </a:xfrm>
                    <a:prstGeom prst="rect">
                      <a:avLst/>
                    </a:prstGeom>
                  </pic:spPr>
                </pic:pic>
              </a:graphicData>
            </a:graphic>
          </wp:inline>
        </w:drawing>
      </w:r>
    </w:p>
    <w:p w14:paraId="147A3B56">
      <w:pPr>
        <w:rPr>
          <w:rFonts w:hint="default"/>
          <w:lang w:val="es-ES"/>
        </w:rPr>
      </w:pPr>
    </w:p>
    <w:p w14:paraId="75E0B5CE">
      <w:pPr>
        <w:rPr>
          <w:rFonts w:ascii="SimSun" w:hAnsi="SimSun" w:eastAsia="SimSun" w:cs="SimSun"/>
          <w:sz w:val="24"/>
          <w:szCs w:val="24"/>
        </w:rPr>
      </w:pPr>
    </w:p>
    <w:p w14:paraId="1BE85E7E">
      <w:pPr>
        <w:rPr>
          <w:rFonts w:ascii="SimSun" w:hAnsi="SimSun" w:eastAsia="SimSun" w:cs="SimSun"/>
          <w:sz w:val="24"/>
          <w:szCs w:val="24"/>
        </w:rPr>
      </w:pPr>
    </w:p>
    <w:p w14:paraId="66516168">
      <w:pPr>
        <w:rPr>
          <w:rFonts w:ascii="SimSun" w:hAnsi="SimSun" w:eastAsia="SimSun" w:cs="SimSun"/>
          <w:sz w:val="24"/>
          <w:szCs w:val="24"/>
        </w:rPr>
      </w:pPr>
    </w:p>
    <w:p w14:paraId="4D04736B">
      <w:pPr>
        <w:rPr>
          <w:rFonts w:ascii="SimSun" w:hAnsi="SimSun" w:eastAsia="SimSun" w:cs="SimSun"/>
          <w:sz w:val="24"/>
          <w:szCs w:val="24"/>
        </w:rPr>
      </w:pPr>
    </w:p>
    <w:p w14:paraId="54B89F46">
      <w:pPr>
        <w:rPr>
          <w:rFonts w:ascii="SimSun" w:hAnsi="SimSun" w:eastAsia="SimSun" w:cs="SimSun"/>
          <w:sz w:val="24"/>
          <w:szCs w:val="24"/>
        </w:rPr>
      </w:pPr>
    </w:p>
    <w:p w14:paraId="6FC49462">
      <w:pPr>
        <w:rPr>
          <w:rFonts w:ascii="SimSun" w:hAnsi="SimSun" w:eastAsia="SimSun" w:cs="SimSun"/>
          <w:sz w:val="24"/>
          <w:szCs w:val="24"/>
        </w:rPr>
      </w:pPr>
    </w:p>
    <w:p w14:paraId="18CB01B4">
      <w:pPr>
        <w:rPr>
          <w:rFonts w:ascii="SimSun" w:hAnsi="SimSun" w:eastAsia="SimSun" w:cs="SimSun"/>
          <w:sz w:val="24"/>
          <w:szCs w:val="24"/>
        </w:rPr>
      </w:pPr>
    </w:p>
    <w:p w14:paraId="1AC69981">
      <w:pPr>
        <w:rPr>
          <w:rFonts w:ascii="SimSun" w:hAnsi="SimSun" w:eastAsia="SimSun" w:cs="SimSun"/>
          <w:sz w:val="24"/>
          <w:szCs w:val="24"/>
        </w:rPr>
      </w:pPr>
    </w:p>
    <w:p w14:paraId="3C7E8106">
      <w:pPr>
        <w:rPr>
          <w:rFonts w:ascii="SimSun" w:hAnsi="SimSun" w:eastAsia="SimSun" w:cs="SimSun"/>
          <w:sz w:val="24"/>
          <w:szCs w:val="24"/>
        </w:rPr>
      </w:pPr>
    </w:p>
    <w:p w14:paraId="43157464">
      <w:pPr>
        <w:rPr>
          <w:rFonts w:ascii="SimSun" w:hAnsi="SimSun" w:eastAsia="SimSun" w:cs="SimSun"/>
          <w:sz w:val="24"/>
          <w:szCs w:val="24"/>
        </w:rPr>
      </w:pPr>
    </w:p>
    <w:p w14:paraId="0B1B8DAA">
      <w:pPr>
        <w:rPr>
          <w:rFonts w:ascii="SimSun" w:hAnsi="SimSun" w:eastAsia="SimSun" w:cs="SimSun"/>
          <w:sz w:val="24"/>
          <w:szCs w:val="24"/>
        </w:rPr>
      </w:pPr>
    </w:p>
    <w:p w14:paraId="176E4E23">
      <w:pPr>
        <w:rPr>
          <w:rFonts w:ascii="SimSun" w:hAnsi="SimSun" w:eastAsia="SimSun" w:cs="SimSun"/>
          <w:sz w:val="24"/>
          <w:szCs w:val="24"/>
        </w:rPr>
      </w:pPr>
    </w:p>
    <w:p w14:paraId="06D2ECD9">
      <w:pPr>
        <w:rPr>
          <w:rFonts w:ascii="SimSun" w:hAnsi="SimSun" w:eastAsia="SimSun" w:cs="SimSun"/>
          <w:sz w:val="24"/>
          <w:szCs w:val="24"/>
        </w:rPr>
      </w:pPr>
    </w:p>
    <w:p w14:paraId="77868EF3">
      <w:pPr>
        <w:rPr>
          <w:rFonts w:ascii="SimSun" w:hAnsi="SimSun" w:eastAsia="SimSun" w:cs="SimSun"/>
          <w:sz w:val="24"/>
          <w:szCs w:val="24"/>
        </w:rPr>
      </w:pPr>
    </w:p>
    <w:p w14:paraId="0D3B35FA">
      <w:pPr>
        <w:rPr>
          <w:rFonts w:ascii="SimSun" w:hAnsi="SimSun" w:eastAsia="SimSun" w:cs="SimSun"/>
          <w:sz w:val="24"/>
          <w:szCs w:val="24"/>
        </w:rPr>
      </w:pPr>
    </w:p>
    <w:p w14:paraId="7CDFD18C">
      <w:pPr>
        <w:rPr>
          <w:rFonts w:ascii="SimSun" w:hAnsi="SimSun" w:eastAsia="SimSun" w:cs="SimSun"/>
          <w:sz w:val="24"/>
          <w:szCs w:val="24"/>
        </w:rPr>
      </w:pPr>
    </w:p>
    <w:p w14:paraId="56624F7C">
      <w:pPr>
        <w:rPr>
          <w:rFonts w:ascii="SimSun" w:hAnsi="SimSun" w:eastAsia="SimSun" w:cs="SimSun"/>
          <w:sz w:val="24"/>
          <w:szCs w:val="24"/>
        </w:rPr>
      </w:pPr>
    </w:p>
    <w:p w14:paraId="312C92A0">
      <w:pPr>
        <w:rPr>
          <w:rFonts w:ascii="SimSun" w:hAnsi="SimSun" w:eastAsia="SimSun" w:cs="SimSun"/>
          <w:sz w:val="24"/>
          <w:szCs w:val="24"/>
        </w:rPr>
      </w:pPr>
    </w:p>
    <w:p w14:paraId="5323A389">
      <w:pPr>
        <w:rPr>
          <w:rFonts w:ascii="SimSun" w:hAnsi="SimSun" w:eastAsia="SimSun" w:cs="SimSun"/>
          <w:sz w:val="24"/>
          <w:szCs w:val="24"/>
        </w:rPr>
      </w:pPr>
    </w:p>
    <w:p w14:paraId="0756984B">
      <w:pPr>
        <w:rPr>
          <w:rFonts w:ascii="SimSun" w:hAnsi="SimSun" w:eastAsia="SimSun" w:cs="SimSun"/>
          <w:sz w:val="24"/>
          <w:szCs w:val="24"/>
        </w:rPr>
      </w:pPr>
    </w:p>
    <w:p w14:paraId="3E275528">
      <w:pPr>
        <w:rPr>
          <w:rFonts w:ascii="SimSun" w:hAnsi="SimSun" w:eastAsia="SimSun" w:cs="SimSun"/>
          <w:sz w:val="24"/>
          <w:szCs w:val="24"/>
        </w:rPr>
      </w:pPr>
    </w:p>
    <w:p w14:paraId="1B597334">
      <w:pPr>
        <w:rPr>
          <w:rFonts w:ascii="SimSun" w:hAnsi="SimSun" w:eastAsia="SimSun" w:cs="SimSun"/>
          <w:sz w:val="24"/>
          <w:szCs w:val="24"/>
        </w:rPr>
      </w:pPr>
    </w:p>
    <w:p w14:paraId="5076040A">
      <w:pPr>
        <w:rPr>
          <w:rFonts w:ascii="SimSun" w:hAnsi="SimSun" w:eastAsia="SimSun" w:cs="SimSun"/>
          <w:sz w:val="24"/>
          <w:szCs w:val="24"/>
        </w:rPr>
      </w:pPr>
    </w:p>
    <w:p w14:paraId="32CBB14A">
      <w:pPr>
        <w:rPr>
          <w:rFonts w:ascii="SimSun" w:hAnsi="SimSun" w:eastAsia="SimSun" w:cs="SimSun"/>
          <w:sz w:val="24"/>
          <w:szCs w:val="24"/>
        </w:rPr>
      </w:pPr>
    </w:p>
    <w:p w14:paraId="0F62F0DA">
      <w:pPr>
        <w:rPr>
          <w:rFonts w:ascii="SimSun" w:hAnsi="SimSun" w:eastAsia="SimSun" w:cs="SimSun"/>
          <w:sz w:val="24"/>
          <w:szCs w:val="24"/>
        </w:rPr>
      </w:pPr>
    </w:p>
    <w:p w14:paraId="4E7C957D">
      <w:pPr>
        <w:rPr>
          <w:rFonts w:ascii="SimSun" w:hAnsi="SimSun" w:eastAsia="SimSun" w:cs="SimSun"/>
          <w:sz w:val="24"/>
          <w:szCs w:val="24"/>
        </w:rPr>
      </w:pPr>
    </w:p>
    <w:p w14:paraId="2E0A9872">
      <w:pPr>
        <w:rPr>
          <w:rFonts w:ascii="SimSun" w:hAnsi="SimSun" w:eastAsia="SimSun" w:cs="SimSun"/>
          <w:sz w:val="24"/>
          <w:szCs w:val="24"/>
        </w:rPr>
      </w:pPr>
    </w:p>
    <w:p w14:paraId="174D193C">
      <w:pPr>
        <w:rPr>
          <w:rFonts w:ascii="SimSun" w:hAnsi="SimSun" w:eastAsia="SimSun" w:cs="SimSun"/>
          <w:sz w:val="24"/>
          <w:szCs w:val="24"/>
        </w:rPr>
      </w:pPr>
    </w:p>
    <w:p w14:paraId="1E824B11">
      <w:pPr>
        <w:rPr>
          <w:rFonts w:ascii="SimSun" w:hAnsi="SimSun" w:eastAsia="SimSun" w:cs="SimSun"/>
          <w:sz w:val="24"/>
          <w:szCs w:val="24"/>
        </w:rPr>
      </w:pPr>
    </w:p>
    <w:p w14:paraId="71921188">
      <w:pPr>
        <w:rPr>
          <w:rFonts w:ascii="SimSun" w:hAnsi="SimSun" w:eastAsia="SimSun" w:cs="SimSun"/>
          <w:sz w:val="24"/>
          <w:szCs w:val="24"/>
        </w:rPr>
      </w:pPr>
      <w:r>
        <w:rPr>
          <w:rFonts w:ascii="SimSun" w:hAnsi="SimSun" w:eastAsia="SimSun" w:cs="SimSun"/>
          <w:sz w:val="24"/>
          <w:szCs w:val="24"/>
        </w:rPr>
        <w:t>"My name is Leida Pereira. I am from Venezuela. I enjoy singing and I'm currently involved with the National System of Choirs and Orchestras in Cumaná. Additionally, I perform with an Afro-Venezuelan music group and the church choir. I hold a degree in systems engineering and I am a specialist in the Human Resources field."</w:t>
      </w:r>
    </w:p>
    <w:p w14:paraId="1D40D4FC">
      <w:pPr>
        <w:rPr>
          <w:rFonts w:ascii="SimSun" w:hAnsi="SimSun" w:eastAsia="SimSun" w:cs="SimSun"/>
          <w:sz w:val="24"/>
          <w:szCs w:val="24"/>
        </w:rPr>
      </w:pPr>
    </w:p>
    <w:p w14:paraId="3DA0DB91">
      <w:pPr>
        <w:rPr>
          <w:rFonts w:hint="default" w:ascii="SimSun" w:hAnsi="SimSun" w:eastAsia="SimSun" w:cs="SimSun"/>
          <w:sz w:val="24"/>
          <w:szCs w:val="24"/>
          <w:lang w:val="es-ES"/>
        </w:rPr>
      </w:pPr>
      <w:r>
        <w:rPr>
          <w:rFonts w:hint="default" w:ascii="SimSun" w:hAnsi="SimSun" w:eastAsia="SimSun" w:cs="SimSun"/>
          <w:sz w:val="24"/>
          <w:szCs w:val="24"/>
          <w:lang w:val="es-ES"/>
        </w:rPr>
        <w:t xml:space="preserve">ORACION </w:t>
      </w:r>
    </w:p>
    <w:p w14:paraId="17A1C3CA">
      <w:pPr>
        <w:rPr>
          <w:rFonts w:hint="default" w:ascii="SimSun" w:hAnsi="SimSun" w:eastAsia="SimSun" w:cs="SimSun"/>
          <w:sz w:val="24"/>
          <w:szCs w:val="24"/>
          <w:lang w:val="es-ES"/>
        </w:rPr>
      </w:pPr>
    </w:p>
    <w:p w14:paraId="02A109F2">
      <w:pPr>
        <w:rPr>
          <w:rFonts w:hint="default" w:ascii="SimSun" w:hAnsi="SimSun" w:eastAsia="SimSun" w:cs="SimSun"/>
          <w:sz w:val="24"/>
          <w:szCs w:val="24"/>
          <w:lang w:val="es-ES"/>
        </w:rPr>
      </w:pPr>
    </w:p>
    <w:p w14:paraId="7D86E8AC">
      <w:pPr>
        <w:rPr>
          <w:rFonts w:hint="default" w:ascii="SimSun" w:hAnsi="SimSun" w:eastAsia="SimSun" w:cs="SimSun"/>
          <w:sz w:val="24"/>
          <w:szCs w:val="24"/>
          <w:lang w:val="es-ES"/>
        </w:rPr>
      </w:pPr>
    </w:p>
    <w:p w14:paraId="1ED9B81C">
      <w:pPr>
        <w:rPr>
          <w:rFonts w:hint="default" w:ascii="SimSun" w:hAnsi="SimSun" w:eastAsia="SimSun" w:cs="SimSun"/>
          <w:sz w:val="24"/>
          <w:szCs w:val="24"/>
          <w:lang w:val="es-ES"/>
        </w:rPr>
      </w:pPr>
    </w:p>
    <w:p w14:paraId="1871223A">
      <w:pPr>
        <w:rPr>
          <w:rFonts w:hint="default" w:ascii="SimSun" w:hAnsi="SimSun" w:eastAsia="SimSun" w:cs="SimSun"/>
          <w:sz w:val="24"/>
          <w:szCs w:val="24"/>
          <w:lang w:val="es-ES"/>
        </w:rPr>
      </w:pPr>
    </w:p>
    <w:p w14:paraId="663800F6">
      <w:pPr>
        <w:rPr>
          <w:rFonts w:hint="default" w:ascii="SimSun" w:hAnsi="SimSun" w:eastAsia="SimSun" w:cs="SimSun"/>
          <w:sz w:val="24"/>
          <w:szCs w:val="24"/>
          <w:lang w:val="es-ES"/>
        </w:rPr>
      </w:pPr>
    </w:p>
    <w:p w14:paraId="7C5983D1">
      <w:pPr>
        <w:rPr>
          <w:rFonts w:hint="default" w:ascii="SimSun" w:hAnsi="SimSun" w:eastAsia="SimSun" w:cs="SimSun"/>
          <w:sz w:val="24"/>
          <w:szCs w:val="24"/>
          <w:lang w:val="es-ES"/>
        </w:rPr>
      </w:pPr>
    </w:p>
    <w:p w14:paraId="5A3922C3">
      <w:pPr>
        <w:rPr>
          <w:rFonts w:hint="default" w:ascii="SimSun" w:hAnsi="SimSun" w:eastAsia="SimSun" w:cs="SimSun"/>
          <w:sz w:val="24"/>
          <w:szCs w:val="24"/>
          <w:lang w:val="es-ES"/>
        </w:rPr>
      </w:pPr>
    </w:p>
    <w:p w14:paraId="0D4BF53E">
      <w:pPr>
        <w:rPr>
          <w:rFonts w:hint="default" w:ascii="SimSun" w:hAnsi="SimSun" w:eastAsia="SimSun" w:cs="SimSun"/>
          <w:sz w:val="24"/>
          <w:szCs w:val="24"/>
          <w:lang w:val="es-ES"/>
        </w:rPr>
      </w:pPr>
    </w:p>
    <w:p w14:paraId="01CB6C4D">
      <w:pPr>
        <w:rPr>
          <w:rFonts w:hint="default" w:ascii="SimSun" w:hAnsi="SimSun" w:eastAsia="SimSun" w:cs="SimSun"/>
          <w:sz w:val="24"/>
          <w:szCs w:val="24"/>
          <w:lang w:val="es-ES"/>
        </w:rPr>
      </w:pPr>
    </w:p>
    <w:p w14:paraId="23093FFC">
      <w:pPr>
        <w:rPr>
          <w:rFonts w:hint="default" w:ascii="SimSun" w:hAnsi="SimSun" w:eastAsia="SimSun" w:cs="SimSun"/>
          <w:sz w:val="24"/>
          <w:szCs w:val="24"/>
          <w:lang w:val="es-ES"/>
        </w:rPr>
      </w:pPr>
    </w:p>
    <w:p w14:paraId="54A62F28">
      <w:pPr>
        <w:rPr>
          <w:rFonts w:hint="default" w:ascii="SimSun" w:hAnsi="SimSun" w:eastAsia="SimSun" w:cs="SimSun"/>
          <w:sz w:val="24"/>
          <w:szCs w:val="24"/>
          <w:lang w:val="es-ES"/>
        </w:rPr>
      </w:pPr>
    </w:p>
    <w:p w14:paraId="0F799944">
      <w:pPr>
        <w:rPr>
          <w:rFonts w:hint="default" w:ascii="SimSun" w:hAnsi="SimSun" w:eastAsia="SimSun" w:cs="SimSun"/>
          <w:sz w:val="24"/>
          <w:szCs w:val="24"/>
          <w:lang w:val="es-ES"/>
        </w:rPr>
      </w:pPr>
    </w:p>
    <w:p w14:paraId="36DBD6FF">
      <w:pPr>
        <w:rPr>
          <w:rFonts w:hint="default" w:ascii="SimSun" w:hAnsi="SimSun" w:eastAsia="SimSun" w:cs="SimSun"/>
          <w:sz w:val="24"/>
          <w:szCs w:val="24"/>
          <w:lang w:val="es-ES"/>
        </w:rPr>
      </w:pPr>
    </w:p>
    <w:p w14:paraId="4507FD63">
      <w:pPr>
        <w:rPr>
          <w:rFonts w:hint="default" w:ascii="SimSun" w:hAnsi="SimSun" w:eastAsia="SimSun" w:cs="SimSun"/>
          <w:sz w:val="24"/>
          <w:szCs w:val="24"/>
          <w:lang w:val="es-ES"/>
        </w:rPr>
      </w:pPr>
    </w:p>
    <w:p w14:paraId="77FDDBC1">
      <w:pPr>
        <w:rPr>
          <w:rFonts w:hint="default" w:ascii="SimSun" w:hAnsi="SimSun" w:eastAsia="SimSun" w:cs="SimSun"/>
          <w:sz w:val="24"/>
          <w:szCs w:val="24"/>
          <w:lang w:val="es-ES"/>
        </w:rPr>
      </w:pPr>
    </w:p>
    <w:p w14:paraId="796B29C4">
      <w:pPr>
        <w:rPr>
          <w:rFonts w:hint="default" w:ascii="SimSun" w:hAnsi="SimSun" w:eastAsia="SimSun" w:cs="SimSun"/>
          <w:sz w:val="24"/>
          <w:szCs w:val="24"/>
          <w:lang w:val="es-ES"/>
        </w:rPr>
      </w:pPr>
    </w:p>
    <w:p w14:paraId="1F8788E3">
      <w:pPr>
        <w:rPr>
          <w:rFonts w:hint="default" w:ascii="SimSun" w:hAnsi="SimSun" w:eastAsia="SimSun" w:cs="SimSun"/>
          <w:sz w:val="24"/>
          <w:szCs w:val="24"/>
          <w:lang w:val="es-ES"/>
        </w:rPr>
      </w:pPr>
    </w:p>
    <w:p w14:paraId="1E40550C">
      <w:pPr>
        <w:rPr>
          <w:rFonts w:hint="default" w:ascii="SimSun" w:hAnsi="SimSun" w:eastAsia="SimSun" w:cs="SimSun"/>
          <w:sz w:val="24"/>
          <w:szCs w:val="24"/>
          <w:lang w:val="es-ES"/>
        </w:rPr>
      </w:pPr>
    </w:p>
    <w:p w14:paraId="15FA55B6">
      <w:pPr>
        <w:rPr>
          <w:rFonts w:hint="default" w:ascii="SimSun" w:hAnsi="SimSun" w:eastAsia="SimSun" w:cs="SimSun"/>
          <w:sz w:val="24"/>
          <w:szCs w:val="24"/>
          <w:lang w:val="es-ES"/>
        </w:rPr>
      </w:pPr>
    </w:p>
    <w:p w14:paraId="557D2FF9">
      <w:pPr>
        <w:rPr>
          <w:rFonts w:hint="default" w:ascii="SimSun" w:hAnsi="SimSun" w:eastAsia="SimSun" w:cs="SimSun"/>
          <w:sz w:val="24"/>
          <w:szCs w:val="24"/>
          <w:lang w:val="es-ES"/>
        </w:rPr>
      </w:pPr>
    </w:p>
    <w:p w14:paraId="2B276C5A">
      <w:pPr>
        <w:rPr>
          <w:rFonts w:hint="default" w:ascii="SimSun" w:hAnsi="SimSun" w:eastAsia="SimSun" w:cs="SimSun"/>
          <w:sz w:val="24"/>
          <w:szCs w:val="24"/>
          <w:lang w:val="es-ES"/>
        </w:rPr>
      </w:pPr>
    </w:p>
    <w:p w14:paraId="22DD4945">
      <w:pPr>
        <w:rPr>
          <w:rFonts w:hint="default" w:ascii="SimSun" w:hAnsi="SimSun" w:eastAsia="SimSun" w:cs="SimSun"/>
          <w:sz w:val="24"/>
          <w:szCs w:val="24"/>
          <w:lang w:val="es-ES"/>
        </w:rPr>
      </w:pPr>
    </w:p>
    <w:p w14:paraId="4BF17E78">
      <w:pPr>
        <w:rPr>
          <w:rFonts w:hint="default" w:ascii="SimSun" w:hAnsi="SimSun" w:eastAsia="SimSun" w:cs="SimSun"/>
          <w:sz w:val="24"/>
          <w:szCs w:val="24"/>
          <w:lang w:val="es-ES"/>
        </w:rPr>
      </w:pPr>
    </w:p>
    <w:p w14:paraId="15747FB7">
      <w:pPr>
        <w:rPr>
          <w:rFonts w:hint="default" w:ascii="SimSun" w:hAnsi="SimSun" w:eastAsia="SimSun" w:cs="SimSun"/>
          <w:sz w:val="24"/>
          <w:szCs w:val="24"/>
          <w:lang w:val="es-ES"/>
        </w:rPr>
      </w:pPr>
    </w:p>
    <w:p w14:paraId="533802BE">
      <w:pPr>
        <w:rPr>
          <w:rFonts w:hint="default" w:ascii="SimSun" w:hAnsi="SimSun" w:eastAsia="SimSun" w:cs="SimSun"/>
          <w:sz w:val="24"/>
          <w:szCs w:val="24"/>
          <w:lang w:val="es-ES"/>
        </w:rPr>
      </w:pPr>
    </w:p>
    <w:p w14:paraId="6F0D0624">
      <w:pPr>
        <w:rPr>
          <w:rFonts w:hint="default" w:ascii="SimSun" w:hAnsi="SimSun" w:eastAsia="SimSun" w:cs="SimSun"/>
          <w:sz w:val="24"/>
          <w:szCs w:val="24"/>
          <w:lang w:val="es-ES"/>
        </w:rPr>
      </w:pPr>
    </w:p>
    <w:p w14:paraId="4EC0DE42">
      <w:pPr>
        <w:rPr>
          <w:rFonts w:hint="default" w:ascii="SimSun" w:hAnsi="SimSun" w:eastAsia="SimSun" w:cs="SimSun"/>
          <w:sz w:val="24"/>
          <w:szCs w:val="24"/>
          <w:lang w:val="es-ES"/>
        </w:rPr>
      </w:pPr>
    </w:p>
    <w:p w14:paraId="7E6F45CF">
      <w:pPr>
        <w:rPr>
          <w:rFonts w:hint="default" w:ascii="SimSun" w:hAnsi="SimSun" w:eastAsia="SimSun" w:cs="SimSun"/>
          <w:sz w:val="24"/>
          <w:szCs w:val="24"/>
          <w:lang w:val="es-ES"/>
        </w:rPr>
      </w:pPr>
    </w:p>
    <w:p w14:paraId="6B021287">
      <w:pPr>
        <w:rPr>
          <w:rFonts w:hint="default" w:ascii="SimSun" w:hAnsi="SimSun" w:eastAsia="SimSun" w:cs="SimSun"/>
          <w:sz w:val="24"/>
          <w:szCs w:val="24"/>
          <w:lang w:val="es-ES"/>
        </w:rPr>
      </w:pPr>
    </w:p>
    <w:p w14:paraId="75FB5975">
      <w:pPr>
        <w:rPr>
          <w:rFonts w:hint="default" w:ascii="SimSun" w:hAnsi="SimSun" w:eastAsia="SimSun" w:cs="SimSun"/>
          <w:sz w:val="24"/>
          <w:szCs w:val="24"/>
          <w:lang w:val="es-ES"/>
        </w:rPr>
      </w:pPr>
    </w:p>
    <w:p w14:paraId="184A7C3F">
      <w:pPr>
        <w:rPr>
          <w:rFonts w:hint="default" w:ascii="SimSun" w:hAnsi="SimSun" w:eastAsia="SimSun" w:cs="SimSun"/>
          <w:sz w:val="24"/>
          <w:szCs w:val="24"/>
          <w:lang w:val="es-ES"/>
        </w:rPr>
      </w:pPr>
    </w:p>
    <w:p w14:paraId="075A3734">
      <w:pPr>
        <w:rPr>
          <w:rFonts w:hint="default" w:ascii="SimSun" w:hAnsi="SimSun" w:eastAsia="SimSun" w:cs="SimSun"/>
          <w:sz w:val="24"/>
          <w:szCs w:val="24"/>
          <w:lang w:val="es-ES"/>
        </w:rPr>
      </w:pPr>
    </w:p>
    <w:p w14:paraId="77929CCA">
      <w:pPr>
        <w:rPr>
          <w:rFonts w:hint="default" w:ascii="SimSun" w:hAnsi="SimSun" w:eastAsia="SimSun" w:cs="SimSun"/>
          <w:sz w:val="24"/>
          <w:szCs w:val="24"/>
          <w:lang w:val="es-ES"/>
        </w:rPr>
      </w:pPr>
    </w:p>
    <w:p w14:paraId="35C4C999">
      <w:pPr>
        <w:rPr>
          <w:rFonts w:hint="default" w:ascii="SimSun" w:hAnsi="SimSun" w:eastAsia="SimSun" w:cs="SimSun"/>
          <w:sz w:val="24"/>
          <w:szCs w:val="24"/>
          <w:lang w:val="es-ES"/>
        </w:rPr>
      </w:pPr>
    </w:p>
    <w:p w14:paraId="17D05E31">
      <w:pPr>
        <w:rPr>
          <w:rFonts w:hint="default" w:ascii="SimSun" w:hAnsi="SimSun" w:eastAsia="SimSun" w:cs="SimSun"/>
          <w:sz w:val="24"/>
          <w:szCs w:val="24"/>
          <w:lang w:val="es-ES"/>
        </w:rPr>
      </w:pPr>
    </w:p>
    <w:p w14:paraId="2A4A27BD">
      <w:pPr>
        <w:rPr>
          <w:rFonts w:hint="default" w:ascii="Arial" w:hAnsi="Arial" w:eastAsia="SimSun" w:cs="Arial"/>
          <w:sz w:val="16"/>
          <w:szCs w:val="16"/>
          <w:lang w:val="es-ES"/>
        </w:rPr>
      </w:pPr>
    </w:p>
    <w:tbl>
      <w:tblPr>
        <w:tblW w:w="10642" w:type="dxa"/>
        <w:tblCellSpacing w:w="15" w:type="dxa"/>
        <w:tblInd w:w="-96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5098"/>
        <w:gridCol w:w="5544"/>
      </w:tblGrid>
      <w:tr w14:paraId="10FABC4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5053" w:type="dxa"/>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1402EB25">
            <w:pPr>
              <w:keepNext w:val="0"/>
              <w:keepLines w:val="0"/>
              <w:widowControl/>
              <w:suppressLineNumbers w:val="0"/>
              <w:bidi w:val="0"/>
              <w:spacing w:before="0" w:beforeAutospacing="0" w:after="0" w:afterAutospacing="0" w:line="15" w:lineRule="atLeast"/>
              <w:ind w:left="0" w:right="0"/>
              <w:jc w:val="left"/>
              <w:rPr>
                <w:rFonts w:hint="default" w:ascii="Arial" w:hAnsi="Arial" w:eastAsia="sans-serif" w:cs="Arial"/>
                <w:b/>
                <w:bCs/>
                <w:color w:val="1F1F1F"/>
                <w:sz w:val="18"/>
                <w:szCs w:val="18"/>
              </w:rPr>
            </w:pPr>
            <w:r>
              <w:rPr>
                <w:rFonts w:hint="default" w:ascii="Arial" w:hAnsi="Arial" w:eastAsia="sans-serif" w:cs="Arial"/>
                <w:b/>
                <w:bCs/>
                <w:color w:val="1F1F1F"/>
                <w:kern w:val="0"/>
                <w:sz w:val="18"/>
                <w:szCs w:val="18"/>
                <w:bdr w:val="none" w:color="1F1F1F" w:sz="0" w:space="0"/>
                <w:lang w:val="en-US" w:eastAsia="zh-CN" w:bidi="ar"/>
              </w:rPr>
              <w:t xml:space="preserve">### </w:t>
            </w:r>
            <w:r>
              <w:rPr>
                <w:rFonts w:hint="default" w:ascii="Arial" w:hAnsi="Arial" w:eastAsia="sans-serif" w:cs="Arial"/>
                <w:b/>
                <w:bCs/>
                <w:color w:val="1F1F1F"/>
                <w:kern w:val="0"/>
                <w:sz w:val="18"/>
                <w:szCs w:val="18"/>
                <w:bdr w:val="none" w:color="1F1F1F" w:sz="0" w:space="0"/>
                <w:lang w:val="en-US" w:eastAsia="zh-CN" w:bidi="ar"/>
              </w:rPr>
              <w:t xml:space="preserve">1. Learning as an </w:t>
            </w:r>
            <w:bookmarkStart w:id="0" w:name="_GoBack"/>
            <w:bookmarkEnd w:id="0"/>
            <w:r>
              <w:rPr>
                <w:rFonts w:hint="default" w:ascii="Arial" w:hAnsi="Arial" w:eastAsia="sans-serif" w:cs="Arial"/>
                <w:b/>
                <w:bCs/>
                <w:color w:val="1F1F1F"/>
                <w:kern w:val="0"/>
                <w:sz w:val="18"/>
                <w:szCs w:val="18"/>
                <w:bdr w:val="none" w:color="1F1F1F" w:sz="0" w:space="0"/>
                <w:lang w:val="en-US" w:eastAsia="zh-CN" w:bidi="ar"/>
              </w:rPr>
              <w:t>Active Experience</w:t>
            </w:r>
          </w:p>
        </w:tc>
        <w:tc>
          <w:tcPr>
            <w:tcW w:w="5499" w:type="dxa"/>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302ADB79">
            <w:pPr>
              <w:keepNext w:val="0"/>
              <w:keepLines w:val="0"/>
              <w:widowControl/>
              <w:suppressLineNumbers w:val="0"/>
              <w:bidi w:val="0"/>
              <w:spacing w:before="0" w:beforeAutospacing="0" w:after="0" w:afterAutospacing="0" w:line="15" w:lineRule="atLeast"/>
              <w:ind w:left="0" w:right="0"/>
              <w:jc w:val="left"/>
              <w:rPr>
                <w:rFonts w:hint="default" w:ascii="Arial" w:hAnsi="Arial" w:eastAsia="sans-serif" w:cs="Arial"/>
                <w:b/>
                <w:bCs/>
                <w:color w:val="1F1F1F"/>
                <w:sz w:val="18"/>
                <w:szCs w:val="18"/>
              </w:rPr>
            </w:pPr>
            <w:r>
              <w:rPr>
                <w:rFonts w:hint="default" w:ascii="Arial" w:hAnsi="Arial" w:eastAsia="sans-serif" w:cs="Arial"/>
                <w:b/>
                <w:bCs/>
                <w:color w:val="1F1F1F"/>
                <w:kern w:val="0"/>
                <w:sz w:val="18"/>
                <w:szCs w:val="18"/>
                <w:bdr w:val="none" w:color="1F1F1F" w:sz="0" w:space="0"/>
                <w:lang w:val="en-US" w:eastAsia="zh-CN" w:bidi="ar"/>
              </w:rPr>
              <w:t xml:space="preserve">### </w:t>
            </w:r>
            <w:r>
              <w:rPr>
                <w:rFonts w:hint="default" w:ascii="Arial" w:hAnsi="Arial" w:eastAsia="sans-serif" w:cs="Arial"/>
                <w:b/>
                <w:bCs/>
                <w:color w:val="1F1F1F"/>
                <w:kern w:val="0"/>
                <w:sz w:val="18"/>
                <w:szCs w:val="18"/>
                <w:bdr w:val="none" w:color="1F1F1F" w:sz="0" w:space="0"/>
                <w:lang w:val="en-US" w:eastAsia="zh-CN" w:bidi="ar"/>
              </w:rPr>
              <w:t>1. El aprendizaje como una experiencia activa</w:t>
            </w:r>
          </w:p>
        </w:tc>
      </w:tr>
      <w:tr w14:paraId="6D1AB5E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5053" w:type="dxa"/>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45EC9539">
            <w:pPr>
              <w:keepNext w:val="0"/>
              <w:keepLines w:val="0"/>
              <w:widowControl/>
              <w:suppressLineNumbers w:val="0"/>
              <w:bidi w:val="0"/>
              <w:spacing w:before="0" w:beforeAutospacing="0" w:after="0" w:afterAutospacing="0" w:line="15" w:lineRule="atLeast"/>
              <w:ind w:left="0" w:right="0"/>
              <w:jc w:val="left"/>
              <w:rPr>
                <w:rFonts w:hint="default" w:ascii="Arial" w:hAnsi="Arial" w:eastAsia="sans-serif" w:cs="Arial"/>
                <w:b/>
                <w:bCs/>
                <w:color w:val="1F1F1F"/>
                <w:sz w:val="18"/>
                <w:szCs w:val="18"/>
              </w:rPr>
            </w:pPr>
            <w:r>
              <w:rPr>
                <w:rFonts w:hint="default" w:ascii="Arial" w:hAnsi="Arial" w:eastAsia="sans-serif" w:cs="Arial"/>
                <w:b/>
                <w:bCs/>
                <w:color w:val="1F1F1F"/>
                <w:kern w:val="0"/>
                <w:sz w:val="18"/>
                <w:szCs w:val="18"/>
                <w:bdr w:val="none" w:color="1F1F1F" w:sz="0" w:space="0"/>
                <w:lang w:val="en-US" w:eastAsia="zh-CN" w:bidi="ar"/>
              </w:rPr>
              <w:t>Following Peter's example of walking on water, discipleship requires both faith and effort. The Savior did not just teach concepts; He invited people to "come and see," implying that true learning occurs when a person changes, repents, and progresses through study and faith.</w:t>
            </w:r>
          </w:p>
        </w:tc>
        <w:tc>
          <w:tcPr>
            <w:tcW w:w="5499" w:type="dxa"/>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4D82B8E1">
            <w:pPr>
              <w:keepNext w:val="0"/>
              <w:keepLines w:val="0"/>
              <w:widowControl/>
              <w:suppressLineNumbers w:val="0"/>
              <w:bidi w:val="0"/>
              <w:spacing w:before="0" w:beforeAutospacing="0" w:after="0" w:afterAutospacing="0" w:line="15" w:lineRule="atLeast"/>
              <w:ind w:left="0" w:right="0"/>
              <w:jc w:val="left"/>
              <w:rPr>
                <w:rFonts w:hint="default" w:ascii="Arial" w:hAnsi="Arial" w:eastAsia="sans-serif" w:cs="Arial"/>
                <w:b/>
                <w:bCs/>
                <w:color w:val="1F1F1F"/>
                <w:sz w:val="18"/>
                <w:szCs w:val="18"/>
              </w:rPr>
            </w:pPr>
            <w:r>
              <w:rPr>
                <w:rFonts w:hint="default" w:ascii="Arial" w:hAnsi="Arial" w:eastAsia="sans-serif" w:cs="Arial"/>
                <w:b/>
                <w:bCs/>
                <w:color w:val="1F1F1F"/>
                <w:kern w:val="0"/>
                <w:sz w:val="18"/>
                <w:szCs w:val="18"/>
                <w:bdr w:val="none" w:color="1F1F1F" w:sz="0" w:space="0"/>
                <w:lang w:val="en-US" w:eastAsia="zh-CN" w:bidi="ar"/>
              </w:rPr>
              <w:t>Siguiendo el ejemplo de Pedro al caminar sobre el agua, el discipulado requiere fe y esfuerzo. El Salvador no solo enseñaba conceptos; invitaba a las personas a "venir y ver", lo que implica que el verdadero aprendizaje ocurre cuando la persona cambia, se arrepiente y progresa mediante el estudio y la fe.</w:t>
            </w:r>
          </w:p>
        </w:tc>
      </w:tr>
      <w:tr w14:paraId="07726A6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5053" w:type="dxa"/>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4E66AC4D">
            <w:pPr>
              <w:keepNext w:val="0"/>
              <w:keepLines w:val="0"/>
              <w:widowControl/>
              <w:suppressLineNumbers w:val="0"/>
              <w:bidi w:val="0"/>
              <w:spacing w:before="0" w:beforeAutospacing="0" w:after="0" w:afterAutospacing="0" w:line="15" w:lineRule="atLeast"/>
              <w:ind w:left="0" w:right="0"/>
              <w:jc w:val="left"/>
              <w:rPr>
                <w:rFonts w:hint="default" w:ascii="Arial" w:hAnsi="Arial" w:eastAsia="sans-serif" w:cs="Arial"/>
                <w:b/>
                <w:bCs/>
                <w:color w:val="1F1F1F"/>
                <w:sz w:val="18"/>
                <w:szCs w:val="18"/>
              </w:rPr>
            </w:pPr>
            <w:r>
              <w:rPr>
                <w:rFonts w:hint="default" w:ascii="Arial" w:hAnsi="Arial" w:eastAsia="sans-serif" w:cs="Arial"/>
                <w:b/>
                <w:bCs/>
                <w:color w:val="1F1F1F"/>
                <w:kern w:val="0"/>
                <w:sz w:val="18"/>
                <w:szCs w:val="18"/>
                <w:bdr w:val="none" w:color="1F1F1F" w:sz="0" w:space="0"/>
                <w:lang w:val="en-US" w:eastAsia="zh-CN" w:bidi="ar"/>
              </w:rPr>
              <w:t xml:space="preserve">### </w:t>
            </w:r>
            <w:r>
              <w:rPr>
                <w:rFonts w:hint="default" w:ascii="Arial" w:hAnsi="Arial" w:eastAsia="sans-serif" w:cs="Arial"/>
                <w:b/>
                <w:bCs/>
                <w:color w:val="1F1F1F"/>
                <w:kern w:val="0"/>
                <w:sz w:val="18"/>
                <w:szCs w:val="18"/>
                <w:bdr w:val="none" w:color="1F1F1F" w:sz="0" w:space="0"/>
                <w:lang w:val="en-US" w:eastAsia="zh-CN" w:bidi="ar"/>
              </w:rPr>
              <w:t>2. Personal Responsibility of the Learner</w:t>
            </w:r>
          </w:p>
        </w:tc>
        <w:tc>
          <w:tcPr>
            <w:tcW w:w="5499" w:type="dxa"/>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336455C2">
            <w:pPr>
              <w:keepNext w:val="0"/>
              <w:keepLines w:val="0"/>
              <w:widowControl/>
              <w:suppressLineNumbers w:val="0"/>
              <w:bidi w:val="0"/>
              <w:spacing w:before="0" w:beforeAutospacing="0" w:after="0" w:afterAutospacing="0" w:line="15" w:lineRule="atLeast"/>
              <w:ind w:left="0" w:right="0"/>
              <w:jc w:val="left"/>
              <w:rPr>
                <w:rFonts w:hint="default" w:ascii="Arial" w:hAnsi="Arial" w:eastAsia="sans-serif" w:cs="Arial"/>
                <w:b/>
                <w:bCs/>
                <w:color w:val="1F1F1F"/>
                <w:sz w:val="18"/>
                <w:szCs w:val="18"/>
              </w:rPr>
            </w:pPr>
            <w:r>
              <w:rPr>
                <w:rFonts w:hint="default" w:ascii="Arial" w:hAnsi="Arial" w:eastAsia="sans-serif" w:cs="Arial"/>
                <w:b/>
                <w:bCs/>
                <w:color w:val="1F1F1F"/>
                <w:kern w:val="0"/>
                <w:sz w:val="18"/>
                <w:szCs w:val="18"/>
                <w:bdr w:val="none" w:color="1F1F1F" w:sz="0" w:space="0"/>
                <w:lang w:val="en-US" w:eastAsia="zh-CN" w:bidi="ar"/>
              </w:rPr>
              <w:t xml:space="preserve">### </w:t>
            </w:r>
            <w:r>
              <w:rPr>
                <w:rFonts w:hint="default" w:ascii="Arial" w:hAnsi="Arial" w:eastAsia="sans-serif" w:cs="Arial"/>
                <w:b/>
                <w:bCs/>
                <w:color w:val="1F1F1F"/>
                <w:kern w:val="0"/>
                <w:sz w:val="18"/>
                <w:szCs w:val="18"/>
                <w:bdr w:val="none" w:color="1F1F1F" w:sz="0" w:space="0"/>
                <w:lang w:val="en-US" w:eastAsia="zh-CN" w:bidi="ar"/>
              </w:rPr>
              <w:t>2. Responsabilidad personal del alumno</w:t>
            </w:r>
          </w:p>
        </w:tc>
      </w:tr>
      <w:tr w14:paraId="76E95AD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5053" w:type="dxa"/>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76EB728D">
            <w:pPr>
              <w:keepNext w:val="0"/>
              <w:keepLines w:val="0"/>
              <w:widowControl/>
              <w:suppressLineNumbers w:val="0"/>
              <w:bidi w:val="0"/>
              <w:spacing w:before="0" w:beforeAutospacing="0" w:after="0" w:afterAutospacing="0" w:line="15" w:lineRule="atLeast"/>
              <w:ind w:left="0" w:right="0"/>
              <w:jc w:val="left"/>
              <w:rPr>
                <w:rFonts w:hint="default" w:ascii="Arial" w:hAnsi="Arial" w:eastAsia="sans-serif" w:cs="Arial"/>
                <w:b/>
                <w:bCs/>
                <w:color w:val="1F1F1F"/>
                <w:sz w:val="18"/>
                <w:szCs w:val="18"/>
              </w:rPr>
            </w:pPr>
            <w:r>
              <w:rPr>
                <w:rFonts w:hint="default" w:ascii="Arial" w:hAnsi="Arial" w:eastAsia="sans-serif" w:cs="Arial"/>
                <w:b/>
                <w:bCs/>
                <w:color w:val="1F1F1F"/>
                <w:kern w:val="0"/>
                <w:sz w:val="18"/>
                <w:szCs w:val="18"/>
                <w:bdr w:val="none" w:color="1F1F1F" w:sz="0" w:space="0"/>
                <w:lang w:val="en-US" w:eastAsia="zh-CN" w:bidi="ar"/>
              </w:rPr>
              <w:t>The teacher should not limit themselves to merely transmitting information. Their goal is to inspire students to take responsibility for their own learning. This is achieved by:</w:t>
            </w:r>
          </w:p>
        </w:tc>
        <w:tc>
          <w:tcPr>
            <w:tcW w:w="5499" w:type="dxa"/>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66EE8DD8">
            <w:pPr>
              <w:keepNext w:val="0"/>
              <w:keepLines w:val="0"/>
              <w:widowControl/>
              <w:suppressLineNumbers w:val="0"/>
              <w:bidi w:val="0"/>
              <w:spacing w:before="0" w:beforeAutospacing="0" w:after="0" w:afterAutospacing="0" w:line="15" w:lineRule="atLeast"/>
              <w:ind w:left="0" w:right="0"/>
              <w:jc w:val="left"/>
              <w:rPr>
                <w:rFonts w:hint="default" w:ascii="Arial" w:hAnsi="Arial" w:eastAsia="sans-serif" w:cs="Arial"/>
                <w:b/>
                <w:bCs/>
                <w:color w:val="1F1F1F"/>
                <w:sz w:val="18"/>
                <w:szCs w:val="18"/>
              </w:rPr>
            </w:pPr>
            <w:r>
              <w:rPr>
                <w:rFonts w:hint="default" w:ascii="Arial" w:hAnsi="Arial" w:eastAsia="sans-serif" w:cs="Arial"/>
                <w:b/>
                <w:bCs/>
                <w:color w:val="1F1F1F"/>
                <w:kern w:val="0"/>
                <w:sz w:val="18"/>
                <w:szCs w:val="18"/>
                <w:bdr w:val="none" w:color="1F1F1F" w:sz="0" w:space="0"/>
                <w:lang w:val="en-US" w:eastAsia="zh-CN" w:bidi="ar"/>
              </w:rPr>
              <w:t>El maestro no debe limitarse a transmitir información. Su objetivo es inspirar a los alumnos a asumir la responsabilidad de su propio aprendizaje. Esto se logra:</w:t>
            </w:r>
          </w:p>
        </w:tc>
      </w:tr>
      <w:tr w14:paraId="177F2EA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5053" w:type="dxa"/>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0FE3F727">
            <w:pPr>
              <w:pStyle w:val="5"/>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Arial" w:hAnsi="Arial" w:eastAsia="sans-serif" w:cs="Arial"/>
                <w:b/>
                <w:bCs/>
                <w:color w:val="1F1F1F"/>
                <w:sz w:val="18"/>
                <w:szCs w:val="18"/>
              </w:rPr>
            </w:pPr>
            <w:r>
              <w:rPr>
                <w:rFonts w:hint="default" w:ascii="Arial" w:hAnsi="Arial" w:eastAsia="sans-serif" w:cs="Arial"/>
                <w:b/>
                <w:bCs/>
                <w:color w:val="1F1F1F"/>
                <w:sz w:val="18"/>
                <w:szCs w:val="18"/>
                <w:bdr w:val="none" w:color="auto" w:sz="0" w:space="0"/>
              </w:rPr>
              <w:t>* Asking inspired questions instead of giving all the answers.</w:t>
            </w:r>
          </w:p>
          <w:p w14:paraId="748E104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Arial" w:hAnsi="Arial" w:eastAsia="sans-serif" w:cs="Arial"/>
                <w:b/>
                <w:bCs/>
                <w:color w:val="1F1F1F"/>
                <w:sz w:val="18"/>
                <w:szCs w:val="18"/>
              </w:rPr>
            </w:pPr>
          </w:p>
          <w:p w14:paraId="418870BA">
            <w:pPr>
              <w:pStyle w:val="5"/>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Arial" w:hAnsi="Arial" w:eastAsia="sans-serif" w:cs="Arial"/>
                <w:b/>
                <w:bCs/>
                <w:color w:val="1F1F1F"/>
                <w:sz w:val="18"/>
                <w:szCs w:val="18"/>
              </w:rPr>
            </w:pPr>
            <w:r>
              <w:rPr>
                <w:rFonts w:hint="default" w:ascii="Arial" w:hAnsi="Arial" w:eastAsia="sans-serif" w:cs="Arial"/>
                <w:b/>
                <w:bCs/>
                <w:color w:val="1F1F1F"/>
                <w:sz w:val="18"/>
                <w:szCs w:val="18"/>
                <w:bdr w:val="none" w:color="auto" w:sz="0" w:space="0"/>
              </w:rPr>
              <w:t>* Inviting students to act and seek their own spiritual experiences.</w:t>
            </w:r>
          </w:p>
          <w:p w14:paraId="411818F8">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default" w:ascii="Arial" w:hAnsi="Arial" w:cs="Arial"/>
                <w:b/>
                <w:bCs/>
                <w:sz w:val="18"/>
                <w:szCs w:val="18"/>
              </w:rPr>
            </w:pPr>
          </w:p>
          <w:p w14:paraId="736E7FD3">
            <w:pPr>
              <w:pStyle w:val="5"/>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Arial" w:hAnsi="Arial" w:eastAsia="sans-serif" w:cs="Arial"/>
                <w:b/>
                <w:bCs/>
                <w:color w:val="1F1F1F"/>
                <w:sz w:val="18"/>
                <w:szCs w:val="18"/>
              </w:rPr>
            </w:pPr>
            <w:r>
              <w:rPr>
                <w:rFonts w:hint="default" w:ascii="Arial" w:hAnsi="Arial" w:eastAsia="sans-serif" w:cs="Arial"/>
                <w:b/>
                <w:bCs/>
                <w:color w:val="1F1F1F"/>
                <w:sz w:val="18"/>
                <w:szCs w:val="18"/>
                <w:bdr w:val="none" w:color="auto" w:sz="0" w:space="0"/>
              </w:rPr>
              <w:t>* Encouraging them to discover the truth for themselves to strengthen their personal testimony.</w:t>
            </w:r>
          </w:p>
        </w:tc>
        <w:tc>
          <w:tcPr>
            <w:tcW w:w="5499" w:type="dxa"/>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7BE116D6">
            <w:pPr>
              <w:pStyle w:val="5"/>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Arial" w:hAnsi="Arial" w:eastAsia="sans-serif" w:cs="Arial"/>
                <w:b/>
                <w:bCs/>
                <w:color w:val="1F1F1F"/>
                <w:sz w:val="18"/>
                <w:szCs w:val="18"/>
              </w:rPr>
            </w:pPr>
            <w:r>
              <w:rPr>
                <w:rFonts w:hint="default" w:ascii="Arial" w:hAnsi="Arial" w:eastAsia="sans-serif" w:cs="Arial"/>
                <w:b/>
                <w:bCs/>
                <w:color w:val="1F1F1F"/>
                <w:sz w:val="18"/>
                <w:szCs w:val="18"/>
                <w:bdr w:val="none" w:color="auto" w:sz="0" w:space="0"/>
              </w:rPr>
              <w:t>* Haciendo preguntas inspiradas en lugar de dar todas las respuestas.</w:t>
            </w:r>
          </w:p>
          <w:p w14:paraId="0378589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Arial" w:hAnsi="Arial" w:eastAsia="sans-serif" w:cs="Arial"/>
                <w:b/>
                <w:bCs/>
                <w:color w:val="1F1F1F"/>
                <w:sz w:val="18"/>
                <w:szCs w:val="18"/>
              </w:rPr>
            </w:pPr>
          </w:p>
          <w:p w14:paraId="4DA871B2">
            <w:pPr>
              <w:pStyle w:val="5"/>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Arial" w:hAnsi="Arial" w:eastAsia="sans-serif" w:cs="Arial"/>
                <w:b/>
                <w:bCs/>
                <w:color w:val="1F1F1F"/>
                <w:sz w:val="18"/>
                <w:szCs w:val="18"/>
              </w:rPr>
            </w:pPr>
            <w:r>
              <w:rPr>
                <w:rFonts w:hint="default" w:ascii="Arial" w:hAnsi="Arial" w:eastAsia="sans-serif" w:cs="Arial"/>
                <w:b/>
                <w:bCs/>
                <w:color w:val="1F1F1F"/>
                <w:sz w:val="18"/>
                <w:szCs w:val="18"/>
                <w:bdr w:val="none" w:color="auto" w:sz="0" w:space="0"/>
              </w:rPr>
              <w:t>* Invitando a los alumnos a actuar y a buscar sus propias experiencias espirituales.</w:t>
            </w:r>
          </w:p>
          <w:p w14:paraId="182C3D32">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default" w:ascii="Arial" w:hAnsi="Arial" w:cs="Arial"/>
                <w:b/>
                <w:bCs/>
                <w:sz w:val="18"/>
                <w:szCs w:val="18"/>
              </w:rPr>
            </w:pPr>
          </w:p>
          <w:p w14:paraId="7D5B272F">
            <w:pPr>
              <w:pStyle w:val="5"/>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Arial" w:hAnsi="Arial" w:eastAsia="sans-serif" w:cs="Arial"/>
                <w:b/>
                <w:bCs/>
                <w:color w:val="1F1F1F"/>
                <w:sz w:val="18"/>
                <w:szCs w:val="18"/>
              </w:rPr>
            </w:pPr>
            <w:r>
              <w:rPr>
                <w:rFonts w:hint="default" w:ascii="Arial" w:hAnsi="Arial" w:eastAsia="sans-serif" w:cs="Arial"/>
                <w:b/>
                <w:bCs/>
                <w:color w:val="1F1F1F"/>
                <w:sz w:val="18"/>
                <w:szCs w:val="18"/>
                <w:bdr w:val="none" w:color="auto" w:sz="0" w:space="0"/>
              </w:rPr>
              <w:t>* Fomentando que descubran la verdad por sí mismos para fortalecer su testimonio personal.</w:t>
            </w:r>
          </w:p>
        </w:tc>
      </w:tr>
      <w:tr w14:paraId="6B8B4B2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5053" w:type="dxa"/>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43DE59B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Arial" w:hAnsi="Arial" w:eastAsia="sans-serif" w:cs="Arial"/>
                <w:b/>
                <w:bCs/>
                <w:color w:val="1F1F1F"/>
                <w:sz w:val="18"/>
                <w:szCs w:val="18"/>
              </w:rPr>
            </w:pPr>
            <w:r>
              <w:rPr>
                <w:rFonts w:hint="default" w:ascii="Arial" w:hAnsi="Arial" w:eastAsia="sans-serif" w:cs="Arial"/>
                <w:b/>
                <w:bCs/>
                <w:color w:val="1F1F1F"/>
                <w:kern w:val="0"/>
                <w:sz w:val="18"/>
                <w:szCs w:val="18"/>
                <w:bdr w:val="none" w:color="1F1F1F" w:sz="0" w:space="0"/>
                <w:lang w:val="en-US" w:eastAsia="zh-CN" w:bidi="ar"/>
              </w:rPr>
              <w:t xml:space="preserve">### </w:t>
            </w:r>
            <w:r>
              <w:rPr>
                <w:rFonts w:hint="default" w:ascii="Arial" w:hAnsi="Arial" w:eastAsia="sans-serif" w:cs="Arial"/>
                <w:b/>
                <w:bCs/>
                <w:color w:val="1F1F1F"/>
                <w:kern w:val="0"/>
                <w:sz w:val="18"/>
                <w:szCs w:val="18"/>
                <w:bdr w:val="none" w:color="1F1F1F" w:sz="0" w:space="0"/>
                <w:lang w:val="en-US" w:eastAsia="zh-CN" w:bidi="ar"/>
              </w:rPr>
              <w:t>3. Daily Study to Know the Savior</w:t>
            </w:r>
          </w:p>
        </w:tc>
        <w:tc>
          <w:tcPr>
            <w:tcW w:w="5499" w:type="dxa"/>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02B814E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Arial" w:hAnsi="Arial" w:eastAsia="sans-serif" w:cs="Arial"/>
                <w:b/>
                <w:bCs/>
                <w:color w:val="1F1F1F"/>
                <w:sz w:val="18"/>
                <w:szCs w:val="18"/>
              </w:rPr>
            </w:pPr>
            <w:r>
              <w:rPr>
                <w:rFonts w:hint="default" w:ascii="Arial" w:hAnsi="Arial" w:eastAsia="sans-serif" w:cs="Arial"/>
                <w:b/>
                <w:bCs/>
                <w:color w:val="1F1F1F"/>
                <w:kern w:val="0"/>
                <w:sz w:val="18"/>
                <w:szCs w:val="18"/>
                <w:bdr w:val="none" w:color="1F1F1F" w:sz="0" w:space="0"/>
                <w:lang w:val="en-US" w:eastAsia="zh-CN" w:bidi="ar"/>
              </w:rPr>
              <w:t xml:space="preserve">### </w:t>
            </w:r>
            <w:r>
              <w:rPr>
                <w:rFonts w:hint="default" w:ascii="Arial" w:hAnsi="Arial" w:eastAsia="sans-serif" w:cs="Arial"/>
                <w:b/>
                <w:bCs/>
                <w:color w:val="1F1F1F"/>
                <w:kern w:val="0"/>
                <w:sz w:val="18"/>
                <w:szCs w:val="18"/>
                <w:bdr w:val="none" w:color="1F1F1F" w:sz="0" w:space="0"/>
                <w:lang w:val="en-US" w:eastAsia="zh-CN" w:bidi="ar"/>
              </w:rPr>
              <w:t>3. El estudio diario para conocer al Salvador</w:t>
            </w:r>
          </w:p>
        </w:tc>
      </w:tr>
      <w:tr w14:paraId="308A001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5053" w:type="dxa"/>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175BB3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Arial" w:hAnsi="Arial" w:eastAsia="sans-serif" w:cs="Arial"/>
                <w:b/>
                <w:bCs/>
                <w:color w:val="1F1F1F"/>
                <w:sz w:val="18"/>
                <w:szCs w:val="18"/>
              </w:rPr>
            </w:pPr>
            <w:r>
              <w:rPr>
                <w:rFonts w:hint="default" w:ascii="Arial" w:hAnsi="Arial" w:eastAsia="sans-serif" w:cs="Arial"/>
                <w:b/>
                <w:bCs/>
                <w:color w:val="1F1F1F"/>
                <w:kern w:val="0"/>
                <w:sz w:val="18"/>
                <w:szCs w:val="18"/>
                <w:bdr w:val="none" w:color="1F1F1F" w:sz="0" w:space="0"/>
                <w:lang w:val="en-US" w:eastAsia="zh-CN" w:bidi="ar"/>
              </w:rPr>
              <w:t>Scripture study must go beyond fulfilling a task. The fundamental purpose is to hear the Lord's voice and find Him personally. As President Nelson taught, immersing oneself daily in the word of God is essential for spiritual survival.</w:t>
            </w:r>
          </w:p>
        </w:tc>
        <w:tc>
          <w:tcPr>
            <w:tcW w:w="5499" w:type="dxa"/>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3B2A142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Arial" w:hAnsi="Arial" w:eastAsia="sans-serif" w:cs="Arial"/>
                <w:b/>
                <w:bCs/>
                <w:color w:val="1F1F1F"/>
                <w:sz w:val="18"/>
                <w:szCs w:val="18"/>
              </w:rPr>
            </w:pPr>
            <w:r>
              <w:rPr>
                <w:rFonts w:hint="default" w:ascii="Arial" w:hAnsi="Arial" w:eastAsia="sans-serif" w:cs="Arial"/>
                <w:b/>
                <w:bCs/>
                <w:color w:val="1F1F1F"/>
                <w:kern w:val="0"/>
                <w:sz w:val="18"/>
                <w:szCs w:val="18"/>
                <w:bdr w:val="none" w:color="1F1F1F" w:sz="0" w:space="0"/>
                <w:lang w:val="en-US" w:eastAsia="zh-CN" w:bidi="ar"/>
              </w:rPr>
              <w:t>El estudio de las Escrituras debe ir más allá del cumplimiento de una tarea. El propósito fundamental es escuchar la voz del Señor y encontrarlo a Él personalmente. Como enseñó el presidente Nelson, sumergirse diariamente en la palabra de Dios es esencial para la supervivencia espiritual.</w:t>
            </w:r>
          </w:p>
        </w:tc>
      </w:tr>
      <w:tr w14:paraId="4DEEA6B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5053" w:type="dxa"/>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7040322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Arial" w:hAnsi="Arial" w:eastAsia="sans-serif" w:cs="Arial"/>
                <w:b/>
                <w:bCs/>
                <w:color w:val="1F1F1F"/>
                <w:sz w:val="18"/>
                <w:szCs w:val="18"/>
              </w:rPr>
            </w:pPr>
            <w:r>
              <w:rPr>
                <w:rFonts w:hint="default" w:ascii="Arial" w:hAnsi="Arial" w:eastAsia="sans-serif" w:cs="Arial"/>
                <w:b/>
                <w:bCs/>
                <w:color w:val="1F1F1F"/>
                <w:kern w:val="0"/>
                <w:sz w:val="18"/>
                <w:szCs w:val="18"/>
                <w:bdr w:val="none" w:color="1F1F1F" w:sz="0" w:space="0"/>
                <w:lang w:val="en-US" w:eastAsia="zh-CN" w:bidi="ar"/>
              </w:rPr>
              <w:t xml:space="preserve">### </w:t>
            </w:r>
            <w:r>
              <w:rPr>
                <w:rFonts w:hint="default" w:ascii="Arial" w:hAnsi="Arial" w:eastAsia="sans-serif" w:cs="Arial"/>
                <w:b/>
                <w:bCs/>
                <w:color w:val="1F1F1F"/>
                <w:kern w:val="0"/>
                <w:sz w:val="18"/>
                <w:szCs w:val="18"/>
                <w:bdr w:val="none" w:color="1F1F1F" w:sz="0" w:space="0"/>
                <w:lang w:val="en-US" w:eastAsia="zh-CN" w:bidi="ar"/>
              </w:rPr>
              <w:t>4. Preparing the Heart to Learn</w:t>
            </w:r>
          </w:p>
        </w:tc>
        <w:tc>
          <w:tcPr>
            <w:tcW w:w="5499" w:type="dxa"/>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2477F33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Arial" w:hAnsi="Arial" w:eastAsia="sans-serif" w:cs="Arial"/>
                <w:b/>
                <w:bCs/>
                <w:color w:val="1F1F1F"/>
                <w:sz w:val="18"/>
                <w:szCs w:val="18"/>
              </w:rPr>
            </w:pPr>
            <w:r>
              <w:rPr>
                <w:rFonts w:hint="default" w:ascii="Arial" w:hAnsi="Arial" w:eastAsia="sans-serif" w:cs="Arial"/>
                <w:b/>
                <w:bCs/>
                <w:color w:val="1F1F1F"/>
                <w:kern w:val="0"/>
                <w:sz w:val="18"/>
                <w:szCs w:val="18"/>
                <w:bdr w:val="none" w:color="1F1F1F" w:sz="0" w:space="0"/>
                <w:lang w:val="en-US" w:eastAsia="zh-CN" w:bidi="ar"/>
              </w:rPr>
              <w:t xml:space="preserve">### </w:t>
            </w:r>
            <w:r>
              <w:rPr>
                <w:rFonts w:hint="default" w:ascii="Arial" w:hAnsi="Arial" w:eastAsia="sans-serif" w:cs="Arial"/>
                <w:b/>
                <w:bCs/>
                <w:color w:val="1F1F1F"/>
                <w:kern w:val="0"/>
                <w:sz w:val="18"/>
                <w:szCs w:val="18"/>
                <w:bdr w:val="none" w:color="1F1F1F" w:sz="0" w:space="0"/>
                <w:lang w:val="en-US" w:eastAsia="zh-CN" w:bidi="ar"/>
              </w:rPr>
              <w:t>4. Preparar el corazón para aprender</w:t>
            </w:r>
          </w:p>
        </w:tc>
      </w:tr>
      <w:tr w14:paraId="1A0CE77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5053" w:type="dxa"/>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2090D370">
            <w:pPr>
              <w:pStyle w:val="5"/>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Arial" w:hAnsi="Arial" w:eastAsia="sans-serif" w:cs="Arial"/>
                <w:b/>
                <w:bCs/>
                <w:color w:val="1F1F1F"/>
                <w:sz w:val="18"/>
                <w:szCs w:val="18"/>
              </w:rPr>
            </w:pPr>
            <w:r>
              <w:rPr>
                <w:rFonts w:hint="default" w:ascii="Arial" w:hAnsi="Arial" w:eastAsia="sans-serif" w:cs="Arial"/>
                <w:b/>
                <w:bCs/>
                <w:color w:val="1F1F1F"/>
                <w:sz w:val="18"/>
                <w:szCs w:val="18"/>
                <w:bdr w:val="none" w:color="auto" w:sz="0" w:space="0"/>
              </w:rPr>
              <w:t>Doctrine only grows in "good ground" (a prepared heart). This preparation is achieved through:</w:t>
            </w:r>
          </w:p>
          <w:p w14:paraId="5FC0A09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Arial" w:hAnsi="Arial" w:eastAsia="sans-serif" w:cs="Arial"/>
                <w:b/>
                <w:bCs/>
                <w:color w:val="1F1F1F"/>
                <w:sz w:val="18"/>
                <w:szCs w:val="18"/>
              </w:rPr>
            </w:pPr>
          </w:p>
          <w:p w14:paraId="4BFB411C">
            <w:pPr>
              <w:pStyle w:val="5"/>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Arial" w:hAnsi="Arial" w:eastAsia="sans-serif" w:cs="Arial"/>
                <w:b/>
                <w:bCs/>
                <w:color w:val="1F1F1F"/>
                <w:sz w:val="18"/>
                <w:szCs w:val="18"/>
              </w:rPr>
            </w:pPr>
            <w:r>
              <w:rPr>
                <w:rFonts w:hint="default" w:ascii="Arial" w:hAnsi="Arial" w:eastAsia="sans-serif" w:cs="Arial"/>
                <w:b/>
                <w:bCs/>
                <w:color w:val="1F1F1F"/>
                <w:sz w:val="18"/>
                <w:szCs w:val="18"/>
                <w:bdr w:val="none" w:color="auto" w:sz="0" w:space="0"/>
              </w:rPr>
              <w:t>* Daily prayer and repentance.</w:t>
            </w:r>
          </w:p>
          <w:p w14:paraId="4AACCFA7">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default" w:ascii="Arial" w:hAnsi="Arial" w:cs="Arial"/>
                <w:b/>
                <w:bCs/>
                <w:sz w:val="18"/>
                <w:szCs w:val="18"/>
              </w:rPr>
            </w:pPr>
          </w:p>
          <w:p w14:paraId="3BB30AE7">
            <w:pPr>
              <w:pStyle w:val="5"/>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Arial" w:hAnsi="Arial" w:eastAsia="sans-serif" w:cs="Arial"/>
                <w:b/>
                <w:bCs/>
                <w:color w:val="1F1F1F"/>
                <w:sz w:val="18"/>
                <w:szCs w:val="18"/>
              </w:rPr>
            </w:pPr>
            <w:r>
              <w:rPr>
                <w:rFonts w:hint="default" w:ascii="Arial" w:hAnsi="Arial" w:eastAsia="sans-serif" w:cs="Arial"/>
                <w:b/>
                <w:bCs/>
                <w:color w:val="1F1F1F"/>
                <w:sz w:val="18"/>
                <w:szCs w:val="18"/>
                <w:bdr w:val="none" w:color="auto" w:sz="0" w:space="0"/>
              </w:rPr>
              <w:t>* A sincere desire to learn and live according to God's will.</w:t>
            </w:r>
          </w:p>
        </w:tc>
        <w:tc>
          <w:tcPr>
            <w:tcW w:w="5499" w:type="dxa"/>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46E3543E">
            <w:pPr>
              <w:pStyle w:val="5"/>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Arial" w:hAnsi="Arial" w:eastAsia="sans-serif" w:cs="Arial"/>
                <w:b/>
                <w:bCs/>
                <w:color w:val="1F1F1F"/>
                <w:sz w:val="18"/>
                <w:szCs w:val="18"/>
              </w:rPr>
            </w:pPr>
            <w:r>
              <w:rPr>
                <w:rFonts w:hint="default" w:ascii="Arial" w:hAnsi="Arial" w:eastAsia="sans-serif" w:cs="Arial"/>
                <w:b/>
                <w:bCs/>
                <w:color w:val="1F1F1F"/>
                <w:sz w:val="18"/>
                <w:szCs w:val="18"/>
                <w:bdr w:val="none" w:color="auto" w:sz="0" w:space="0"/>
              </w:rPr>
              <w:t>La doctrina solo crece en "buena tierra" (un corazón preparado). Esta preparación se logra mediante:</w:t>
            </w:r>
          </w:p>
          <w:p w14:paraId="4217BEC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Arial" w:hAnsi="Arial" w:eastAsia="sans-serif" w:cs="Arial"/>
                <w:b/>
                <w:bCs/>
                <w:color w:val="1F1F1F"/>
                <w:sz w:val="18"/>
                <w:szCs w:val="18"/>
              </w:rPr>
            </w:pPr>
          </w:p>
          <w:p w14:paraId="79318561">
            <w:pPr>
              <w:pStyle w:val="5"/>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Arial" w:hAnsi="Arial" w:eastAsia="sans-serif" w:cs="Arial"/>
                <w:b/>
                <w:bCs/>
                <w:color w:val="1F1F1F"/>
                <w:sz w:val="18"/>
                <w:szCs w:val="18"/>
              </w:rPr>
            </w:pPr>
            <w:r>
              <w:rPr>
                <w:rFonts w:hint="default" w:ascii="Arial" w:hAnsi="Arial" w:eastAsia="sans-serif" w:cs="Arial"/>
                <w:b/>
                <w:bCs/>
                <w:color w:val="1F1F1F"/>
                <w:sz w:val="18"/>
                <w:szCs w:val="18"/>
                <w:bdr w:val="none" w:color="auto" w:sz="0" w:space="0"/>
              </w:rPr>
              <w:t>* La oración y el arrepentimiento diario.</w:t>
            </w:r>
          </w:p>
          <w:p w14:paraId="7CB1B534">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default" w:ascii="Arial" w:hAnsi="Arial" w:cs="Arial"/>
                <w:b/>
                <w:bCs/>
                <w:sz w:val="18"/>
                <w:szCs w:val="18"/>
              </w:rPr>
            </w:pPr>
          </w:p>
          <w:p w14:paraId="09C4E26B">
            <w:pPr>
              <w:pStyle w:val="5"/>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Arial" w:hAnsi="Arial" w:eastAsia="sans-serif" w:cs="Arial"/>
                <w:b/>
                <w:bCs/>
                <w:color w:val="1F1F1F"/>
                <w:sz w:val="18"/>
                <w:szCs w:val="18"/>
              </w:rPr>
            </w:pPr>
            <w:r>
              <w:rPr>
                <w:rFonts w:hint="default" w:ascii="Arial" w:hAnsi="Arial" w:eastAsia="sans-serif" w:cs="Arial"/>
                <w:b/>
                <w:bCs/>
                <w:color w:val="1F1F1F"/>
                <w:sz w:val="18"/>
                <w:szCs w:val="18"/>
                <w:bdr w:val="none" w:color="auto" w:sz="0" w:space="0"/>
              </w:rPr>
              <w:t>* El deseo sincero de aprender y vivir de acuerdo con la voluntad de Dios.</w:t>
            </w:r>
          </w:p>
        </w:tc>
      </w:tr>
      <w:tr w14:paraId="0537167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5053" w:type="dxa"/>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0CDC3A5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Arial" w:hAnsi="Arial" w:eastAsia="sans-serif" w:cs="Arial"/>
                <w:b/>
                <w:bCs/>
                <w:color w:val="1F1F1F"/>
                <w:sz w:val="18"/>
                <w:szCs w:val="18"/>
              </w:rPr>
            </w:pPr>
            <w:r>
              <w:rPr>
                <w:rFonts w:hint="default" w:ascii="Arial" w:hAnsi="Arial" w:eastAsia="sans-serif" w:cs="Arial"/>
                <w:b/>
                <w:bCs/>
                <w:color w:val="1F1F1F"/>
                <w:kern w:val="0"/>
                <w:sz w:val="18"/>
                <w:szCs w:val="18"/>
                <w:bdr w:val="none" w:color="1F1F1F" w:sz="0" w:space="0"/>
                <w:lang w:val="en-US" w:eastAsia="zh-CN" w:bidi="ar"/>
              </w:rPr>
              <w:t xml:space="preserve">### </w:t>
            </w:r>
            <w:r>
              <w:rPr>
                <w:rFonts w:hint="default" w:ascii="Arial" w:hAnsi="Arial" w:eastAsia="sans-serif" w:cs="Arial"/>
                <w:b/>
                <w:bCs/>
                <w:color w:val="1F1F1F"/>
                <w:kern w:val="0"/>
                <w:sz w:val="18"/>
                <w:szCs w:val="18"/>
                <w:bdr w:val="none" w:color="1F1F1F" w:sz="0" w:space="0"/>
                <w:lang w:val="en-US" w:eastAsia="zh-CN" w:bidi="ar"/>
              </w:rPr>
              <w:t>5. The Power of Sharing Truths</w:t>
            </w:r>
          </w:p>
        </w:tc>
        <w:tc>
          <w:tcPr>
            <w:tcW w:w="5499" w:type="dxa"/>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4A5566B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Arial" w:hAnsi="Arial" w:eastAsia="sans-serif" w:cs="Arial"/>
                <w:b/>
                <w:bCs/>
                <w:color w:val="1F1F1F"/>
                <w:sz w:val="18"/>
                <w:szCs w:val="18"/>
              </w:rPr>
            </w:pPr>
            <w:r>
              <w:rPr>
                <w:rFonts w:hint="default" w:ascii="Arial" w:hAnsi="Arial" w:eastAsia="sans-serif" w:cs="Arial"/>
                <w:b/>
                <w:bCs/>
                <w:color w:val="1F1F1F"/>
                <w:kern w:val="0"/>
                <w:sz w:val="18"/>
                <w:szCs w:val="18"/>
                <w:bdr w:val="none" w:color="1F1F1F" w:sz="0" w:space="0"/>
                <w:lang w:val="en-US" w:eastAsia="zh-CN" w:bidi="ar"/>
              </w:rPr>
              <w:t xml:space="preserve">### </w:t>
            </w:r>
            <w:r>
              <w:rPr>
                <w:rFonts w:hint="default" w:ascii="Arial" w:hAnsi="Arial" w:eastAsia="sans-serif" w:cs="Arial"/>
                <w:b/>
                <w:bCs/>
                <w:color w:val="1F1F1F"/>
                <w:kern w:val="0"/>
                <w:sz w:val="18"/>
                <w:szCs w:val="18"/>
                <w:bdr w:val="none" w:color="1F1F1F" w:sz="0" w:space="0"/>
                <w:lang w:val="en-US" w:eastAsia="zh-CN" w:bidi="ar"/>
              </w:rPr>
              <w:t>5. El poder de compartir las verdades</w:t>
            </w:r>
          </w:p>
        </w:tc>
      </w:tr>
      <w:tr w14:paraId="50AD485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5053" w:type="dxa"/>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61E8F4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Arial" w:hAnsi="Arial" w:eastAsia="sans-serif" w:cs="Arial"/>
                <w:b/>
                <w:bCs/>
                <w:color w:val="1F1F1F"/>
                <w:sz w:val="18"/>
                <w:szCs w:val="18"/>
              </w:rPr>
            </w:pPr>
            <w:r>
              <w:rPr>
                <w:rFonts w:hint="default" w:ascii="Arial" w:hAnsi="Arial" w:eastAsia="sans-serif" w:cs="Arial"/>
                <w:b/>
                <w:bCs/>
                <w:color w:val="1F1F1F"/>
                <w:kern w:val="0"/>
                <w:sz w:val="18"/>
                <w:szCs w:val="18"/>
                <w:bdr w:val="none" w:color="1F1F1F" w:sz="0" w:space="0"/>
                <w:lang w:val="en-US" w:eastAsia="zh-CN" w:bidi="ar"/>
              </w:rPr>
              <w:t>Sharing what is learned helps students integrate knowledge and gain confidence. Just like Enoch, students strengthen their own testimony and can help change the hearts of others when they express their beliefs.</w:t>
            </w:r>
          </w:p>
        </w:tc>
        <w:tc>
          <w:tcPr>
            <w:tcW w:w="5499" w:type="dxa"/>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74F64A5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Arial" w:hAnsi="Arial" w:eastAsia="sans-serif" w:cs="Arial"/>
                <w:b/>
                <w:bCs/>
                <w:color w:val="1F1F1F"/>
                <w:sz w:val="18"/>
                <w:szCs w:val="18"/>
              </w:rPr>
            </w:pPr>
            <w:r>
              <w:rPr>
                <w:rFonts w:hint="default" w:ascii="Arial" w:hAnsi="Arial" w:eastAsia="sans-serif" w:cs="Arial"/>
                <w:b/>
                <w:bCs/>
                <w:color w:val="1F1F1F"/>
                <w:kern w:val="0"/>
                <w:sz w:val="18"/>
                <w:szCs w:val="18"/>
                <w:bdr w:val="none" w:color="1F1F1F" w:sz="0" w:space="0"/>
                <w:lang w:val="en-US" w:eastAsia="zh-CN" w:bidi="ar"/>
              </w:rPr>
              <w:t>Compartir lo que se aprende ayuda a los alumnos a integrar el conocimiento y a ganar confianza. Al igual que Enoc, los alumnos fortalecen su propio testimonio y pueden ayudar a cambiar el corazón de los demás cuando expresan sus creencias.</w:t>
            </w:r>
          </w:p>
        </w:tc>
      </w:tr>
      <w:tr w14:paraId="6A61AD7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5053" w:type="dxa"/>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4C51D46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Arial" w:hAnsi="Arial" w:eastAsia="sans-serif" w:cs="Arial"/>
                <w:b/>
                <w:bCs/>
                <w:color w:val="1F1F1F"/>
                <w:sz w:val="18"/>
                <w:szCs w:val="18"/>
              </w:rPr>
            </w:pPr>
            <w:r>
              <w:rPr>
                <w:rFonts w:hint="default" w:ascii="Arial" w:hAnsi="Arial" w:eastAsia="sans-serif" w:cs="Arial"/>
                <w:b/>
                <w:bCs/>
                <w:color w:val="1F1F1F"/>
                <w:kern w:val="0"/>
                <w:sz w:val="18"/>
                <w:szCs w:val="18"/>
                <w:bdr w:val="none" w:color="1F1F1F" w:sz="0" w:space="0"/>
                <w:lang w:val="en-US" w:eastAsia="zh-CN" w:bidi="ar"/>
              </w:rPr>
              <w:t xml:space="preserve">### </w:t>
            </w:r>
            <w:r>
              <w:rPr>
                <w:rFonts w:hint="default" w:ascii="Arial" w:hAnsi="Arial" w:eastAsia="sans-serif" w:cs="Arial"/>
                <w:b/>
                <w:bCs/>
                <w:color w:val="1F1F1F"/>
                <w:kern w:val="0"/>
                <w:sz w:val="18"/>
                <w:szCs w:val="18"/>
                <w:bdr w:val="none" w:color="1F1F1F" w:sz="0" w:space="0"/>
                <w:lang w:val="en-US" w:eastAsia="zh-CN" w:bidi="ar"/>
              </w:rPr>
              <w:t>6. Living What is Learned</w:t>
            </w:r>
          </w:p>
        </w:tc>
        <w:tc>
          <w:tcPr>
            <w:tcW w:w="5499" w:type="dxa"/>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3C4BFA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Arial" w:hAnsi="Arial" w:eastAsia="sans-serif" w:cs="Arial"/>
                <w:b/>
                <w:bCs/>
                <w:color w:val="1F1F1F"/>
                <w:sz w:val="18"/>
                <w:szCs w:val="18"/>
              </w:rPr>
            </w:pPr>
            <w:r>
              <w:rPr>
                <w:rFonts w:hint="default" w:ascii="Arial" w:hAnsi="Arial" w:eastAsia="sans-serif" w:cs="Arial"/>
                <w:b/>
                <w:bCs/>
                <w:color w:val="1F1F1F"/>
                <w:kern w:val="0"/>
                <w:sz w:val="18"/>
                <w:szCs w:val="18"/>
                <w:bdr w:val="none" w:color="1F1F1F" w:sz="0" w:space="0"/>
                <w:lang w:val="en-US" w:eastAsia="zh-CN" w:bidi="ar"/>
              </w:rPr>
              <w:t xml:space="preserve">### </w:t>
            </w:r>
            <w:r>
              <w:rPr>
                <w:rFonts w:hint="default" w:ascii="Arial" w:hAnsi="Arial" w:eastAsia="sans-serif" w:cs="Arial"/>
                <w:b/>
                <w:bCs/>
                <w:color w:val="1F1F1F"/>
                <w:kern w:val="0"/>
                <w:sz w:val="18"/>
                <w:szCs w:val="18"/>
                <w:bdr w:val="none" w:color="1F1F1F" w:sz="0" w:space="0"/>
                <w:lang w:val="en-US" w:eastAsia="zh-CN" w:bidi="ar"/>
              </w:rPr>
              <w:t>6. Vivir lo aprendido</w:t>
            </w:r>
          </w:p>
        </w:tc>
      </w:tr>
      <w:tr w14:paraId="13DAB3A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5053" w:type="dxa"/>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621F07D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Arial" w:hAnsi="Arial" w:eastAsia="sans-serif" w:cs="Arial"/>
                <w:b/>
                <w:bCs/>
                <w:color w:val="1F1F1F"/>
                <w:sz w:val="18"/>
                <w:szCs w:val="18"/>
              </w:rPr>
            </w:pPr>
            <w:r>
              <w:rPr>
                <w:rFonts w:hint="default" w:ascii="Arial" w:hAnsi="Arial" w:eastAsia="sans-serif" w:cs="Arial"/>
                <w:b/>
                <w:bCs/>
                <w:color w:val="1F1F1F"/>
                <w:kern w:val="0"/>
                <w:sz w:val="18"/>
                <w:szCs w:val="18"/>
                <w:bdr w:val="none" w:color="1F1F1F" w:sz="0" w:space="0"/>
                <w:lang w:val="en-US" w:eastAsia="zh-CN" w:bidi="ar"/>
              </w:rPr>
              <w:t>Learning is incomplete if it does not lead to action. To withstand the trials of life, students must apply the doctrine in their daily lives. Living the truth is the fastest path toward conversion.</w:t>
            </w:r>
          </w:p>
        </w:tc>
        <w:tc>
          <w:tcPr>
            <w:tcW w:w="5499" w:type="dxa"/>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45FE60F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Arial" w:hAnsi="Arial" w:eastAsia="sans-serif" w:cs="Arial"/>
                <w:b/>
                <w:bCs/>
                <w:color w:val="1F1F1F"/>
                <w:sz w:val="18"/>
                <w:szCs w:val="18"/>
              </w:rPr>
            </w:pPr>
            <w:r>
              <w:rPr>
                <w:rFonts w:hint="default" w:ascii="Arial" w:hAnsi="Arial" w:eastAsia="sans-serif" w:cs="Arial"/>
                <w:b/>
                <w:bCs/>
                <w:color w:val="1F1F1F"/>
                <w:kern w:val="0"/>
                <w:sz w:val="18"/>
                <w:szCs w:val="18"/>
                <w:bdr w:val="none" w:color="1F1F1F" w:sz="0" w:space="0"/>
                <w:lang w:val="en-US" w:eastAsia="zh-CN" w:bidi="ar"/>
              </w:rPr>
              <w:t>El aprendizaje está incompleto si no lleva a la acción. Para resistir las pruebas de la vida, los alumnos deben aplicar la doctrina en su día a día. Vivir la verdad es el camino más rápido hacia la conversión.</w:t>
            </w:r>
          </w:p>
        </w:tc>
      </w:tr>
    </w:tbl>
    <w:p w14:paraId="57DFA87E">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Arial" w:hAnsi="Arial" w:eastAsia="SimSun" w:cs="Arial"/>
          <w:sz w:val="20"/>
          <w:szCs w:val="20"/>
          <w:lang w:val="es-E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E24386"/>
    <w:rsid w:val="0DCF6FB4"/>
    <w:rsid w:val="55D219FA"/>
    <w:rsid w:val="55E24386"/>
    <w:rsid w:val="6B9155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Strong"/>
    <w:basedOn w:val="2"/>
    <w:qFormat/>
    <w:uiPriority w:val="0"/>
    <w:rPr>
      <w:b/>
      <w:bCs/>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149</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2026-01-07T22:03:00Z</dcterms:created>
  <dc:creator>leriennys pereira hidrogo (Nen</dc:creator>
  <cp:lastModifiedBy>leriennys pereira hidrogo (Nen</cp:lastModifiedBy>
  <cp:lastPrinted>2026-01-07T23:04:36Z</cp:lastPrinted>
  <dcterms:modified xsi:type="dcterms:W3CDTF">2026-01-08T00:34:02Z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3082-12.2.0.23196</vt:lpwstr>
  </property>
  <property fmtid="{D5CDD505-2E9C-101B-9397-08002B2CF9AE}" pid="3" name="ICV">
    <vt:lpwstr>DDC66C728E0040CEBA6128C086FCC90F_11</vt:lpwstr>
  </property>
</Properties>
</file>