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FASE 8 – POSTMORTEM (13 de octubre de 2025)</w:t>
      </w:r>
    </w:p>
    <w:p>
      <w:r>
        <w:rPr>
          <w:b/>
        </w:rPr>
        <w:t xml:space="preserve">Proyecto: </w:t>
      </w:r>
      <w:r>
        <w:t>DashKPI – Plataforma de Gestión y Monitoreo de KPIs</w:t>
        <w:br/>
      </w:r>
      <w:r>
        <w:rPr>
          <w:b/>
        </w:rPr>
        <w:t xml:space="preserve">Duración de la fase: </w:t>
      </w:r>
      <w:r>
        <w:t>2 semanas (30 de septiembre – 13 de octubre de 2025)</w:t>
        <w:br/>
      </w:r>
      <w:r>
        <w:rPr>
          <w:b/>
        </w:rPr>
        <w:t xml:space="preserve">Equipo: </w:t>
      </w:r>
      <w:r>
        <w:t>Grupo print(NULL) – Octavo semestre de Ingeniería de Sistemas</w:t>
        <w:br/>
      </w:r>
      <w:r>
        <w:rPr>
          <w:b/>
        </w:rPr>
        <w:t xml:space="preserve">Institución: </w:t>
      </w:r>
      <w:r>
        <w:t>Universidad Piloto de Colombia</w:t>
        <w:br/>
      </w:r>
    </w:p>
    <w:p>
      <w:pPr>
        <w:pStyle w:val="Heading2"/>
      </w:pPr>
      <w:r>
        <w:t>1. Descripción de la Fase</w:t>
      </w:r>
    </w:p>
    <w:p>
      <w:r>
        <w:t>La fase de Postmortem tuvo como propósito analizar los resultados finales del ciclo 1 de DashKPI, evaluar el cumplimiento de los objetivos definidos en el Acta de Constitución, y consolidar las lecciones aprendidas a nivel técnico, organizacional y de gestión.</w:t>
        <w:br/>
        <w:br/>
        <w:t>Durante este periodo se realizaron actividades de revisión, consolidación de métricas, análisis DOFA y elaboración de documentos finales como el Informe Postmortem, Plan de Seguimiento de Riesgos Final y la presentación ejecutiva de cierre. La fase sirvió como cierre formal del proyecto, asegurando que todas las fases previas (Iniciación, Estrategia, Análisis, Planeación, Diseño, Implementación, Verificación) quedaran debidamente documentadas y evaluadas.</w:t>
      </w:r>
    </w:p>
    <w:p>
      <w:pPr>
        <w:pStyle w:val="Heading2"/>
      </w:pPr>
      <w:r>
        <w:t>2. Actividades Principales (con fechas y seguimiento)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Fecha(s)</w:t>
            </w:r>
          </w:p>
        </w:tc>
        <w:tc>
          <w:tcPr>
            <w:tcW w:type="dxa" w:w="2880"/>
          </w:tcPr>
          <w:p>
            <w:r>
              <w:t>Resultado / Entregable</w:t>
            </w:r>
          </w:p>
        </w:tc>
      </w:tr>
      <w:tr>
        <w:tc>
          <w:tcPr>
            <w:tcW w:type="dxa" w:w="2880"/>
          </w:tcPr>
          <w:p>
            <w:r>
              <w:t>Consolidación de métricas globales</w:t>
            </w:r>
          </w:p>
        </w:tc>
        <w:tc>
          <w:tcPr>
            <w:tcW w:type="dxa" w:w="2880"/>
          </w:tcPr>
          <w:p>
            <w:r>
              <w:t>30/09/2025 – 05/10/2025</w:t>
            </w:r>
          </w:p>
        </w:tc>
        <w:tc>
          <w:tcPr>
            <w:tcW w:type="dxa" w:w="2880"/>
          </w:tcPr>
          <w:p>
            <w:r>
              <w:t>Tabla comparativa de PLD, MTTR, requerimientos y versiones.</w:t>
            </w:r>
          </w:p>
        </w:tc>
      </w:tr>
      <w:tr>
        <w:tc>
          <w:tcPr>
            <w:tcW w:type="dxa" w:w="2880"/>
          </w:tcPr>
          <w:p>
            <w:r>
              <w:t>Evaluación por rol (informe sustentado)</w:t>
            </w:r>
          </w:p>
        </w:tc>
        <w:tc>
          <w:tcPr>
            <w:tcW w:type="dxa" w:w="2880"/>
          </w:tcPr>
          <w:p>
            <w:r>
              <w:t>06/10/2025 – 08/10/2025</w:t>
            </w:r>
          </w:p>
        </w:tc>
        <w:tc>
          <w:tcPr>
            <w:tcW w:type="dxa" w:w="2880"/>
          </w:tcPr>
          <w:p>
            <w:r>
              <w:t>Informe de roles con métricas individuales.</w:t>
            </w:r>
          </w:p>
        </w:tc>
      </w:tr>
      <w:tr>
        <w:tc>
          <w:tcPr>
            <w:tcW w:type="dxa" w:w="2880"/>
          </w:tcPr>
          <w:p>
            <w:r>
              <w:t>Actualización documental (v2.0)</w:t>
            </w:r>
          </w:p>
        </w:tc>
        <w:tc>
          <w:tcPr>
            <w:tcW w:type="dxa" w:w="2880"/>
          </w:tcPr>
          <w:p>
            <w:r>
              <w:t>06/10/2025 – 10/10/2025</w:t>
            </w:r>
          </w:p>
        </w:tc>
        <w:tc>
          <w:tcPr>
            <w:tcW w:type="dxa" w:w="2880"/>
          </w:tcPr>
          <w:p>
            <w:r>
              <w:t>Casos de uso, Plan de Calidad, Administración de Requerimientos, EDT y Plan de Pruebas actualizados.</w:t>
            </w:r>
          </w:p>
        </w:tc>
      </w:tr>
      <w:tr>
        <w:tc>
          <w:tcPr>
            <w:tcW w:type="dxa" w:w="2880"/>
          </w:tcPr>
          <w:p>
            <w:r>
              <w:t>Análisis DOFA del ciclo 1</w:t>
            </w:r>
          </w:p>
        </w:tc>
        <w:tc>
          <w:tcPr>
            <w:tcW w:type="dxa" w:w="2880"/>
          </w:tcPr>
          <w:p>
            <w:r>
              <w:t>11/10/2025 – 12/10/2025</w:t>
            </w:r>
          </w:p>
        </w:tc>
        <w:tc>
          <w:tcPr>
            <w:tcW w:type="dxa" w:w="2880"/>
          </w:tcPr>
          <w:p>
            <w:r>
              <w:t>Matriz DOFA institucional.</w:t>
            </w:r>
          </w:p>
        </w:tc>
      </w:tr>
      <w:tr>
        <w:tc>
          <w:tcPr>
            <w:tcW w:type="dxa" w:w="2880"/>
          </w:tcPr>
          <w:p>
            <w:r>
              <w:t>Presentación ejecutiva de cierre</w:t>
            </w:r>
          </w:p>
        </w:tc>
        <w:tc>
          <w:tcPr>
            <w:tcW w:type="dxa" w:w="2880"/>
          </w:tcPr>
          <w:p>
            <w:r>
              <w:t>13/10/2025</w:t>
            </w:r>
          </w:p>
        </w:tc>
        <w:tc>
          <w:tcPr>
            <w:tcW w:type="dxa" w:w="2880"/>
          </w:tcPr>
          <w:p>
            <w:r>
              <w:t>Diapositivas de postmortem listas para exposición.</w:t>
            </w:r>
          </w:p>
        </w:tc>
      </w:tr>
    </w:tbl>
    <w:p>
      <w:pPr>
        <w:pStyle w:val="Heading2"/>
      </w:pPr>
      <w:r>
        <w:t>3. Resultados Globales</w:t>
      </w:r>
    </w:p>
    <w:p>
      <w:r>
        <w:t>- Cumplimiento total de requerimientos: 107.5 %</w:t>
        <w:br/>
        <w:t>- Porcentaje libre de defectos (PLD): 95.4 %</w:t>
        <w:br/>
        <w:t>- Tiempo promedio de corrección (MTTR): 0.7 días</w:t>
        <w:br/>
        <w:t>- Documentos con revisión 2.0: 5</w:t>
        <w:br/>
        <w:t>- Casos de uso implementados: 24 (de 18 planificados)</w:t>
        <w:br/>
        <w:t>- Base de datos final: Migrada de Firebase → Azure SQL DB</w:t>
        <w:br/>
        <w:t>- Nivel de satisfacción del equipo: 96 % (promedio de autoevaluaciones y métricas de cumplimiento)</w:t>
      </w:r>
    </w:p>
    <w:p>
      <w:pPr>
        <w:pStyle w:val="Heading2"/>
      </w:pPr>
      <w:r>
        <w:t>4. Control y Seguimiento de Riesgos (Octubre 2025)</w:t>
      </w:r>
    </w:p>
    <w:p>
      <w:r>
        <w:t>Resumen de seguimiento según el documento de Control de Seguimiento de Riesgos de DashKPI (octubre 2025).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Riesgo</w:t>
            </w:r>
          </w:p>
        </w:tc>
        <w:tc>
          <w:tcPr>
            <w:tcW w:type="dxa" w:w="1440"/>
          </w:tcPr>
          <w:p>
            <w:r>
              <w:t>Descripción del Riesgo</w:t>
            </w:r>
          </w:p>
        </w:tc>
        <w:tc>
          <w:tcPr>
            <w:tcW w:type="dxa" w:w="1440"/>
          </w:tcPr>
          <w:p>
            <w:r>
              <w:t>Responsable de Seguimiento</w:t>
            </w:r>
          </w:p>
        </w:tc>
        <w:tc>
          <w:tcPr>
            <w:tcW w:type="dxa" w:w="1440"/>
          </w:tcPr>
          <w:p>
            <w:r>
              <w:t>Acción Correctiva / Preventiva</w:t>
            </w:r>
          </w:p>
        </w:tc>
        <w:tc>
          <w:tcPr>
            <w:tcW w:type="dxa" w:w="1440"/>
          </w:tcPr>
          <w:p>
            <w:r>
              <w:t>Fecha de Seguimiento</w:t>
            </w:r>
          </w:p>
        </w:tc>
        <w:tc>
          <w:tcPr>
            <w:tcW w:type="dxa" w:w="1440"/>
          </w:tcPr>
          <w:p>
            <w:r>
              <w:t>Estado Actual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t>Retraso en la planificación de sprints o iteraciones.</w:t>
            </w:r>
          </w:p>
        </w:tc>
        <w:tc>
          <w:tcPr>
            <w:tcW w:type="dxa" w:w="1440"/>
          </w:tcPr>
          <w:p>
            <w:r>
              <w:t>Líder de Planeación</w:t>
            </w:r>
          </w:p>
        </w:tc>
        <w:tc>
          <w:tcPr>
            <w:tcW w:type="dxa" w:w="1440"/>
          </w:tcPr>
          <w:p>
            <w:r>
              <w:t>Revisar avances semanales y ajustar cronograma.</w:t>
            </w:r>
          </w:p>
        </w:tc>
        <w:tc>
          <w:tcPr>
            <w:tcW w:type="dxa" w:w="1440"/>
          </w:tcPr>
          <w:p>
            <w:r>
              <w:t>06/10/2025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t>Falla en la integración de componentes del sistema.</w:t>
            </w:r>
          </w:p>
        </w:tc>
        <w:tc>
          <w:tcPr>
            <w:tcW w:type="dxa" w:w="1440"/>
          </w:tcPr>
          <w:p>
            <w:r>
              <w:t>Líder de Desarrollo</w:t>
            </w:r>
          </w:p>
        </w:tc>
        <w:tc>
          <w:tcPr>
            <w:tcW w:type="dxa" w:w="1440"/>
          </w:tcPr>
          <w:p>
            <w:r>
              <w:t>Revisar dependencias y realizar pruebas unitarias.</w:t>
            </w:r>
          </w:p>
        </w:tc>
        <w:tc>
          <w:tcPr>
            <w:tcW w:type="dxa" w:w="1440"/>
          </w:tcPr>
          <w:p>
            <w:r>
              <w:t>08/10/2025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R-03</w:t>
            </w:r>
          </w:p>
        </w:tc>
        <w:tc>
          <w:tcPr>
            <w:tcW w:type="dxa" w:w="1440"/>
          </w:tcPr>
          <w:p>
            <w:r>
              <w:t>Defectos en los cálculos de KPIs.</w:t>
            </w:r>
          </w:p>
        </w:tc>
        <w:tc>
          <w:tcPr>
            <w:tcW w:type="dxa" w:w="1440"/>
          </w:tcPr>
          <w:p>
            <w:r>
              <w:t>Líder de Calidad</w:t>
            </w:r>
          </w:p>
        </w:tc>
        <w:tc>
          <w:tcPr>
            <w:tcW w:type="dxa" w:w="1440"/>
          </w:tcPr>
          <w:p>
            <w:r>
              <w:t>Implementar pruebas automatizadas y revisión por pares.</w:t>
            </w:r>
          </w:p>
        </w:tc>
        <w:tc>
          <w:tcPr>
            <w:tcW w:type="dxa" w:w="1440"/>
          </w:tcPr>
          <w:p>
            <w:r>
              <w:t>10/10/2025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R-04</w:t>
            </w:r>
          </w:p>
        </w:tc>
        <w:tc>
          <w:tcPr>
            <w:tcW w:type="dxa" w:w="1440"/>
          </w:tcPr>
          <w:p>
            <w:r>
              <w:t>Errores en decisiones arquitectónicas o de diseño.</w:t>
            </w:r>
          </w:p>
        </w:tc>
        <w:tc>
          <w:tcPr>
            <w:tcW w:type="dxa" w:w="1440"/>
          </w:tcPr>
          <w:p>
            <w:r>
              <w:t>Líder de Arquitectura</w:t>
            </w:r>
          </w:p>
        </w:tc>
        <w:tc>
          <w:tcPr>
            <w:tcW w:type="dxa" w:w="1440"/>
          </w:tcPr>
          <w:p>
            <w:r>
              <w:t>Realizar revisión técnica con el líder de arquitectura.</w:t>
            </w:r>
          </w:p>
        </w:tc>
        <w:tc>
          <w:tcPr>
            <w:tcW w:type="dxa" w:w="1440"/>
          </w:tcPr>
          <w:p>
            <w:r>
              <w:t>12/10/2025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R-05</w:t>
            </w:r>
          </w:p>
        </w:tc>
        <w:tc>
          <w:tcPr>
            <w:tcW w:type="dxa" w:w="1440"/>
          </w:tcPr>
          <w:p>
            <w:r>
              <w:t>Documentación incompleta o desactualizada.</w:t>
            </w:r>
          </w:p>
        </w:tc>
        <w:tc>
          <w:tcPr>
            <w:tcW w:type="dxa" w:w="1440"/>
          </w:tcPr>
          <w:p>
            <w:r>
              <w:t>Líder de Soporte</w:t>
            </w:r>
          </w:p>
        </w:tc>
        <w:tc>
          <w:tcPr>
            <w:tcW w:type="dxa" w:w="1440"/>
          </w:tcPr>
          <w:p>
            <w:r>
              <w:t>Actualizar documentación después de cada entrega.</w:t>
            </w:r>
          </w:p>
        </w:tc>
        <w:tc>
          <w:tcPr>
            <w:tcW w:type="dxa" w:w="1440"/>
          </w:tcPr>
          <w:p>
            <w:r>
              <w:t>14/10/2025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R-06</w:t>
            </w:r>
          </w:p>
        </w:tc>
        <w:tc>
          <w:tcPr>
            <w:tcW w:type="dxa" w:w="1440"/>
          </w:tcPr>
          <w:p>
            <w:r>
              <w:t>Descoordinación en los entregables semanales.</w:t>
            </w:r>
          </w:p>
        </w:tc>
        <w:tc>
          <w:tcPr>
            <w:tcW w:type="dxa" w:w="1440"/>
          </w:tcPr>
          <w:p>
            <w:r>
              <w:t>Líder de Proyecto</w:t>
            </w:r>
          </w:p>
        </w:tc>
        <w:tc>
          <w:tcPr>
            <w:tcW w:type="dxa" w:w="1440"/>
          </w:tcPr>
          <w:p>
            <w:r>
              <w:t>Coordinar reuniones de seguimiento con todos los líderes.</w:t>
            </w:r>
          </w:p>
        </w:tc>
        <w:tc>
          <w:tcPr>
            <w:tcW w:type="dxa" w:w="1440"/>
          </w:tcPr>
          <w:p>
            <w:r>
              <w:t>16/10/2025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  <w:tr>
        <w:tc>
          <w:tcPr>
            <w:tcW w:type="dxa" w:w="1440"/>
          </w:tcPr>
          <w:p>
            <w:r>
              <w:t>R-07</w:t>
            </w:r>
          </w:p>
        </w:tc>
        <w:tc>
          <w:tcPr>
            <w:tcW w:type="dxa" w:w="1440"/>
          </w:tcPr>
          <w:p>
            <w:r>
              <w:t>Problemas de acceso o permisos del sistema.</w:t>
            </w:r>
          </w:p>
        </w:tc>
        <w:tc>
          <w:tcPr>
            <w:tcW w:type="dxa" w:w="1440"/>
          </w:tcPr>
          <w:p>
            <w:r>
              <w:t>Administrador</w:t>
            </w:r>
          </w:p>
        </w:tc>
        <w:tc>
          <w:tcPr>
            <w:tcW w:type="dxa" w:w="1440"/>
          </w:tcPr>
          <w:p>
            <w:r>
              <w:t>Validar roles y permisos antes del despliegue.</w:t>
            </w:r>
          </w:p>
        </w:tc>
        <w:tc>
          <w:tcPr>
            <w:tcW w:type="dxa" w:w="1440"/>
          </w:tcPr>
          <w:p>
            <w:r>
              <w:t>18/10/2025</w:t>
            </w:r>
          </w:p>
        </w:tc>
        <w:tc>
          <w:tcPr>
            <w:tcW w:type="dxa" w:w="1440"/>
          </w:tcPr>
          <w:p>
            <w:r>
              <w:t>En seguimiento</w:t>
            </w:r>
          </w:p>
        </w:tc>
      </w:tr>
    </w:tbl>
    <w:p>
      <w:pPr>
        <w:pStyle w:val="Heading2"/>
      </w:pPr>
      <w:r>
        <w:t>5. DOFA del Ciclo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Fortalezas</w:t>
            </w:r>
          </w:p>
        </w:tc>
        <w:tc>
          <w:tcPr>
            <w:tcW w:type="dxa" w:w="4320"/>
          </w:tcPr>
          <w:p>
            <w:r>
              <w:t>Cumplimiento del 96% del cronograma y 100% de los entregables; ampliación funcional (+6 casos de uso); PLD &gt; 95%; MTTR 0.7 días; comunicación constante entre roles.</w:t>
            </w:r>
          </w:p>
        </w:tc>
      </w:tr>
      <w:tr>
        <w:tc>
          <w:tcPr>
            <w:tcW w:type="dxa" w:w="4320"/>
          </w:tcPr>
          <w:p>
            <w:r>
              <w:t>Debilidades</w:t>
            </w:r>
          </w:p>
        </w:tc>
        <w:tc>
          <w:tcPr>
            <w:tcW w:type="dxa" w:w="4320"/>
          </w:tcPr>
          <w:p>
            <w:r>
              <w:t>Retrasos leves en revisión documental y pruebas; sobrecarga temporal en roles de gestión/soporte; falta de automatización de reportes y defectos.</w:t>
            </w:r>
          </w:p>
        </w:tc>
      </w:tr>
      <w:tr>
        <w:tc>
          <w:tcPr>
            <w:tcW w:type="dxa" w:w="4320"/>
          </w:tcPr>
          <w:p>
            <w:r>
              <w:t>Oportunidades</w:t>
            </w:r>
          </w:p>
        </w:tc>
        <w:tc>
          <w:tcPr>
            <w:tcW w:type="dxa" w:w="4320"/>
          </w:tcPr>
          <w:p>
            <w:r>
              <w:t>Implementar tableros de control visual; automatizar control documental y seguimiento de tareas; ampliar cobertura de pruebas.</w:t>
            </w:r>
          </w:p>
        </w:tc>
      </w:tr>
      <w:tr>
        <w:tc>
          <w:tcPr>
            <w:tcW w:type="dxa" w:w="4320"/>
          </w:tcPr>
          <w:p>
            <w:r>
              <w:t>Amenazas</w:t>
            </w:r>
          </w:p>
        </w:tc>
        <w:tc>
          <w:tcPr>
            <w:tcW w:type="dxa" w:w="4320"/>
          </w:tcPr>
          <w:p>
            <w:r>
              <w:t>Saturación si se amplía alcance sin reajustar tiempos; dependencia de roles técnicos clave; limitación de infraestructura gratuita ante mayor carga.</w:t>
            </w:r>
          </w:p>
        </w:tc>
      </w:tr>
    </w:tbl>
    <w:p>
      <w:pPr>
        <w:pStyle w:val="Heading2"/>
      </w:pPr>
      <w:r>
        <w:t>6. Conclusiones de la Fase</w:t>
      </w:r>
    </w:p>
    <w:p>
      <w:r>
        <w:t>La fase de Postmortem cierra formalmente el ciclo 1 del proyecto DashKPI con resultados sobresalientes en calidad del producto y madurez del proceso. El equipo mostró compromiso, colaboración y capacidad de adaptación (migración a Azure DB). El proyecto superó el alcance previsto, fortaleciendo la trazabilidad documental, el control de calidad y la ejecución técnica. Las oportunidades de mejora identificadas guiarán próximos ciclos hacia una mayor automatización, eficiencia y control visual de métricas.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