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RENAISSANCE MAN</w:t>
        <w:br w:type="textWrapping"/>
        <w:br w:type="textWrapping"/>
        <w:t xml:space="preserve">(Starts with Groove)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 story of struggle, triumph, loss, and pain,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Squandered a fortune at a very young age,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Incarceration, fascination, concentration, renewal of life for those who believe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Christ died on the cross for another man’s sins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So you and I can breathe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 I can Breathe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(Break for Halladay)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This whirlwind of time passing us by at the speed of light in the night for those who can see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Last week I was a young boy, today a man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Tomorrow a corpse in a coffin in a gravesite forgotten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those who knew me as a friend, a friend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 In a gravesite forgotten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(Break for Halladay)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I’m a Renaissance Man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I’ve been reborn resurrected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 &amp;H: This time not neglected I’m ready to make a stand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 Live my vision, to live my vision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And see my dreams to rise above the ashes like a burning flame.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 Like a burning flame.</w:t>
        <w:br w:type="textWrapping"/>
        <w:br w:type="textWrapping"/>
        <w:t xml:space="preserve">(Break for Guitar Solo)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 &amp; M: This time This time I’ll listen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I’ll take direction I’ll find my way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those who have forgotten I’m here to stay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I’m the Renaissance Man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I’m the Renaissance Man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 I’m here to stay Renaissance Man I’m here to stay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