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Weir — ETHOnline 2026 partner prizes</w:t>
      </w:r>
    </w:p>
    <w:bookmarkStart w:id="21" w:name="select-prizes--answers-to-paste"/>
    <w:p>
      <w:pPr>
        <w:pStyle w:val="Heading1"/>
      </w:pPr>
      <w:r>
        <w:t xml:space="preserve">Select prizes — answers to paste</w:t>
      </w:r>
    </w:p>
    <w:p>
      <w:pPr>
        <w:pStyle w:val="FirstParagraph"/>
      </w:pPr>
      <w:r>
        <w:t xml:space="preserve">Form section: Hacker Dashboard → Project →</w:t>
      </w:r>
      <w:r>
        <w:t xml:space="preserve"> </w:t>
      </w:r>
      <w:r>
        <w:rPr>
          <w:b/>
          <w:bCs/>
        </w:rPr>
        <w:t xml:space="preserve">Select prizes</w:t>
      </w:r>
      <w:r>
        <w:t xml:space="preserve">.</w:t>
      </w:r>
    </w:p>
    <w:p>
      <w:pPr>
        <w:pStyle w:val="BodyText"/>
      </w:pPr>
      <w:r>
        <w:t xml:space="preserve">All answers are continuous prose with no hard line breaks, so pasting gives clean paragraphs.</w:t>
      </w:r>
    </w:p>
    <w:p>
      <w:r>
        <w:pict>
          <v:rect style="width:0;height:1.5pt" o:hralign="center" o:hrstd="t" o:hr="t"/>
        </w:pict>
      </w:r>
    </w:p>
    <w:bookmarkStart w:id="9" w:name="track"/>
    <w:p>
      <w:pPr>
        <w:pStyle w:val="Heading2"/>
      </w:pPr>
      <w:r>
        <w:t xml:space="preserve">Track</w:t>
      </w:r>
    </w:p>
    <w:p>
      <w:pPr>
        <w:pStyle w:val="BlockText"/>
      </w:pPr>
      <w:r>
        <w:t xml:space="preserve">Building from Scratch</w:t>
      </w:r>
    </w:p>
    <w:p>
      <w:pPr>
        <w:pStyle w:val="FirstParagraph"/>
      </w:pPr>
      <w:r>
        <w:rPr>
          <w:i/>
          <w:iCs/>
        </w:rPr>
        <w:t xml:space="preserve">Weir was started during the event. The repo's first commit is 2026-09-12 and there are 24</w:t>
      </w:r>
      <w:r>
        <w:rPr>
          <w:i/>
          <w:iCs/>
        </w:rPr>
        <w:t xml:space="preserve"> </w:t>
      </w:r>
      <w:r>
        <w:rPr>
          <w:i/>
          <w:iCs/>
        </w:rPr>
        <w:t xml:space="preserve">commits with real incremental history, which is what the "version control" project rule asks</w:t>
      </w:r>
      <w:r>
        <w:rPr>
          <w:i/>
          <w:iCs/>
        </w:rPr>
        <w:t xml:space="preserve"> </w:t>
      </w:r>
      <w:r>
        <w:rPr>
          <w:i/>
          <w:iCs/>
        </w:rPr>
        <w:t xml:space="preserve">for. Continuity Track would be a false claim and would move us into a different prize pool.</w:t>
      </w:r>
    </w:p>
    <w:p>
      <w:r>
        <w:pict>
          <v:rect style="width:0;height:1.5pt" o:hralign="center" o:hrstd="t" o:hr="t"/>
        </w:pict>
      </w:r>
    </w:p>
    <w:bookmarkEnd w:id="9"/>
    <w:bookmarkStart w:id="10" w:name="submission-type"/>
    <w:p>
      <w:pPr>
        <w:pStyle w:val="Heading2"/>
      </w:pPr>
      <w:r>
        <w:t xml:space="preserve">Submission type</w:t>
      </w:r>
    </w:p>
    <w:p>
      <w:pPr>
        <w:pStyle w:val="BlockText"/>
      </w:pPr>
      <w:r>
        <w:t xml:space="preserve">Top 10 Finalist &amp; Partner Prizes</w:t>
      </w:r>
    </w:p>
    <w:p>
      <w:pPr>
        <w:pStyle w:val="FirstParagraph"/>
      </w:pPr>
      <w:r>
        <w:rPr>
          <w:b/>
          <w:bCs/>
        </w:rPr>
        <w:t xml:space="preserve">Know what this commits you to.</w:t>
      </w:r>
      <w:r>
        <w:t xml:space="preserve"> </w:t>
      </w:r>
      <w:r>
        <w:t xml:space="preserve">Round 1 is an async review by judges. Projects that pass go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Live Judging on Monday 14 September at 12:00 pm EDT</w:t>
      </w:r>
      <w:r>
        <w:t xml:space="preserve"> </w:t>
      </w:r>
      <w:r>
        <w:t xml:space="preserve">— that is 17:00 BST, the day after</w:t>
      </w:r>
      <w:r>
        <w:t xml:space="preserve"> </w:t>
      </w:r>
      <w:r>
        <w:t xml:space="preserve">submission. If you cannot be present and present live, pick</w:t>
      </w:r>
      <w:r>
        <w:t xml:space="preserve"> </w:t>
      </w:r>
      <w:r>
        <w:rPr>
          <w:i/>
          <w:iCs/>
        </w:rPr>
        <w:t xml:space="preserve">Partner Prizes only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 being absent from a session you opted into is worse than never opting in.</w:t>
      </w:r>
    </w:p>
    <w:p>
      <w:pPr>
        <w:pStyle w:val="BodyText"/>
      </w:pPr>
      <w:r>
        <w:t xml:space="preserve">Round 1 is judged on video presentation and quality, live demo quality, and proper use of git</w:t>
      </w:r>
      <w:r>
        <w:t xml:space="preserve"> </w:t>
      </w:r>
      <w:r>
        <w:t xml:space="preserve">commit history. We are in reasonable shape on all three: a 2:38 human-narrated video, a live</w:t>
      </w:r>
      <w:r>
        <w:t xml:space="preserve"> </w:t>
      </w:r>
      <w:r>
        <w:t xml:space="preserve">app that reads real chain state, and 24 incremental commits.</w:t>
      </w:r>
    </w:p>
    <w:p>
      <w:r>
        <w:pict>
          <v:rect style="width:0;height:1.5pt" o:hralign="center" o:hrstd="t" o:hr="t"/>
        </w:pict>
      </w:r>
    </w:p>
    <w:bookmarkEnd w:id="10"/>
    <w:bookmarkStart w:id="18" w:name="partner-prizes--three-selected"/>
    <w:p>
      <w:pPr>
        <w:pStyle w:val="Heading2"/>
      </w:pPr>
      <w:r>
        <w:t xml:space="preserve">Partner prizes — three selected</w:t>
      </w:r>
    </w:p>
    <w:p>
      <w:pPr>
        <w:pStyle w:val="FirstParagraph"/>
      </w:pPr>
      <w:r>
        <w:t xml:space="preserve">Maximum is three. We are applying to</w:t>
      </w:r>
      <w:r>
        <w:t xml:space="preserve"> </w:t>
      </w:r>
      <w:r>
        <w:rPr>
          <w:b/>
          <w:bCs/>
        </w:rPr>
        <w:t xml:space="preserve">The Graph, Privy, Uniswap Foundation</w:t>
      </w:r>
      <w:r>
        <w:t xml:space="preserve">.</w:t>
      </w:r>
    </w:p>
    <w:bookmarkStart w:id="12" w:name="X7dc411f52f5579087cc5d87dd5d7ace7581a248"/>
    <w:p>
      <w:pPr>
        <w:pStyle w:val="Heading3"/>
      </w:pPr>
      <w:r>
        <w:t xml:space="preserve">1 · The Graph — $15,000</w:t>
      </w:r>
    </w:p>
    <w:p>
      <w:pPr>
        <w:pStyle w:val="FirstParagraph"/>
      </w:pPr>
      <w:r>
        <w:rPr>
          <w:b/>
          <w:bCs/>
        </w:rPr>
        <w:t xml:space="preserve">How are you using this Protocol / API?</w:t>
      </w:r>
    </w:p>
    <w:p>
      <w:pPr>
        <w:pStyle w:val="BlockText"/>
      </w:pPr>
      <w:r>
        <w:t xml:space="preserve">Weir indexes every endowment and every release into a subgraph on Subgraph Studio, and then</w:t>
      </w:r>
      <w:r>
        <w:t xml:space="preserve"> </w:t>
      </w:r>
      <w:r>
        <w:t xml:space="preserve">uses it to answer the one question an endowed AI agent actually needs answered. Balance is</w:t>
      </w:r>
      <w:r>
        <w:t xml:space="preserve"> </w:t>
      </w:r>
      <w:r>
        <w:t xml:space="preserve">the wrong question here and is actively misleading, because an endowment's principal is</w:t>
      </w:r>
      <w:r>
        <w:t xml:space="preserve"> </w:t>
      </w:r>
      <w:r>
        <w:t xml:space="preserve">visible on-chain but permanently unspendable. The right question is "what can I spend</w:t>
      </w:r>
      <w:r>
        <w:t xml:space="preserve"> </w:t>
      </w:r>
      <w:r>
        <w:t xml:space="preserve">forever", and that is a function of realized rate over indexed release history, not of any</w:t>
      </w:r>
      <w:r>
        <w:t xml:space="preserve"> </w:t>
      </w:r>
      <w:r>
        <w:t xml:space="preserve">single balance read. Our MCP server queries the subgraph and returns a sustainable daily,</w:t>
      </w:r>
      <w:r>
        <w:t xml:space="preserve"> </w:t>
      </w:r>
      <w:r>
        <w:t xml:space="preserve">monthly and yearly budget plus a PERPETUAL or NOT SURVIVABLE verdict against a proposed burn</w:t>
      </w:r>
      <w:r>
        <w:t xml:space="preserve"> </w:t>
      </w:r>
      <w:r>
        <w:t xml:space="preserve">rate. Live output for our deployed endowment: principal 250,000 at a realized 1.406% gives</w:t>
      </w:r>
      <w:r>
        <w:t xml:space="preserve"> </w:t>
      </w:r>
      <w:r>
        <w:t xml:space="preserve">9.626996 USDC/day, and a 5/day burn is 51.9% of income, so the verdict is PERPETUAL. Without</w:t>
      </w:r>
      <w:r>
        <w:t xml:space="preserve"> </w:t>
      </w:r>
      <w:r>
        <w:t xml:space="preserve">an index there is no realized rate, and without a realized rate the agent cannot know whether</w:t>
      </w:r>
      <w:r>
        <w:t xml:space="preserve"> </w:t>
      </w:r>
      <w:r>
        <w:t xml:space="preserve">its own spending is survivable.</w:t>
      </w:r>
    </w:p>
    <w:p>
      <w:pPr>
        <w:pStyle w:val="FirstParagraph"/>
      </w:pPr>
      <w:r>
        <w:rPr>
          <w:b/>
          <w:bCs/>
        </w:rPr>
        <w:t xml:space="preserve">Link to the line of code</w:t>
      </w:r>
    </w:p>
    <w:p>
      <w:pPr>
        <w:pStyle w:val="BlockText"/>
      </w:pPr>
      <w:hyperlink r:id="rId11">
        <w:r>
          <w:rPr>
            <w:rStyle w:val="Hyperlink"/>
          </w:rPr>
          <w:t xml:space="preserve">https://github.com/Leihyn/weir/blob/main/subgraph/src/weir.ts#L63</w:t>
        </w:r>
      </w:hyperlink>
    </w:p>
    <w:p>
      <w:pPr>
        <w:pStyle w:val="BlockText"/>
      </w:pPr>
      <w:r>
        <w:t xml:space="preserve">Also</w:t>
      </w:r>
      <w:r>
        <w:t xml:space="preserve"> </w:t>
      </w:r>
      <w:r>
        <w:rPr>
          <w:rStyle w:val="VerbatimChar"/>
        </w:rPr>
        <w:t xml:space="preserve">mcp/src/index.ts#L103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weir_sustainable_budget</w:t>
      </w:r>
      <w:r>
        <w:t xml:space="preserve"> </w:t>
      </w:r>
      <w:r>
        <w:t xml:space="preserve">tool) and</w:t>
      </w:r>
      <w:r>
        <w:t xml:space="preserve"> </w:t>
      </w:r>
      <w:r>
        <w:rPr>
          <w:rStyle w:val="VerbatimChar"/>
        </w:rPr>
        <w:t xml:space="preserve">mcp/src/graph.ts</w:t>
      </w:r>
      <w:r>
        <w:t xml:space="preserve"> </w:t>
      </w:r>
      <w:r>
        <w:t xml:space="preserve">(the queries). Live endpoint:</w:t>
      </w:r>
      <w:r>
        <w:t xml:space="preserve"> </w:t>
      </w:r>
      <w:r>
        <w:rPr>
          <w:rStyle w:val="VerbatimChar"/>
        </w:rPr>
        <w:t xml:space="preserve">https://api.studio.thegraph.com/query/1760272/weir/v0.0.1</w:t>
      </w:r>
    </w:p>
    <w:p>
      <w:pPr>
        <w:pStyle w:val="FirstParagraph"/>
      </w:pPr>
      <w:r>
        <w:rPr>
          <w:b/>
          <w:bCs/>
        </w:rPr>
        <w:t xml:space="preserve">Ease of use (1–10)</w:t>
      </w:r>
    </w:p>
    <w:p>
      <w:pPr>
        <w:pStyle w:val="BlockText"/>
      </w:pPr>
      <w:r>
        <w:t xml:space="preserve">8</w:t>
      </w:r>
    </w:p>
    <w:p>
      <w:pPr>
        <w:pStyle w:val="FirstParagraph"/>
      </w:pPr>
      <w:r>
        <w:rPr>
          <w:b/>
          <w:bCs/>
        </w:rPr>
        <w:t xml:space="preserve">Additional feedback for the sponsor</w:t>
      </w:r>
    </w:p>
    <w:p>
      <w:pPr>
        <w:pStyle w:val="BlockText"/>
      </w:pPr>
      <w:r>
        <w:t xml:space="preserve">Subgraph Studio was the smoothest part of this build, and the deploy-to-live loop is genuinely</w:t>
      </w:r>
      <w:r>
        <w:t xml:space="preserve"> </w:t>
      </w:r>
      <w:r>
        <w:t xml:space="preserve">fast. One sharp edge cost us real time: an event parameter typed</w:t>
      </w:r>
      <w:r>
        <w:t xml:space="preserve"> </w:t>
      </w:r>
      <w:r>
        <w:rPr>
          <w:rStyle w:val="VerbatimChar"/>
        </w:rPr>
        <w:t xml:space="preserve">uint64</w:t>
      </w:r>
      <w:r>
        <w:t xml:space="preserve"> </w:t>
      </w:r>
      <w:r>
        <w:t xml:space="preserve">in Solidity arrives</w:t>
      </w:r>
      <w:r>
        <w:t xml:space="preserve"> </w:t>
      </w:r>
      <w:r>
        <w:t xml:space="preserve">in an AssemblyScript mapping as a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, not an</w:t>
      </w:r>
      <w:r>
        <w:t xml:space="preserve"> </w:t>
      </w:r>
      <w:r>
        <w:rPr>
          <w:rStyle w:val="VerbatimChar"/>
        </w:rPr>
        <w:t xml:space="preserve">i32</w:t>
      </w:r>
      <w:r>
        <w:t xml:space="preserve">, and calling</w:t>
      </w:r>
      <w:r>
        <w:t xml:space="preserve"> </w:t>
      </w:r>
      <w:r>
        <w:rPr>
          <w:rStyle w:val="VerbatimChar"/>
        </w:rPr>
        <w:t xml:space="preserve">BigInt.fromI32()</w:t>
      </w:r>
      <w:r>
        <w:t xml:space="preserve"> </w:t>
      </w:r>
      <w:r>
        <w:t xml:space="preserve">on it</w:t>
      </w:r>
      <w:r>
        <w:t xml:space="preserve"> </w:t>
      </w:r>
      <w:r>
        <w:t xml:space="preserve">crashes</w:t>
      </w:r>
      <w:r>
        <w:t xml:space="preserve"> </w:t>
      </w:r>
      <w:r>
        <w:rPr>
          <w:rStyle w:val="VerbatimChar"/>
        </w:rPr>
        <w:t xml:space="preserve">graph codegen</w:t>
      </w:r>
      <w:r>
        <w:t xml:space="preserve"> </w:t>
      </w:r>
      <w:r>
        <w:t xml:space="preserve">with no line number and no file reference. The failure gives you</w:t>
      </w:r>
      <w:r>
        <w:t xml:space="preserve"> </w:t>
      </w:r>
      <w:r>
        <w:t xml:space="preserve">nothing to search for. A type mismatch in a generated binding is the one place where a</w:t>
      </w:r>
      <w:r>
        <w:t xml:space="preserve"> </w:t>
      </w:r>
      <w:r>
        <w:t xml:space="preserve">pointer to the offending handler would save an hour, and generated code is exactly where you</w:t>
      </w:r>
      <w:r>
        <w:t xml:space="preserve"> </w:t>
      </w:r>
      <w:r>
        <w:t xml:space="preserve">have the information to give one. Second, smaller: the docs lead with entity modelling, but</w:t>
      </w:r>
      <w:r>
        <w:t xml:space="preserve"> </w:t>
      </w:r>
      <w:r>
        <w:t xml:space="preserve">the first thing most people hit is the mapping type system, and a short "Solidity type → AS</w:t>
      </w:r>
      <w:r>
        <w:t xml:space="preserve"> </w:t>
      </w:r>
      <w:r>
        <w:t xml:space="preserve">type" table near the top of the mappings page would pre-empt the above.</w:t>
      </w:r>
    </w:p>
    <w:p>
      <w:r>
        <w:pict>
          <v:rect style="width:0;height:1.5pt" o:hralign="center" o:hrstd="t" o:hr="t"/>
        </w:pict>
      </w:r>
    </w:p>
    <w:bookmarkEnd w:id="12"/>
    <w:bookmarkStart w:id="14" w:name="Xf710f96e3d85654ce7311d65627678aaf41e063"/>
    <w:p>
      <w:pPr>
        <w:pStyle w:val="Heading3"/>
      </w:pPr>
      <w:r>
        <w:t xml:space="preserve">2 · Privy — $5,000</w:t>
      </w:r>
    </w:p>
    <w:p>
      <w:pPr>
        <w:pStyle w:val="FirstParagraph"/>
      </w:pPr>
      <w:r>
        <w:rPr>
          <w:b/>
          <w:bCs/>
        </w:rPr>
        <w:t xml:space="preserve">How are you using this Protocol / API?</w:t>
      </w:r>
    </w:p>
    <w:p>
      <w:pPr>
        <w:pStyle w:val="BlockText"/>
      </w:pPr>
      <w:r>
        <w:t xml:space="preserve">Privy is how an owner signs in and commits principal. Weir's opening flow is deliberately a</w:t>
      </w:r>
      <w:r>
        <w:t xml:space="preserve"> </w:t>
      </w:r>
      <w:r>
        <w:t xml:space="preserve">self-service financial product rather than a crypto tool: the owner signs in with email,</w:t>
      </w:r>
      <w:r>
        <w:t xml:space="preserve"> </w:t>
      </w:r>
      <w:r>
        <w:t xml:space="preserve">picks an asset and an amount, names the agent's spending wallet, and commits. Privy carries</w:t>
      </w:r>
      <w:r>
        <w:t xml:space="preserve"> </w:t>
      </w:r>
      <w:r>
        <w:t xml:space="preserve">the sign-in and the embedded wallet so that flow does not begin with "install a browser</w:t>
      </w:r>
      <w:r>
        <w:t xml:space="preserve"> </w:t>
      </w:r>
      <w:r>
        <w:t xml:space="preserve">extension". Deliberately, it is not the only way in — we fall back to any injected wallet,</w:t>
      </w:r>
      <w:r>
        <w:t xml:space="preserve"> </w:t>
      </w:r>
      <w:r>
        <w:t xml:space="preserve">because gating the entire write path on a single vendor's key turns one missing environment</w:t>
      </w:r>
      <w:r>
        <w:t xml:space="preserve"> </w:t>
      </w:r>
      <w:r>
        <w:t xml:space="preserve">variable into a dead demo, and a judge opening the page should never see a broken button.</w:t>
      </w:r>
    </w:p>
    <w:p>
      <w:pPr>
        <w:pStyle w:val="FirstParagraph"/>
      </w:pPr>
      <w:r>
        <w:rPr>
          <w:b/>
          <w:bCs/>
        </w:rPr>
        <w:t xml:space="preserve">Link to the line of code</w:t>
      </w:r>
    </w:p>
    <w:p>
      <w:pPr>
        <w:pStyle w:val="BlockText"/>
      </w:pPr>
      <w:hyperlink r:id="rId13">
        <w:r>
          <w:rPr>
            <w:rStyle w:val="Hyperlink"/>
          </w:rPr>
          <w:t xml:space="preserve">https://github.com/Leihyn/weir/blob/main/app/components/Providers.tsx#L19</w:t>
        </w:r>
      </w:hyperlink>
    </w:p>
    <w:p>
      <w:pPr>
        <w:pStyle w:val="BlockText"/>
      </w:pPr>
      <w:r>
        <w:t xml:space="preserve">Also</w:t>
      </w:r>
      <w:r>
        <w:t xml:space="preserve"> </w:t>
      </w:r>
      <w:r>
        <w:rPr>
          <w:rStyle w:val="VerbatimChar"/>
        </w:rPr>
        <w:t xml:space="preserve">app/components/OpenEndowment.tsx#L4</w:t>
      </w:r>
      <w:r>
        <w:t xml:space="preserve"> </w:t>
      </w:r>
      <w:r>
        <w:t xml:space="preserve">(the sign-in and commit flow) and</w:t>
      </w:r>
      <w:r>
        <w:t xml:space="preserve"> </w:t>
      </w:r>
      <w:r>
        <w:rPr>
          <w:rStyle w:val="VerbatimChar"/>
        </w:rPr>
        <w:t xml:space="preserve">app/lib/connect.ts</w:t>
      </w:r>
      <w:r>
        <w:t xml:space="preserve"> </w:t>
      </w:r>
      <w:r>
        <w:t xml:space="preserve">(the injected-wallet fallback).</w:t>
      </w:r>
    </w:p>
    <w:p>
      <w:pPr>
        <w:pStyle w:val="FirstParagraph"/>
      </w:pPr>
      <w:r>
        <w:rPr>
          <w:b/>
          <w:bCs/>
        </w:rPr>
        <w:t xml:space="preserve">Ease of use (1–10)</w:t>
      </w:r>
    </w:p>
    <w:p>
      <w:pPr>
        <w:pStyle w:val="BlockText"/>
      </w:pPr>
      <w:r>
        <w:t xml:space="preserve">7</w:t>
      </w:r>
    </w:p>
    <w:p>
      <w:pPr>
        <w:pStyle w:val="FirstParagraph"/>
      </w:pPr>
      <w:r>
        <w:rPr>
          <w:b/>
          <w:bCs/>
        </w:rPr>
        <w:t xml:space="preserve">Additional feedback for the sponsor</w:t>
      </w:r>
    </w:p>
    <w:p>
      <w:pPr>
        <w:pStyle w:val="BlockText"/>
      </w:pPr>
      <w:r>
        <w:t xml:space="preserve">Integration itself was quick. The failure we hit was a configuration one with a poor error</w:t>
      </w:r>
      <w:r>
        <w:t xml:space="preserve"> </w:t>
      </w:r>
      <w:r>
        <w:t xml:space="preserve">path: requesting a login method that is not enabled on the app fails at runtime with "Login</w:t>
      </w:r>
      <w:r>
        <w:t xml:space="preserve"> </w:t>
      </w:r>
      <w:r>
        <w:t xml:space="preserve">with Google not allowed" rather than at config time, and the message names the method without</w:t>
      </w:r>
      <w:r>
        <w:t xml:space="preserve"> </w:t>
      </w:r>
      <w:r>
        <w:t xml:space="preserve">saying that the fix is in the dashboard rather than in the code. Since</w:t>
      </w:r>
      <w:r>
        <w:t xml:space="preserve"> </w:t>
      </w:r>
      <w:r>
        <w:rPr>
          <w:rStyle w:val="VerbatimChar"/>
        </w:rPr>
        <w:t xml:space="preserve">loginMethods</w:t>
      </w:r>
      <w:r>
        <w:t xml:space="preserve"> </w:t>
      </w:r>
      <w:r>
        <w:t xml:space="preserve">is</w:t>
      </w:r>
      <w:r>
        <w:t xml:space="preserve"> </w:t>
      </w:r>
      <w:r>
        <w:t xml:space="preserve">static in the provider config, this is checkable when the provider mounts — a dev-mode warning</w:t>
      </w:r>
      <w:r>
        <w:t xml:space="preserve"> </w:t>
      </w:r>
      <w:r>
        <w:t xml:space="preserve">listing requested versus enabled methods would turn a confusing runtime failure into an</w:t>
      </w:r>
      <w:r>
        <w:t xml:space="preserve"> </w:t>
      </w:r>
      <w:r>
        <w:t xml:space="preserve">obvious one. Related: allowed origins are easy to forget on first deploy, and the resulting</w:t>
      </w:r>
      <w:r>
        <w:t xml:space="preserve"> </w:t>
      </w:r>
      <w:r>
        <w:t xml:space="preserve">failure looks like a code bug rather than a dashboard setting. A one-line dev warning when the</w:t>
      </w:r>
      <w:r>
        <w:t xml:space="preserve"> </w:t>
      </w:r>
      <w:r>
        <w:t xml:space="preserve">current origin is not on the allowlist would pay for itself.</w:t>
      </w:r>
    </w:p>
    <w:p>
      <w:r>
        <w:pict>
          <v:rect style="width:0;height:1.5pt" o:hralign="center" o:hrstd="t" o:hr="t"/>
        </w:pict>
      </w:r>
    </w:p>
    <w:bookmarkEnd w:id="14"/>
    <w:bookmarkStart w:id="17" w:name="Xc689c45a20f75311de1a55f5b1f81e5bf4366bb"/>
    <w:p>
      <w:pPr>
        <w:pStyle w:val="Heading3"/>
      </w:pPr>
      <w:r>
        <w:t xml:space="preserve">3 · Uniswap Foundation — $5,000</w:t>
      </w:r>
    </w:p>
    <w:p>
      <w:pPr>
        <w:pStyle w:val="FirstParagraph"/>
      </w:pPr>
      <w:r>
        <w:rPr>
          <w:b/>
          <w:bCs/>
        </w:rPr>
        <w:t xml:space="preserve">How are you using this Protocol / API?</w:t>
      </w:r>
    </w:p>
    <w:p>
      <w:pPr>
        <w:pStyle w:val="BlockText"/>
      </w:pPr>
      <w:r>
        <w:t xml:space="preserve">An endowment may be held in any asset, but agents' bills are denominated in USDC, so</w:t>
      </w:r>
      <w:r>
        <w:t xml:space="preserve"> </w:t>
      </w:r>
      <w:r>
        <w:rPr>
          <w:rStyle w:val="VerbatimChar"/>
        </w:rPr>
        <w:t xml:space="preserve">harvestAndSwap()</w:t>
      </w:r>
      <w:r>
        <w:t xml:space="preserve"> </w:t>
      </w:r>
      <w:r>
        <w:t xml:space="preserve">routes the accrued yield of a WETH endowment through SwapRouter02 into the</w:t>
      </w:r>
      <w:r>
        <w:t xml:space="preserve"> </w:t>
      </w:r>
      <w:r>
        <w:t xml:space="preserve">USDC the bills are actually paid in. The interesting part is keeping that swap permissionless.</w:t>
      </w:r>
      <w:r>
        <w:t xml:space="preserve"> </w:t>
      </w:r>
      <w:r>
        <w:t xml:space="preserve">Weir's</w:t>
      </w:r>
      <w:r>
        <w:t xml:space="preserve"> </w:t>
      </w:r>
      <w:r>
        <w:rPr>
          <w:rStyle w:val="VerbatimChar"/>
        </w:rPr>
        <w:t xml:space="preserve">harvest()</w:t>
      </w:r>
      <w:r>
        <w:t xml:space="preserve"> </w:t>
      </w:r>
      <w:r>
        <w:t xml:space="preserve">needs no keeper because the amount comes from Aave's index and the</w:t>
      </w:r>
      <w:r>
        <w:t xml:space="preserve"> </w:t>
      </w:r>
      <w:r>
        <w:t xml:space="preserve">destination from contract storage, so a caller has nothing to choose and nothing to gain.</w:t>
      </w:r>
      <w:r>
        <w:t xml:space="preserve"> </w:t>
      </w:r>
      <w:r>
        <w:t xml:space="preserve">Adding a swap reintroduced exactly one attackable parameter,</w:t>
      </w:r>
      <w:r>
        <w:t xml:space="preserve"> </w:t>
      </w:r>
      <w:r>
        <w:rPr>
          <w:rStyle w:val="VerbatimChar"/>
        </w:rPr>
        <w:t xml:space="preserve">amountOutMinimum</w:t>
      </w:r>
      <w:r>
        <w:t xml:space="preserve">, and a caller</w:t>
      </w:r>
      <w:r>
        <w:t xml:space="preserve"> </w:t>
      </w:r>
      <w:r>
        <w:t xml:space="preserve">could pass zero and sandwich the agent. We floor it against Aave's own Chainlink-backed</w:t>
      </w:r>
      <w:r>
        <w:t xml:space="preserve"> </w:t>
      </w:r>
      <w:r>
        <w:t xml:space="preserve">oracle, so a caller may raise the slippage guard but never lower it — which adds no trust</w:t>
      </w:r>
      <w:r>
        <w:t xml:space="preserve"> </w:t>
      </w:r>
      <w:r>
        <w:t xml:space="preserve">assumption we were not already carrying. Fork tested against live Uniswap on Base: a 10 WETH</w:t>
      </w:r>
      <w:r>
        <w:t xml:space="preserve"> </w:t>
      </w:r>
      <w:r>
        <w:t xml:space="preserve">endowment accrued 0.08638 WETH over 180 days and paid 218.698043 USDC, within two cents of</w:t>
      </w:r>
      <w:r>
        <w:t xml:space="preserve"> </w:t>
      </w:r>
      <w:r>
        <w:t xml:space="preserve">oracle.</w:t>
      </w:r>
    </w:p>
    <w:p>
      <w:pPr>
        <w:pStyle w:val="FirstParagraph"/>
      </w:pPr>
      <w:r>
        <w:rPr>
          <w:b/>
          <w:bCs/>
        </w:rPr>
        <w:t xml:space="preserve">Link to the line of code</w:t>
      </w:r>
    </w:p>
    <w:p>
      <w:pPr>
        <w:pStyle w:val="BlockText"/>
      </w:pPr>
      <w:hyperlink r:id="rId15">
        <w:r>
          <w:rPr>
            <w:rStyle w:val="Hyperlink"/>
          </w:rPr>
          <w:t xml:space="preserve">https://github.com/Leihyn/weir/blob/main/contracts/src/Weir.sol#L252</w:t>
        </w:r>
      </w:hyperlink>
    </w:p>
    <w:p>
      <w:pPr>
        <w:pStyle w:val="BlockText"/>
      </w:pPr>
      <w:r>
        <w:t xml:space="preserve">The oracle floor that makes it safe to leave permissionless is</w:t>
      </w:r>
      <w:r>
        <w:t xml:space="preserve"> </w:t>
      </w:r>
      <w:r>
        <w:rPr>
          <w:rStyle w:val="VerbatimChar"/>
        </w:rPr>
        <w:t xml:space="preserve">_oracleFloor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contracts/src/Weir.sol#L370</w:t>
      </w:r>
      <w:r>
        <w:t xml:space="preserve">, applied at</w:t>
      </w:r>
      <w:r>
        <w:t xml:space="preserve"> </w:t>
      </w:r>
      <w:r>
        <w:rPr>
          <w:rStyle w:val="VerbatimChar"/>
        </w:rPr>
        <w:t xml:space="preserve">#L287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Ease of use (1–10)</w:t>
      </w:r>
    </w:p>
    <w:p>
      <w:pPr>
        <w:pStyle w:val="BlockText"/>
      </w:pPr>
      <w:r>
        <w:t xml:space="preserve">6</w:t>
      </w:r>
    </w:p>
    <w:p>
      <w:pPr>
        <w:pStyle w:val="FirstParagraph"/>
      </w:pPr>
      <w:r>
        <w:rPr>
          <w:b/>
          <w:bCs/>
        </w:rPr>
        <w:t xml:space="preserve">Additional feedback for the sponsor</w:t>
      </w:r>
    </w:p>
    <w:p>
      <w:pPr>
        <w:pStyle w:val="BlockText"/>
      </w:pPr>
      <w:r>
        <w:t xml:space="preserve">Two things cost us time, both specific to contract integrators rather than SDK consumers.</w:t>
      </w:r>
      <w:r>
        <w:t xml:space="preserve"> </w:t>
      </w:r>
      <w:r>
        <w:t xml:space="preserve">First, fee-tier selection is guesswork from inside a contract: there is no canonical on-chain</w:t>
      </w:r>
      <w:r>
        <w:t xml:space="preserve"> </w:t>
      </w:r>
      <w:r>
        <w:t xml:space="preserve">"deepest tier for this pair" view, so every integrator hardcodes 500 and hopes, and silently</w:t>
      </w:r>
      <w:r>
        <w:t xml:space="preserve"> </w:t>
      </w:r>
      <w:r>
        <w:t xml:space="preserve">executes worse if liquidity migrates. Second,</w:t>
      </w:r>
      <w:r>
        <w:t xml:space="preserve"> </w:t>
      </w:r>
      <w:r>
        <w:rPr>
          <w:rStyle w:val="VerbatimChar"/>
        </w:rPr>
        <w:t xml:space="preserve">OracleLibrary</w:t>
      </w:r>
      <w:r>
        <w:t xml:space="preserve"> </w:t>
      </w:r>
      <w:r>
        <w:t xml:space="preserve">in v3-periphery is still pinned</w:t>
      </w:r>
      <w:r>
        <w:t xml:space="preserve"> </w:t>
      </w:r>
      <w:r>
        <w:t xml:space="preserve">to 0.7.6, so a modern 0.8 integrator either vendors a fork of</w:t>
      </w:r>
      <w:r>
        <w:t xml:space="preserve"> </w:t>
      </w:r>
      <w:r>
        <w:rPr>
          <w:rStyle w:val="VerbatimChar"/>
        </w:rPr>
        <w:t xml:space="preserve">TickMath</w:t>
      </w:r>
      <w:r>
        <w:t xml:space="preserve"> </w:t>
      </w:r>
      <w:r>
        <w:t xml:space="preserve">or, far more often,</w:t>
      </w:r>
      <w:r>
        <w:t xml:space="preserve"> </w:t>
      </w:r>
      <w:r>
        <w:t xml:space="preserve">skips the price check entirely. That pragma gap is actively degrading integration quality</w:t>
      </w:r>
      <w:r>
        <w:t xml:space="preserve"> </w:t>
      </w:r>
      <w:r>
        <w:t xml:space="preserve">across the ecosystem: the safe path is the inconvenient one. We ended up flooring against</w:t>
      </w:r>
      <w:r>
        <w:t xml:space="preserve"> </w:t>
      </w:r>
      <w:r>
        <w:t xml:space="preserve">Aave's oracle purely because we already depended on Aave — a 0.8-compatible TWAP helper would</w:t>
      </w:r>
      <w:r>
        <w:t xml:space="preserve"> </w:t>
      </w:r>
      <w:r>
        <w:t xml:space="preserve">have saved the detour and is the single highest-leverage thing you could ship for this class</w:t>
      </w:r>
      <w:r>
        <w:t xml:space="preserve"> </w:t>
      </w:r>
      <w:r>
        <w:t xml:space="preserve">of integrator. Full write-up with file and line references:</w:t>
      </w:r>
      <w:r>
        <w:t xml:space="preserve"> </w:t>
      </w:r>
      <w:hyperlink r:id="rId16">
        <w:r>
          <w:rPr>
            <w:rStyle w:val="Hyperlink"/>
          </w:rPr>
          <w:t xml:space="preserve">https://github.com/Leihyn/weir/blob/main/FEEDBACK.md</w:t>
        </w:r>
      </w:hyperlink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d7c323fc58214179ccfc662287a9395966a866a"/>
    <w:p>
      <w:pPr>
        <w:pStyle w:val="Heading2"/>
      </w:pPr>
      <w:r>
        <w:t xml:space="preserve">Which other partners' technologies have you used?</w:t>
      </w:r>
    </w:p>
    <w:p>
      <w:pPr>
        <w:pStyle w:val="FirstParagraph"/>
      </w:pPr>
      <w:r>
        <w:t xml:space="preserve">Select only what is genuinely in the repo. Do not tick a partner to pad the list — "imported</w:t>
      </w:r>
      <w:r>
        <w:t xml:space="preserve"> </w:t>
      </w:r>
      <w:r>
        <w:t xml:space="preserve">but not actually used" is the standard way teams lose partner prizes, and the repo is public.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Chainlink</w:t>
      </w:r>
      <w:r>
        <w:t xml:space="preserve"> </w:t>
      </w:r>
      <w:r>
        <w:t xml:space="preserve">— only if the option exists, and note the nuance: we consume Chainlink price</w:t>
      </w:r>
      <w:r>
        <w:t xml:space="preserve"> </w:t>
      </w:r>
      <w:r>
        <w:t xml:space="preserve">data indirectly, through Aave's oracle (</w:t>
      </w:r>
      <w:r>
        <w:rPr>
          <w:rStyle w:val="VerbatimChar"/>
        </w:rPr>
        <w:t xml:space="preserve">IAaveOracle</w:t>
      </w:r>
      <w:r>
        <w:t xml:space="preserve">), not by integrating Chainlink feeds</w:t>
      </w:r>
      <w:r>
        <w:t xml:space="preserve"> </w:t>
      </w:r>
      <w:r>
        <w:t xml:space="preserve">directly. If the form gives no room for that distinction, leave it unticked rather than</w:t>
      </w:r>
      <w:r>
        <w:t xml:space="preserve"> </w:t>
      </w:r>
      <w:r>
        <w:t xml:space="preserve">overclaim.</w:t>
      </w:r>
    </w:p>
    <w:p>
      <w:pPr>
        <w:pStyle w:val="FirstParagraph"/>
      </w:pPr>
      <w:r>
        <w:t xml:space="preserve">Nothing else applies.</w:t>
      </w:r>
    </w:p>
    <w:p>
      <w:r>
        <w:pict>
          <v:rect style="width:0;height:1.5pt" o:hralign="center" o:hrstd="t" o:hr="t"/>
        </w:pict>
      </w:r>
    </w:p>
    <w:bookmarkEnd w:id="19"/>
    <w:bookmarkStart w:id="20" w:name="Xb5327f0b8fc17673a7bb03dbc62ce6f400595f0"/>
    <w:p>
      <w:pPr>
        <w:pStyle w:val="Heading2"/>
      </w:pPr>
      <w:r>
        <w:t xml:space="preserve">Why not Arc — and why that is the one worth regretting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ARC.md</w:t>
      </w:r>
      <w:r>
        <w:t xml:space="preserve"> </w:t>
      </w:r>
      <w:r>
        <w:t xml:space="preserve">in this folder for the full discussion. Short version: Arc's prizes fit Weir</w:t>
      </w:r>
      <w:r>
        <w:t xml:space="preserve"> </w:t>
      </w:r>
      <w:r>
        <w:t xml:space="preserve">better than any partner we did integrate, and we cannot claim it, because the mechanism is</w:t>
      </w:r>
      <w:r>
        <w:t xml:space="preserve"> </w:t>
      </w:r>
      <w:r>
        <w:t xml:space="preserve">built on Aave's liquidity index and Aave is not deployed on Arc.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github.com/Leihyn/weir/blob/main/FEEDBACK.md" TargetMode="External" /><Relationship Type="http://schemas.openxmlformats.org/officeDocument/2006/relationships/hyperlink" Id="rId13" Target="https://github.com/Leihyn/weir/blob/main/app/components/Providers.tsx#L19" TargetMode="External" /><Relationship Type="http://schemas.openxmlformats.org/officeDocument/2006/relationships/hyperlink" Id="rId15" Target="https://github.com/Leihyn/weir/blob/main/contracts/src/Weir.sol#L252" TargetMode="External" /><Relationship Type="http://schemas.openxmlformats.org/officeDocument/2006/relationships/hyperlink" Id="rId11" Target="https://github.com/Leihyn/weir/blob/main/subgraph/src/weir.ts#L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github.com/Leihyn/weir/blob/main/FEEDBACK.md" TargetMode="External" /><Relationship Type="http://schemas.openxmlformats.org/officeDocument/2006/relationships/hyperlink" Id="rId13" Target="https://github.com/Leihyn/weir/blob/main/app/components/Providers.tsx#L19" TargetMode="External" /><Relationship Type="http://schemas.openxmlformats.org/officeDocument/2006/relationships/hyperlink" Id="rId15" Target="https://github.com/Leihyn/weir/blob/main/contracts/src/Weir.sol#L252" TargetMode="External" /><Relationship Type="http://schemas.openxmlformats.org/officeDocument/2006/relationships/hyperlink" Id="rId11" Target="https://github.com/Leihyn/weir/blob/main/subgraph/src/weir.ts#L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Weir — ETHOnline 2026 partner prizes</dc:title>
  <dc:creator/>
  <cp:keywords/>
  <dcterms:created xsi:type="dcterms:W3CDTF">2026-09-13T14:45:36Z</dcterms:created>
  <dcterms:modified xsi:type="dcterms:W3CDTF">2026-09-13T14:45:36Z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