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93CD" w14:textId="7453CCF8" w:rsidR="005E74BE" w:rsidRDefault="00000000">
      <w:pPr>
        <w:spacing w:before="1440"/>
        <w:jc w:val="center"/>
      </w:pPr>
      <w:r>
        <w:rPr>
          <w:color w:val="888888"/>
        </w:rPr>
        <w:t xml:space="preserve">Formation Data </w:t>
      </w:r>
      <w:r w:rsidR="00EE6C9A">
        <w:rPr>
          <w:color w:val="888888"/>
        </w:rPr>
        <w:t>Analyste</w:t>
      </w:r>
      <w:r>
        <w:rPr>
          <w:color w:val="888888"/>
        </w:rPr>
        <w:t xml:space="preserve"> — Simplon</w:t>
      </w:r>
    </w:p>
    <w:p w14:paraId="0A9C93CE" w14:textId="77777777" w:rsidR="005E74BE" w:rsidRDefault="00000000">
      <w:pPr>
        <w:spacing w:before="200"/>
        <w:jc w:val="center"/>
      </w:pPr>
      <w:r>
        <w:rPr>
          <w:color w:val="888888"/>
        </w:rPr>
        <w:t>Projet Fil Rouge 2025</w:t>
      </w:r>
    </w:p>
    <w:p w14:paraId="0A9C93CF" w14:textId="77777777" w:rsidR="005E74BE" w:rsidRDefault="00000000">
      <w:pPr>
        <w:spacing w:before="720" w:after="120"/>
        <w:jc w:val="center"/>
      </w:pPr>
      <w:r>
        <w:rPr>
          <w:sz w:val="72"/>
          <w:szCs w:val="72"/>
        </w:rPr>
        <w:t>🧬</w:t>
      </w:r>
    </w:p>
    <w:p w14:paraId="0A9C93D0" w14:textId="77777777" w:rsidR="005E74BE" w:rsidRDefault="00000000">
      <w:pPr>
        <w:jc w:val="center"/>
      </w:pPr>
      <w:r>
        <w:rPr>
          <w:b/>
          <w:bCs/>
          <w:color w:val="0A1628"/>
          <w:sz w:val="60"/>
          <w:szCs w:val="60"/>
        </w:rPr>
        <w:t>OncoBio Decision Analytics</w:t>
      </w:r>
    </w:p>
    <w:p w14:paraId="0A9C93D1" w14:textId="77777777" w:rsidR="005E74BE" w:rsidRDefault="00000000">
      <w:pPr>
        <w:spacing w:before="160"/>
        <w:jc w:val="center"/>
      </w:pPr>
      <w:r>
        <w:rPr>
          <w:b/>
          <w:bCs/>
          <w:color w:val="C0392B"/>
          <w:sz w:val="30"/>
          <w:szCs w:val="30"/>
        </w:rPr>
        <w:t>Analyse décisionnelle des biomarqueurs associés au cancer</w:t>
      </w:r>
    </w:p>
    <w:p w14:paraId="0A9C93D2" w14:textId="77777777" w:rsidR="005E74BE" w:rsidRDefault="00000000">
      <w:pPr>
        <w:spacing w:before="80"/>
        <w:jc w:val="center"/>
      </w:pPr>
      <w:r>
        <w:rPr>
          <w:b/>
          <w:bCs/>
          <w:color w:val="C0392B"/>
          <w:sz w:val="26"/>
          <w:szCs w:val="26"/>
        </w:rPr>
        <w:t>à partir de données cliniques et biologiques</w:t>
      </w:r>
    </w:p>
    <w:p w14:paraId="0A9C93D3" w14:textId="77777777" w:rsidR="005E74BE" w:rsidRDefault="005E74BE">
      <w:pPr>
        <w:pBdr>
          <w:top w:val="single" w:sz="4" w:space="1" w:color="CCCCCC"/>
          <w:bottom w:val="single" w:sz="4" w:space="1" w:color="CCCCCC"/>
        </w:pBdr>
        <w:spacing w:before="720"/>
        <w:jc w:val="center"/>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5"/>
        <w:gridCol w:w="4781"/>
      </w:tblGrid>
      <w:tr w:rsidR="005E74BE" w14:paraId="0A9C93D8" w14:textId="77777777">
        <w:tblPrEx>
          <w:tblCellMar>
            <w:top w:w="0" w:type="dxa"/>
            <w:bottom w:w="0" w:type="dxa"/>
          </w:tblCellMar>
        </w:tblPrEx>
        <w:tc>
          <w:tcPr>
            <w:tcW w:w="0" w:type="auto"/>
            <w:tcMar>
              <w:top w:w="100" w:type="dxa"/>
              <w:left w:w="150" w:type="dxa"/>
              <w:bottom w:w="100" w:type="dxa"/>
              <w:right w:w="150" w:type="dxa"/>
            </w:tcMar>
          </w:tcPr>
          <w:p w14:paraId="0A9C93D4" w14:textId="77777777" w:rsidR="005E74BE" w:rsidRDefault="00000000">
            <w:pPr>
              <w:spacing w:before="200" w:after="60"/>
              <w:jc w:val="center"/>
            </w:pPr>
            <w:r>
              <w:rPr>
                <w:color w:val="888888"/>
                <w:sz w:val="20"/>
                <w:szCs w:val="20"/>
              </w:rPr>
              <w:t>Réalisé par</w:t>
            </w:r>
          </w:p>
          <w:p w14:paraId="0A9C93D5" w14:textId="5B8A1149" w:rsidR="005E74BE" w:rsidRPr="0058442F" w:rsidRDefault="00EE6C9A">
            <w:pPr>
              <w:jc w:val="center"/>
              <w:rPr>
                <w:b/>
                <w:bCs/>
              </w:rPr>
            </w:pPr>
            <w:r w:rsidRPr="0058442F">
              <w:rPr>
                <w:b/>
                <w:bCs/>
                <w:sz w:val="28"/>
                <w:szCs w:val="28"/>
              </w:rPr>
              <w:t>MOURID Leila</w:t>
            </w:r>
          </w:p>
        </w:tc>
        <w:tc>
          <w:tcPr>
            <w:tcW w:w="0" w:type="auto"/>
            <w:tcMar>
              <w:top w:w="100" w:type="dxa"/>
              <w:left w:w="150" w:type="dxa"/>
              <w:bottom w:w="100" w:type="dxa"/>
              <w:right w:w="150" w:type="dxa"/>
            </w:tcMar>
          </w:tcPr>
          <w:p w14:paraId="0A9C93D6" w14:textId="5E1BD636" w:rsidR="005E74BE" w:rsidRDefault="00000000">
            <w:pPr>
              <w:spacing w:before="200" w:after="60"/>
              <w:jc w:val="center"/>
            </w:pPr>
            <w:r>
              <w:rPr>
                <w:color w:val="888888"/>
                <w:sz w:val="20"/>
                <w:szCs w:val="20"/>
              </w:rPr>
              <w:t>Encadrant</w:t>
            </w:r>
          </w:p>
          <w:p w14:paraId="0A9C93D7" w14:textId="11C77868" w:rsidR="005E74BE" w:rsidRDefault="0058442F">
            <w:pPr>
              <w:jc w:val="center"/>
            </w:pPr>
            <w:r>
              <w:rPr>
                <w:b/>
                <w:bCs/>
                <w:color w:val="0A1628"/>
                <w:sz w:val="26"/>
                <w:szCs w:val="26"/>
              </w:rPr>
              <w:t>AMMANI Yassine</w:t>
            </w:r>
            <w:r w:rsidR="00EE6C9A">
              <w:rPr>
                <w:b/>
                <w:bCs/>
                <w:color w:val="0A1628"/>
                <w:sz w:val="26"/>
                <w:szCs w:val="26"/>
              </w:rPr>
              <w:t xml:space="preserve"> </w:t>
            </w:r>
          </w:p>
        </w:tc>
      </w:tr>
    </w:tbl>
    <w:p w14:paraId="0A9C93D9" w14:textId="6AD9A685" w:rsidR="005E74BE" w:rsidRDefault="00000000">
      <w:pPr>
        <w:spacing w:before="600"/>
        <w:jc w:val="center"/>
      </w:pPr>
      <w:r>
        <w:rPr>
          <w:color w:val="888888"/>
        </w:rPr>
        <w:t>Année 202</w:t>
      </w:r>
      <w:r w:rsidR="0058442F">
        <w:rPr>
          <w:color w:val="888888"/>
        </w:rPr>
        <w:t>6</w:t>
      </w:r>
    </w:p>
    <w:p w14:paraId="0A9C93DA" w14:textId="77777777" w:rsidR="005E74BE" w:rsidRDefault="00000000">
      <w:r>
        <w:br w:type="page"/>
      </w:r>
    </w:p>
    <w:p w14:paraId="0A9C93DB" w14:textId="77777777" w:rsidR="005E74BE" w:rsidRDefault="00000000">
      <w:pPr>
        <w:pStyle w:val="Titre1"/>
      </w:pPr>
      <w:bookmarkStart w:id="0" w:name="_Toc226291200"/>
      <w:r>
        <w:lastRenderedPageBreak/>
        <w:t>Résumé</w:t>
      </w:r>
      <w:bookmarkEnd w:id="0"/>
    </w:p>
    <w:tbl>
      <w:tblPr>
        <w:tblW w:w="9360" w:type="dxa"/>
        <w:tblBorders>
          <w:top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E74BE" w14:paraId="0A9C93DF" w14:textId="77777777">
        <w:tblPrEx>
          <w:tblCellMar>
            <w:top w:w="0" w:type="dxa"/>
            <w:bottom w:w="0" w:type="dxa"/>
          </w:tblCellMar>
        </w:tblPrEx>
        <w:tc>
          <w:tcPr>
            <w:tcW w:w="120" w:type="dxa"/>
            <w:tcBorders>
              <w:left w:val="single" w:sz="12" w:space="0" w:color="2980B9"/>
            </w:tcBorders>
            <w:shd w:val="clear" w:color="auto" w:fill="EBF5FB"/>
          </w:tcPr>
          <w:p w14:paraId="0A9C93DC" w14:textId="77777777" w:rsidR="005E74BE" w:rsidRDefault="005E74BE"/>
        </w:tc>
        <w:tc>
          <w:tcPr>
            <w:tcW w:w="9240" w:type="dxa"/>
            <w:shd w:val="clear" w:color="auto" w:fill="EBF5FB"/>
            <w:tcMar>
              <w:top w:w="120" w:type="dxa"/>
              <w:left w:w="200" w:type="dxa"/>
              <w:bottom w:w="120" w:type="dxa"/>
              <w:right w:w="200" w:type="dxa"/>
            </w:tcMar>
          </w:tcPr>
          <w:p w14:paraId="0A9C93DD" w14:textId="2E7A3767" w:rsidR="005E74BE" w:rsidRDefault="00000000">
            <w:pPr>
              <w:spacing w:after="60"/>
            </w:pPr>
            <w:r>
              <w:rPr>
                <w:b/>
                <w:bCs/>
                <w:color w:val="2980B9"/>
              </w:rPr>
              <w:t xml:space="preserve">Résumé </w:t>
            </w:r>
          </w:p>
          <w:p w14:paraId="0A9C93DE" w14:textId="370424EE" w:rsidR="005E74BE" w:rsidRDefault="00000000">
            <w:pPr>
              <w:spacing w:line="264" w:lineRule="auto"/>
              <w:jc w:val="both"/>
            </w:pPr>
            <w:r>
              <w:rPr>
                <w:color w:val="333333"/>
              </w:rPr>
              <w:t xml:space="preserve">Ce rapport présente le projet OncoBio Decision Analytics, réalisé dans le cadre de la formation Data </w:t>
            </w:r>
            <w:r w:rsidR="009F4E62">
              <w:rPr>
                <w:color w:val="333333"/>
              </w:rPr>
              <w:t>Analyste</w:t>
            </w:r>
            <w:r>
              <w:rPr>
                <w:color w:val="333333"/>
              </w:rPr>
              <w:t xml:space="preserve"> de Simplon. L'objectif principal est de construire une chaîne de traitement de données complète permettant d'analyser des données cliniques et biologiques liées au cancer — cancer du sein et cancer du poumon — afin de produire des indicateurs décisionnels exploitables par les professionnels de santé et les équipes de recherche. Le projet mobilise des compétences en ingestion de données multi-sources, nettoyage et préparation (Python/Pandas), feature engineering, modélisation relationnelle (PostgreSQL, schéma en étoile), analyse statistique et de survie (Kaplan-Meier via lifelines), et visualisation décisionnelle (Power BI). Sur une cohorte de 5 252 patients, le taux de mortalité global est de 28,26 %. Les courbes de survie Kaplan-Meier confirment que les patients High Risk ont une probabilité de survie significativement inférieure aux patients Low Risk. Le dashboard Power BI en trois pages offre une interface interactive permettant l'exploration et l'aide à la décision médicale.</w:t>
            </w:r>
          </w:p>
        </w:tc>
      </w:tr>
    </w:tbl>
    <w:p w14:paraId="0A9C93E0" w14:textId="77777777" w:rsidR="005E74BE" w:rsidRDefault="005E74BE"/>
    <w:tbl>
      <w:tblPr>
        <w:tblW w:w="9360" w:type="dxa"/>
        <w:tblBorders>
          <w:top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E74BE" w:rsidRPr="00EE6C9A" w14:paraId="0A9C93E4" w14:textId="77777777">
        <w:tblPrEx>
          <w:tblCellMar>
            <w:top w:w="0" w:type="dxa"/>
            <w:bottom w:w="0" w:type="dxa"/>
          </w:tblCellMar>
        </w:tblPrEx>
        <w:tc>
          <w:tcPr>
            <w:tcW w:w="120" w:type="dxa"/>
            <w:tcBorders>
              <w:left w:val="single" w:sz="12" w:space="0" w:color="1ABC9C"/>
            </w:tcBorders>
            <w:shd w:val="clear" w:color="auto" w:fill="E8F8F5"/>
          </w:tcPr>
          <w:p w14:paraId="0A9C93E1" w14:textId="77777777" w:rsidR="005E74BE" w:rsidRDefault="005E74BE"/>
        </w:tc>
        <w:tc>
          <w:tcPr>
            <w:tcW w:w="9240" w:type="dxa"/>
            <w:shd w:val="clear" w:color="auto" w:fill="E8F8F5"/>
            <w:tcMar>
              <w:top w:w="120" w:type="dxa"/>
              <w:left w:w="200" w:type="dxa"/>
              <w:bottom w:w="120" w:type="dxa"/>
              <w:right w:w="200" w:type="dxa"/>
            </w:tcMar>
          </w:tcPr>
          <w:p w14:paraId="0A9C93E2" w14:textId="677418F6" w:rsidR="005E74BE" w:rsidRPr="00EE6C9A" w:rsidRDefault="00000000">
            <w:pPr>
              <w:spacing w:after="60"/>
              <w:rPr>
                <w:lang w:val="en-US"/>
              </w:rPr>
            </w:pPr>
            <w:r w:rsidRPr="00EE6C9A">
              <w:rPr>
                <w:b/>
                <w:bCs/>
                <w:color w:val="1ABC9C"/>
                <w:lang w:val="en-US"/>
              </w:rPr>
              <w:t xml:space="preserve">Abstract </w:t>
            </w:r>
          </w:p>
          <w:p w14:paraId="0A9C93E3" w14:textId="77777777" w:rsidR="005E74BE" w:rsidRPr="00EE6C9A" w:rsidRDefault="00000000">
            <w:pPr>
              <w:spacing w:line="264" w:lineRule="auto"/>
              <w:jc w:val="both"/>
              <w:rPr>
                <w:lang w:val="en-US"/>
              </w:rPr>
            </w:pPr>
            <w:r w:rsidRPr="00EE6C9A">
              <w:rPr>
                <w:color w:val="333333"/>
                <w:lang w:val="en-US"/>
              </w:rPr>
              <w:t>This report presents the OncoBio Decision Analytics project, completed as part of the Simplon Data Analyst training program. The main objective is to build a complete data processing pipeline to analyze clinical and biological data related to cancer — breast and lung cancer — in order to produce actionable decision support indicators for healthcare professionals and research teams. The project leverages skills in multi-source data ingestion, cleaning and preparation (Python/Pandas), feature engineering, relational modelling (PostgreSQL, star schema), statistical and survival analysis (Kaplan-Meier via lifelines), and decision-making visualization (Power BI). Across a cohort of 5,252 patients, the overall mortality rate is 28.26%. Kaplan-Meier survival curves confirm that High Risk patients have significantly lower survival probability than Low Risk patients. The three-page Power BI dashboard provides an interactive interface for medical decision support.</w:t>
            </w:r>
          </w:p>
        </w:tc>
      </w:tr>
    </w:tbl>
    <w:p w14:paraId="0A9C93E5" w14:textId="77777777" w:rsidR="005E74BE" w:rsidRPr="00EE6C9A" w:rsidRDefault="005E74BE">
      <w:pPr>
        <w:rPr>
          <w:lang w:val="en-US"/>
        </w:rPr>
      </w:pPr>
    </w:p>
    <w:p w14:paraId="0A9C93E6" w14:textId="77777777" w:rsidR="005E74BE" w:rsidRDefault="00000000">
      <w:pPr>
        <w:spacing w:before="120" w:after="160" w:line="276" w:lineRule="auto"/>
      </w:pPr>
      <w:r>
        <w:rPr>
          <w:b/>
          <w:bCs/>
          <w:color w:val="0A1628"/>
        </w:rPr>
        <w:t xml:space="preserve">Mots-clés : </w:t>
      </w:r>
      <w:r>
        <w:rPr>
          <w:color w:val="333333"/>
        </w:rPr>
        <w:t>Data Analytics, Biomarqueurs, Cancer, Pipeline de données, Kaplan-Meier, PostgreSQL, Star Schema, Power BI, Aide à la décision médicale, Python, Pandas, lifelines.</w:t>
      </w:r>
    </w:p>
    <w:p w14:paraId="0A9C93E7" w14:textId="77777777" w:rsidR="005E74BE" w:rsidRDefault="00000000">
      <w:r>
        <w:br w:type="page"/>
      </w:r>
    </w:p>
    <w:p w14:paraId="0A9C93E8" w14:textId="77777777" w:rsidR="005E74BE" w:rsidRDefault="00000000">
      <w:pPr>
        <w:pStyle w:val="Titre1"/>
      </w:pPr>
      <w:bookmarkStart w:id="1" w:name="_Toc226291201"/>
      <w:r>
        <w:lastRenderedPageBreak/>
        <w:t>Remerciements</w:t>
      </w:r>
      <w:bookmarkEnd w:id="1"/>
    </w:p>
    <w:p w14:paraId="0A9C93E9" w14:textId="77777777" w:rsidR="005E74BE" w:rsidRDefault="00000000">
      <w:pPr>
        <w:spacing w:before="120" w:after="160" w:line="276" w:lineRule="auto"/>
        <w:jc w:val="both"/>
      </w:pPr>
      <w:r>
        <w:rPr>
          <w:color w:val="333333"/>
        </w:rPr>
        <w:t>Je tiens à exprimer ma profonde gratitude envers toutes les personnes qui ont contribué, de près ou de loin, à la réalisation de ce projet.</w:t>
      </w:r>
    </w:p>
    <w:p w14:paraId="0A9C93EA" w14:textId="0FC9AFC8" w:rsidR="005E74BE" w:rsidRDefault="00000000">
      <w:pPr>
        <w:spacing w:before="120" w:after="160" w:line="276" w:lineRule="auto"/>
        <w:jc w:val="both"/>
      </w:pPr>
      <w:r>
        <w:rPr>
          <w:color w:val="333333"/>
        </w:rPr>
        <w:t xml:space="preserve">En premier lieu, mes remerciements les plus sincères vont à </w:t>
      </w:r>
      <w:r>
        <w:rPr>
          <w:b/>
          <w:bCs/>
          <w:color w:val="0A1628"/>
        </w:rPr>
        <w:t>M</w:t>
      </w:r>
      <w:r w:rsidR="00EE146C">
        <w:rPr>
          <w:b/>
          <w:bCs/>
          <w:color w:val="0A1628"/>
        </w:rPr>
        <w:t>onsieur</w:t>
      </w:r>
      <w:r>
        <w:rPr>
          <w:b/>
          <w:bCs/>
          <w:color w:val="0A1628"/>
        </w:rPr>
        <w:t xml:space="preserve"> </w:t>
      </w:r>
      <w:r w:rsidR="00EE146C">
        <w:rPr>
          <w:b/>
          <w:bCs/>
          <w:color w:val="0A1628"/>
        </w:rPr>
        <w:t>AMMANI Yassine</w:t>
      </w:r>
      <w:r>
        <w:rPr>
          <w:color w:val="333333"/>
        </w:rPr>
        <w:t>, encadrant de ce projet, pour ses conseils avisés, sa disponibilité et sa bienveillance tout au long de cette formation. Son expertise et ses retours constructifs ont été déterminants dans la structuration et la qualité du travail produit.</w:t>
      </w:r>
    </w:p>
    <w:p w14:paraId="0A9C93EB" w14:textId="77777777" w:rsidR="005E74BE" w:rsidRDefault="00000000">
      <w:pPr>
        <w:spacing w:before="120" w:after="160" w:line="276" w:lineRule="auto"/>
        <w:jc w:val="both"/>
      </w:pPr>
      <w:r>
        <w:rPr>
          <w:color w:val="333333"/>
        </w:rPr>
        <w:t xml:space="preserve">Je remercie également l'équipe pédagogique de </w:t>
      </w:r>
      <w:r>
        <w:rPr>
          <w:b/>
          <w:bCs/>
          <w:color w:val="0A1628"/>
        </w:rPr>
        <w:t>Simplon</w:t>
      </w:r>
      <w:r>
        <w:rPr>
          <w:color w:val="333333"/>
        </w:rPr>
        <w:t>, pour la qualité de la formation dispensée, les ressources mises à disposition et l'accompagnement constant tout au long de cette année. Cette formation a été une véritable opportunité de développer des compétences techniques solides et une vision métier orientée vers la donnée.</w:t>
      </w:r>
    </w:p>
    <w:p w14:paraId="0A9C93EC" w14:textId="77777777" w:rsidR="005E74BE" w:rsidRDefault="00000000">
      <w:pPr>
        <w:spacing w:before="120" w:after="160" w:line="276" w:lineRule="auto"/>
        <w:jc w:val="both"/>
      </w:pPr>
      <w:r>
        <w:rPr>
          <w:color w:val="333333"/>
        </w:rPr>
        <w:t xml:space="preserve">Ma gratitude va aussi aux organismes qui ont rendu ce projet possible grâce à la mise à disposition de données ouvertes : le dépôt public </w:t>
      </w:r>
      <w:r>
        <w:rPr>
          <w:b/>
          <w:bCs/>
          <w:color w:val="0A1628"/>
        </w:rPr>
        <w:t>Zenodo</w:t>
      </w:r>
      <w:r>
        <w:rPr>
          <w:color w:val="333333"/>
        </w:rPr>
        <w:t xml:space="preserve"> pour le dataset SEER de cancer du sein, le </w:t>
      </w:r>
      <w:r>
        <w:rPr>
          <w:b/>
          <w:bCs/>
          <w:color w:val="0A1628"/>
        </w:rPr>
        <w:t>North Central Cancer Treatment Group (NCCTG)</w:t>
      </w:r>
      <w:r>
        <w:rPr>
          <w:color w:val="333333"/>
        </w:rPr>
        <w:t xml:space="preserve"> pour le dataset de cancer du poumon, et le </w:t>
      </w:r>
      <w:r>
        <w:rPr>
          <w:b/>
          <w:bCs/>
          <w:color w:val="0A1628"/>
        </w:rPr>
        <w:t>National Center for Biotechnology Information (NCBI)</w:t>
      </w:r>
      <w:r>
        <w:rPr>
          <w:color w:val="333333"/>
        </w:rPr>
        <w:t xml:space="preserve"> pour l'API publique Entrez permettant l'extraction automatique des biomarqueurs génomiques.</w:t>
      </w:r>
    </w:p>
    <w:p w14:paraId="0A9C93ED" w14:textId="77777777" w:rsidR="005E74BE" w:rsidRDefault="00000000">
      <w:pPr>
        <w:spacing w:before="120" w:after="160" w:line="276" w:lineRule="auto"/>
        <w:jc w:val="both"/>
      </w:pPr>
      <w:r>
        <w:rPr>
          <w:color w:val="333333"/>
        </w:rPr>
        <w:t>Enfin, je remercie mes camarades de promotion pour les échanges enrichissants, l'entraide et la dynamique collaborative qui ont rendu cette expérience encore plus formatrice.</w:t>
      </w:r>
    </w:p>
    <w:p w14:paraId="0A9C93EE" w14:textId="77777777" w:rsidR="005E74BE" w:rsidRDefault="00000000">
      <w:r>
        <w:br w:type="page"/>
      </w:r>
    </w:p>
    <w:p w14:paraId="0A9C93EF" w14:textId="77777777" w:rsidR="005E74BE" w:rsidRDefault="00000000">
      <w:pPr>
        <w:pStyle w:val="Titre1"/>
      </w:pPr>
      <w:bookmarkStart w:id="2" w:name="_Toc226291202"/>
      <w:r>
        <w:lastRenderedPageBreak/>
        <w:t>Table des matières</w:t>
      </w:r>
      <w:bookmarkEnd w:id="2"/>
    </w:p>
    <w:sdt>
      <w:sdtPr>
        <w:alias w:val="Table des matières"/>
        <w:id w:val="-1710492835"/>
      </w:sdtPr>
      <w:sdtContent>
        <w:p w14:paraId="7834BEF1" w14:textId="602425B6" w:rsidR="00EE6C9A" w:rsidRDefault="00000000">
          <w:pPr>
            <w:pStyle w:val="TM1"/>
            <w:tabs>
              <w:tab w:val="right" w:leader="dot" w:pos="9196"/>
            </w:tabs>
            <w:rPr>
              <w:noProof/>
            </w:rPr>
          </w:pPr>
          <w:r>
            <w:fldChar w:fldCharType="begin"/>
          </w:r>
          <w:r>
            <w:instrText>TOC \h \o "1-3" \t "Heading1,1,Heading2,2,Heading3,3"</w:instrText>
          </w:r>
          <w:r>
            <w:fldChar w:fldCharType="separate"/>
          </w:r>
          <w:hyperlink w:anchor="_Toc226291200" w:history="1">
            <w:r w:rsidR="00EE6C9A" w:rsidRPr="00CE3C62">
              <w:rPr>
                <w:rStyle w:val="Lienhypertexte"/>
                <w:noProof/>
              </w:rPr>
              <w:t>Résumé</w:t>
            </w:r>
            <w:r w:rsidR="00EE6C9A">
              <w:rPr>
                <w:noProof/>
              </w:rPr>
              <w:tab/>
            </w:r>
            <w:r w:rsidR="00EE6C9A">
              <w:rPr>
                <w:noProof/>
              </w:rPr>
              <w:fldChar w:fldCharType="begin"/>
            </w:r>
            <w:r w:rsidR="00EE6C9A">
              <w:rPr>
                <w:noProof/>
              </w:rPr>
              <w:instrText xml:space="preserve"> PAGEREF _Toc226291200 \h </w:instrText>
            </w:r>
            <w:r w:rsidR="00EE6C9A">
              <w:rPr>
                <w:noProof/>
              </w:rPr>
            </w:r>
            <w:r w:rsidR="00EE6C9A">
              <w:rPr>
                <w:noProof/>
              </w:rPr>
              <w:fldChar w:fldCharType="separate"/>
            </w:r>
            <w:r w:rsidR="00EE6C9A">
              <w:rPr>
                <w:noProof/>
              </w:rPr>
              <w:t>2</w:t>
            </w:r>
            <w:r w:rsidR="00EE6C9A">
              <w:rPr>
                <w:noProof/>
              </w:rPr>
              <w:fldChar w:fldCharType="end"/>
            </w:r>
          </w:hyperlink>
        </w:p>
        <w:p w14:paraId="1A8E08EF" w14:textId="34B4B14E" w:rsidR="00EE6C9A" w:rsidRDefault="00EE6C9A">
          <w:pPr>
            <w:pStyle w:val="TM1"/>
            <w:tabs>
              <w:tab w:val="right" w:leader="dot" w:pos="9196"/>
            </w:tabs>
            <w:rPr>
              <w:noProof/>
            </w:rPr>
          </w:pPr>
          <w:hyperlink w:anchor="_Toc226291201" w:history="1">
            <w:r w:rsidRPr="00CE3C62">
              <w:rPr>
                <w:rStyle w:val="Lienhypertexte"/>
                <w:noProof/>
              </w:rPr>
              <w:t>Remerciements</w:t>
            </w:r>
            <w:r>
              <w:rPr>
                <w:noProof/>
              </w:rPr>
              <w:tab/>
            </w:r>
            <w:r>
              <w:rPr>
                <w:noProof/>
              </w:rPr>
              <w:fldChar w:fldCharType="begin"/>
            </w:r>
            <w:r>
              <w:rPr>
                <w:noProof/>
              </w:rPr>
              <w:instrText xml:space="preserve"> PAGEREF _Toc226291201 \h </w:instrText>
            </w:r>
            <w:r>
              <w:rPr>
                <w:noProof/>
              </w:rPr>
            </w:r>
            <w:r>
              <w:rPr>
                <w:noProof/>
              </w:rPr>
              <w:fldChar w:fldCharType="separate"/>
            </w:r>
            <w:r>
              <w:rPr>
                <w:noProof/>
              </w:rPr>
              <w:t>3</w:t>
            </w:r>
            <w:r>
              <w:rPr>
                <w:noProof/>
              </w:rPr>
              <w:fldChar w:fldCharType="end"/>
            </w:r>
          </w:hyperlink>
        </w:p>
        <w:p w14:paraId="55F97A16" w14:textId="6E3F53F1" w:rsidR="00EE6C9A" w:rsidRDefault="00EE6C9A">
          <w:pPr>
            <w:pStyle w:val="TM1"/>
            <w:tabs>
              <w:tab w:val="right" w:leader="dot" w:pos="9196"/>
            </w:tabs>
            <w:rPr>
              <w:noProof/>
            </w:rPr>
          </w:pPr>
          <w:hyperlink w:anchor="_Toc226291202" w:history="1">
            <w:r w:rsidRPr="00CE3C62">
              <w:rPr>
                <w:rStyle w:val="Lienhypertexte"/>
                <w:noProof/>
              </w:rPr>
              <w:t>Table des matières</w:t>
            </w:r>
            <w:r>
              <w:rPr>
                <w:noProof/>
              </w:rPr>
              <w:tab/>
            </w:r>
            <w:r>
              <w:rPr>
                <w:noProof/>
              </w:rPr>
              <w:fldChar w:fldCharType="begin"/>
            </w:r>
            <w:r>
              <w:rPr>
                <w:noProof/>
              </w:rPr>
              <w:instrText xml:space="preserve"> PAGEREF _Toc226291202 \h </w:instrText>
            </w:r>
            <w:r>
              <w:rPr>
                <w:noProof/>
              </w:rPr>
            </w:r>
            <w:r>
              <w:rPr>
                <w:noProof/>
              </w:rPr>
              <w:fldChar w:fldCharType="separate"/>
            </w:r>
            <w:r>
              <w:rPr>
                <w:noProof/>
              </w:rPr>
              <w:t>4</w:t>
            </w:r>
            <w:r>
              <w:rPr>
                <w:noProof/>
              </w:rPr>
              <w:fldChar w:fldCharType="end"/>
            </w:r>
          </w:hyperlink>
        </w:p>
        <w:p w14:paraId="5ECD7FD9" w14:textId="7FDBF97C" w:rsidR="00EE6C9A" w:rsidRDefault="00EE6C9A">
          <w:pPr>
            <w:pStyle w:val="TM1"/>
            <w:tabs>
              <w:tab w:val="right" w:leader="dot" w:pos="9196"/>
            </w:tabs>
            <w:rPr>
              <w:noProof/>
            </w:rPr>
          </w:pPr>
          <w:hyperlink w:anchor="_Toc226291203" w:history="1">
            <w:r w:rsidRPr="00CE3C62">
              <w:rPr>
                <w:rStyle w:val="Lienhypertexte"/>
                <w:noProof/>
              </w:rPr>
              <w:t>1. Introduction</w:t>
            </w:r>
            <w:r>
              <w:rPr>
                <w:noProof/>
              </w:rPr>
              <w:tab/>
            </w:r>
            <w:r>
              <w:rPr>
                <w:noProof/>
              </w:rPr>
              <w:fldChar w:fldCharType="begin"/>
            </w:r>
            <w:r>
              <w:rPr>
                <w:noProof/>
              </w:rPr>
              <w:instrText xml:space="preserve"> PAGEREF _Toc226291203 \h </w:instrText>
            </w:r>
            <w:r>
              <w:rPr>
                <w:noProof/>
              </w:rPr>
            </w:r>
            <w:r>
              <w:rPr>
                <w:noProof/>
              </w:rPr>
              <w:fldChar w:fldCharType="separate"/>
            </w:r>
            <w:r>
              <w:rPr>
                <w:noProof/>
              </w:rPr>
              <w:t>6</w:t>
            </w:r>
            <w:r>
              <w:rPr>
                <w:noProof/>
              </w:rPr>
              <w:fldChar w:fldCharType="end"/>
            </w:r>
          </w:hyperlink>
        </w:p>
        <w:p w14:paraId="0CAE8A37" w14:textId="37082D45" w:rsidR="00EE6C9A" w:rsidRDefault="00EE6C9A">
          <w:pPr>
            <w:pStyle w:val="TM2"/>
            <w:tabs>
              <w:tab w:val="right" w:leader="dot" w:pos="9196"/>
            </w:tabs>
            <w:rPr>
              <w:noProof/>
            </w:rPr>
          </w:pPr>
          <w:hyperlink w:anchor="_Toc226291204" w:history="1">
            <w:r w:rsidRPr="00CE3C62">
              <w:rPr>
                <w:rStyle w:val="Lienhypertexte"/>
                <w:noProof/>
              </w:rPr>
              <w:t>1.1 Contexte général</w:t>
            </w:r>
            <w:r>
              <w:rPr>
                <w:noProof/>
              </w:rPr>
              <w:tab/>
            </w:r>
            <w:r>
              <w:rPr>
                <w:noProof/>
              </w:rPr>
              <w:fldChar w:fldCharType="begin"/>
            </w:r>
            <w:r>
              <w:rPr>
                <w:noProof/>
              </w:rPr>
              <w:instrText xml:space="preserve"> PAGEREF _Toc226291204 \h </w:instrText>
            </w:r>
            <w:r>
              <w:rPr>
                <w:noProof/>
              </w:rPr>
            </w:r>
            <w:r>
              <w:rPr>
                <w:noProof/>
              </w:rPr>
              <w:fldChar w:fldCharType="separate"/>
            </w:r>
            <w:r>
              <w:rPr>
                <w:noProof/>
              </w:rPr>
              <w:t>6</w:t>
            </w:r>
            <w:r>
              <w:rPr>
                <w:noProof/>
              </w:rPr>
              <w:fldChar w:fldCharType="end"/>
            </w:r>
          </w:hyperlink>
        </w:p>
        <w:p w14:paraId="1EF9266A" w14:textId="3665EF2F" w:rsidR="00EE6C9A" w:rsidRDefault="00EE6C9A">
          <w:pPr>
            <w:pStyle w:val="TM2"/>
            <w:tabs>
              <w:tab w:val="right" w:leader="dot" w:pos="9196"/>
            </w:tabs>
            <w:rPr>
              <w:noProof/>
            </w:rPr>
          </w:pPr>
          <w:hyperlink w:anchor="_Toc226291205" w:history="1">
            <w:r w:rsidRPr="00CE3C62">
              <w:rPr>
                <w:rStyle w:val="Lienhypertexte"/>
                <w:noProof/>
              </w:rPr>
              <w:t>1.2 Problématique</w:t>
            </w:r>
            <w:r>
              <w:rPr>
                <w:noProof/>
              </w:rPr>
              <w:tab/>
            </w:r>
            <w:r>
              <w:rPr>
                <w:noProof/>
              </w:rPr>
              <w:fldChar w:fldCharType="begin"/>
            </w:r>
            <w:r>
              <w:rPr>
                <w:noProof/>
              </w:rPr>
              <w:instrText xml:space="preserve"> PAGEREF _Toc226291205 \h </w:instrText>
            </w:r>
            <w:r>
              <w:rPr>
                <w:noProof/>
              </w:rPr>
            </w:r>
            <w:r>
              <w:rPr>
                <w:noProof/>
              </w:rPr>
              <w:fldChar w:fldCharType="separate"/>
            </w:r>
            <w:r>
              <w:rPr>
                <w:noProof/>
              </w:rPr>
              <w:t>6</w:t>
            </w:r>
            <w:r>
              <w:rPr>
                <w:noProof/>
              </w:rPr>
              <w:fldChar w:fldCharType="end"/>
            </w:r>
          </w:hyperlink>
        </w:p>
        <w:p w14:paraId="57438075" w14:textId="2EF6AF96" w:rsidR="00EE6C9A" w:rsidRDefault="00EE6C9A">
          <w:pPr>
            <w:pStyle w:val="TM2"/>
            <w:tabs>
              <w:tab w:val="right" w:leader="dot" w:pos="9196"/>
            </w:tabs>
            <w:rPr>
              <w:noProof/>
            </w:rPr>
          </w:pPr>
          <w:hyperlink w:anchor="_Toc226291206" w:history="1">
            <w:r w:rsidRPr="00CE3C62">
              <w:rPr>
                <w:rStyle w:val="Lienhypertexte"/>
                <w:noProof/>
              </w:rPr>
              <w:t>1.3 Objectifs du projet</w:t>
            </w:r>
            <w:r>
              <w:rPr>
                <w:noProof/>
              </w:rPr>
              <w:tab/>
            </w:r>
            <w:r>
              <w:rPr>
                <w:noProof/>
              </w:rPr>
              <w:fldChar w:fldCharType="begin"/>
            </w:r>
            <w:r>
              <w:rPr>
                <w:noProof/>
              </w:rPr>
              <w:instrText xml:space="preserve"> PAGEREF _Toc226291206 \h </w:instrText>
            </w:r>
            <w:r>
              <w:rPr>
                <w:noProof/>
              </w:rPr>
            </w:r>
            <w:r>
              <w:rPr>
                <w:noProof/>
              </w:rPr>
              <w:fldChar w:fldCharType="separate"/>
            </w:r>
            <w:r>
              <w:rPr>
                <w:noProof/>
              </w:rPr>
              <w:t>6</w:t>
            </w:r>
            <w:r>
              <w:rPr>
                <w:noProof/>
              </w:rPr>
              <w:fldChar w:fldCharType="end"/>
            </w:r>
          </w:hyperlink>
        </w:p>
        <w:p w14:paraId="53A3DB13" w14:textId="4127A925" w:rsidR="00EE6C9A" w:rsidRDefault="00EE6C9A">
          <w:pPr>
            <w:pStyle w:val="TM2"/>
            <w:tabs>
              <w:tab w:val="right" w:leader="dot" w:pos="9196"/>
            </w:tabs>
            <w:rPr>
              <w:noProof/>
            </w:rPr>
          </w:pPr>
          <w:hyperlink w:anchor="_Toc226291207" w:history="1">
            <w:r w:rsidRPr="00CE3C62">
              <w:rPr>
                <w:rStyle w:val="Lienhypertexte"/>
                <w:noProof/>
              </w:rPr>
              <w:t>1.4 Structure du rapport</w:t>
            </w:r>
            <w:r>
              <w:rPr>
                <w:noProof/>
              </w:rPr>
              <w:tab/>
            </w:r>
            <w:r>
              <w:rPr>
                <w:noProof/>
              </w:rPr>
              <w:fldChar w:fldCharType="begin"/>
            </w:r>
            <w:r>
              <w:rPr>
                <w:noProof/>
              </w:rPr>
              <w:instrText xml:space="preserve"> PAGEREF _Toc226291207 \h </w:instrText>
            </w:r>
            <w:r>
              <w:rPr>
                <w:noProof/>
              </w:rPr>
            </w:r>
            <w:r>
              <w:rPr>
                <w:noProof/>
              </w:rPr>
              <w:fldChar w:fldCharType="separate"/>
            </w:r>
            <w:r>
              <w:rPr>
                <w:noProof/>
              </w:rPr>
              <w:t>7</w:t>
            </w:r>
            <w:r>
              <w:rPr>
                <w:noProof/>
              </w:rPr>
              <w:fldChar w:fldCharType="end"/>
            </w:r>
          </w:hyperlink>
        </w:p>
        <w:p w14:paraId="5018482F" w14:textId="2FE9DDA5" w:rsidR="00EE6C9A" w:rsidRDefault="00EE6C9A">
          <w:pPr>
            <w:pStyle w:val="TM1"/>
            <w:tabs>
              <w:tab w:val="right" w:leader="dot" w:pos="9196"/>
            </w:tabs>
            <w:rPr>
              <w:noProof/>
            </w:rPr>
          </w:pPr>
          <w:hyperlink w:anchor="_Toc226291208" w:history="1">
            <w:r w:rsidRPr="00CE3C62">
              <w:rPr>
                <w:rStyle w:val="Lienhypertexte"/>
                <w:noProof/>
              </w:rPr>
              <w:t>2. Matériel et Méthodes</w:t>
            </w:r>
            <w:r>
              <w:rPr>
                <w:noProof/>
              </w:rPr>
              <w:tab/>
            </w:r>
            <w:r>
              <w:rPr>
                <w:noProof/>
              </w:rPr>
              <w:fldChar w:fldCharType="begin"/>
            </w:r>
            <w:r>
              <w:rPr>
                <w:noProof/>
              </w:rPr>
              <w:instrText xml:space="preserve"> PAGEREF _Toc226291208 \h </w:instrText>
            </w:r>
            <w:r>
              <w:rPr>
                <w:noProof/>
              </w:rPr>
            </w:r>
            <w:r>
              <w:rPr>
                <w:noProof/>
              </w:rPr>
              <w:fldChar w:fldCharType="separate"/>
            </w:r>
            <w:r>
              <w:rPr>
                <w:noProof/>
              </w:rPr>
              <w:t>8</w:t>
            </w:r>
            <w:r>
              <w:rPr>
                <w:noProof/>
              </w:rPr>
              <w:fldChar w:fldCharType="end"/>
            </w:r>
          </w:hyperlink>
        </w:p>
        <w:p w14:paraId="4E961C93" w14:textId="320C5D21" w:rsidR="00EE6C9A" w:rsidRDefault="00EE6C9A">
          <w:pPr>
            <w:pStyle w:val="TM2"/>
            <w:tabs>
              <w:tab w:val="right" w:leader="dot" w:pos="9196"/>
            </w:tabs>
            <w:rPr>
              <w:noProof/>
            </w:rPr>
          </w:pPr>
          <w:hyperlink w:anchor="_Toc226291209" w:history="1">
            <w:r w:rsidRPr="00CE3C62">
              <w:rPr>
                <w:rStyle w:val="Lienhypertexte"/>
                <w:noProof/>
              </w:rPr>
              <w:t>2.1 Sources de données</w:t>
            </w:r>
            <w:r>
              <w:rPr>
                <w:noProof/>
              </w:rPr>
              <w:tab/>
            </w:r>
            <w:r>
              <w:rPr>
                <w:noProof/>
              </w:rPr>
              <w:fldChar w:fldCharType="begin"/>
            </w:r>
            <w:r>
              <w:rPr>
                <w:noProof/>
              </w:rPr>
              <w:instrText xml:space="preserve"> PAGEREF _Toc226291209 \h </w:instrText>
            </w:r>
            <w:r>
              <w:rPr>
                <w:noProof/>
              </w:rPr>
            </w:r>
            <w:r>
              <w:rPr>
                <w:noProof/>
              </w:rPr>
              <w:fldChar w:fldCharType="separate"/>
            </w:r>
            <w:r>
              <w:rPr>
                <w:noProof/>
              </w:rPr>
              <w:t>8</w:t>
            </w:r>
            <w:r>
              <w:rPr>
                <w:noProof/>
              </w:rPr>
              <w:fldChar w:fldCharType="end"/>
            </w:r>
          </w:hyperlink>
        </w:p>
        <w:p w14:paraId="6FD303A6" w14:textId="5F9FCEAD" w:rsidR="00EE6C9A" w:rsidRDefault="00EE6C9A">
          <w:pPr>
            <w:pStyle w:val="TM3"/>
            <w:tabs>
              <w:tab w:val="right" w:leader="dot" w:pos="9196"/>
            </w:tabs>
            <w:rPr>
              <w:noProof/>
            </w:rPr>
          </w:pPr>
          <w:hyperlink w:anchor="_Toc226291210" w:history="1">
            <w:r w:rsidRPr="00CE3C62">
              <w:rPr>
                <w:rStyle w:val="Lienhypertexte"/>
                <w:noProof/>
              </w:rPr>
              <w:t>2.1.1 Dataset cancer du sein — SEER (Zenodo)</w:t>
            </w:r>
            <w:r>
              <w:rPr>
                <w:noProof/>
              </w:rPr>
              <w:tab/>
            </w:r>
            <w:r>
              <w:rPr>
                <w:noProof/>
              </w:rPr>
              <w:fldChar w:fldCharType="begin"/>
            </w:r>
            <w:r>
              <w:rPr>
                <w:noProof/>
              </w:rPr>
              <w:instrText xml:space="preserve"> PAGEREF _Toc226291210 \h </w:instrText>
            </w:r>
            <w:r>
              <w:rPr>
                <w:noProof/>
              </w:rPr>
            </w:r>
            <w:r>
              <w:rPr>
                <w:noProof/>
              </w:rPr>
              <w:fldChar w:fldCharType="separate"/>
            </w:r>
            <w:r>
              <w:rPr>
                <w:noProof/>
              </w:rPr>
              <w:t>8</w:t>
            </w:r>
            <w:r>
              <w:rPr>
                <w:noProof/>
              </w:rPr>
              <w:fldChar w:fldCharType="end"/>
            </w:r>
          </w:hyperlink>
        </w:p>
        <w:p w14:paraId="0D3FE5C1" w14:textId="7C2CD23A" w:rsidR="00EE6C9A" w:rsidRDefault="00EE6C9A">
          <w:pPr>
            <w:pStyle w:val="TM3"/>
            <w:tabs>
              <w:tab w:val="right" w:leader="dot" w:pos="9196"/>
            </w:tabs>
            <w:rPr>
              <w:noProof/>
            </w:rPr>
          </w:pPr>
          <w:hyperlink w:anchor="_Toc226291211" w:history="1">
            <w:r w:rsidRPr="00CE3C62">
              <w:rPr>
                <w:rStyle w:val="Lienhypertexte"/>
                <w:noProof/>
              </w:rPr>
              <w:t>2.1.2 Dataset cancer du poumon — NCCTG</w:t>
            </w:r>
            <w:r>
              <w:rPr>
                <w:noProof/>
              </w:rPr>
              <w:tab/>
            </w:r>
            <w:r>
              <w:rPr>
                <w:noProof/>
              </w:rPr>
              <w:fldChar w:fldCharType="begin"/>
            </w:r>
            <w:r>
              <w:rPr>
                <w:noProof/>
              </w:rPr>
              <w:instrText xml:space="preserve"> PAGEREF _Toc226291211 \h </w:instrText>
            </w:r>
            <w:r>
              <w:rPr>
                <w:noProof/>
              </w:rPr>
            </w:r>
            <w:r>
              <w:rPr>
                <w:noProof/>
              </w:rPr>
              <w:fldChar w:fldCharType="separate"/>
            </w:r>
            <w:r>
              <w:rPr>
                <w:noProof/>
              </w:rPr>
              <w:t>8</w:t>
            </w:r>
            <w:r>
              <w:rPr>
                <w:noProof/>
              </w:rPr>
              <w:fldChar w:fldCharType="end"/>
            </w:r>
          </w:hyperlink>
        </w:p>
        <w:p w14:paraId="675DC6B2" w14:textId="6BCD5CF4" w:rsidR="00EE6C9A" w:rsidRDefault="00EE6C9A">
          <w:pPr>
            <w:pStyle w:val="TM3"/>
            <w:tabs>
              <w:tab w:val="right" w:leader="dot" w:pos="9196"/>
            </w:tabs>
            <w:rPr>
              <w:noProof/>
            </w:rPr>
          </w:pPr>
          <w:hyperlink w:anchor="_Toc226291212" w:history="1">
            <w:r w:rsidRPr="00CE3C62">
              <w:rPr>
                <w:rStyle w:val="Lienhypertexte"/>
                <w:noProof/>
              </w:rPr>
              <w:t>2.1.3 Biomarqueurs — API NCBI Entrez</w:t>
            </w:r>
            <w:r>
              <w:rPr>
                <w:noProof/>
              </w:rPr>
              <w:tab/>
            </w:r>
            <w:r>
              <w:rPr>
                <w:noProof/>
              </w:rPr>
              <w:fldChar w:fldCharType="begin"/>
            </w:r>
            <w:r>
              <w:rPr>
                <w:noProof/>
              </w:rPr>
              <w:instrText xml:space="preserve"> PAGEREF _Toc226291212 \h </w:instrText>
            </w:r>
            <w:r>
              <w:rPr>
                <w:noProof/>
              </w:rPr>
            </w:r>
            <w:r>
              <w:rPr>
                <w:noProof/>
              </w:rPr>
              <w:fldChar w:fldCharType="separate"/>
            </w:r>
            <w:r>
              <w:rPr>
                <w:noProof/>
              </w:rPr>
              <w:t>8</w:t>
            </w:r>
            <w:r>
              <w:rPr>
                <w:noProof/>
              </w:rPr>
              <w:fldChar w:fldCharType="end"/>
            </w:r>
          </w:hyperlink>
        </w:p>
        <w:p w14:paraId="139C939A" w14:textId="3B33AD9A" w:rsidR="00EE6C9A" w:rsidRDefault="00EE6C9A">
          <w:pPr>
            <w:pStyle w:val="TM2"/>
            <w:tabs>
              <w:tab w:val="right" w:leader="dot" w:pos="9196"/>
            </w:tabs>
            <w:rPr>
              <w:noProof/>
            </w:rPr>
          </w:pPr>
          <w:hyperlink w:anchor="_Toc226291213" w:history="1">
            <w:r w:rsidRPr="00CE3C62">
              <w:rPr>
                <w:rStyle w:val="Lienhypertexte"/>
                <w:noProof/>
              </w:rPr>
              <w:t>2.2 Architecture et pipeline de données</w:t>
            </w:r>
            <w:r>
              <w:rPr>
                <w:noProof/>
              </w:rPr>
              <w:tab/>
            </w:r>
            <w:r>
              <w:rPr>
                <w:noProof/>
              </w:rPr>
              <w:fldChar w:fldCharType="begin"/>
            </w:r>
            <w:r>
              <w:rPr>
                <w:noProof/>
              </w:rPr>
              <w:instrText xml:space="preserve"> PAGEREF _Toc226291213 \h </w:instrText>
            </w:r>
            <w:r>
              <w:rPr>
                <w:noProof/>
              </w:rPr>
            </w:r>
            <w:r>
              <w:rPr>
                <w:noProof/>
              </w:rPr>
              <w:fldChar w:fldCharType="separate"/>
            </w:r>
            <w:r>
              <w:rPr>
                <w:noProof/>
              </w:rPr>
              <w:t>9</w:t>
            </w:r>
            <w:r>
              <w:rPr>
                <w:noProof/>
              </w:rPr>
              <w:fldChar w:fldCharType="end"/>
            </w:r>
          </w:hyperlink>
        </w:p>
        <w:p w14:paraId="78D734DD" w14:textId="7EC3A071" w:rsidR="00EE6C9A" w:rsidRDefault="00EE6C9A">
          <w:pPr>
            <w:pStyle w:val="TM2"/>
            <w:tabs>
              <w:tab w:val="right" w:leader="dot" w:pos="9196"/>
            </w:tabs>
            <w:rPr>
              <w:noProof/>
            </w:rPr>
          </w:pPr>
          <w:hyperlink w:anchor="_Toc226291214" w:history="1">
            <w:r w:rsidRPr="00CE3C62">
              <w:rPr>
                <w:rStyle w:val="Lienhypertexte"/>
                <w:noProof/>
              </w:rPr>
              <w:t>2.3 Préprocessing et Feature Engineering</w:t>
            </w:r>
            <w:r>
              <w:rPr>
                <w:noProof/>
              </w:rPr>
              <w:tab/>
            </w:r>
            <w:r>
              <w:rPr>
                <w:noProof/>
              </w:rPr>
              <w:fldChar w:fldCharType="begin"/>
            </w:r>
            <w:r>
              <w:rPr>
                <w:noProof/>
              </w:rPr>
              <w:instrText xml:space="preserve"> PAGEREF _Toc226291214 \h </w:instrText>
            </w:r>
            <w:r>
              <w:rPr>
                <w:noProof/>
              </w:rPr>
            </w:r>
            <w:r>
              <w:rPr>
                <w:noProof/>
              </w:rPr>
              <w:fldChar w:fldCharType="separate"/>
            </w:r>
            <w:r>
              <w:rPr>
                <w:noProof/>
              </w:rPr>
              <w:t>9</w:t>
            </w:r>
            <w:r>
              <w:rPr>
                <w:noProof/>
              </w:rPr>
              <w:fldChar w:fldCharType="end"/>
            </w:r>
          </w:hyperlink>
        </w:p>
        <w:p w14:paraId="7313EBC8" w14:textId="3B4E609B" w:rsidR="00EE6C9A" w:rsidRDefault="00EE6C9A">
          <w:pPr>
            <w:pStyle w:val="TM3"/>
            <w:tabs>
              <w:tab w:val="right" w:leader="dot" w:pos="9196"/>
            </w:tabs>
            <w:rPr>
              <w:noProof/>
            </w:rPr>
          </w:pPr>
          <w:hyperlink w:anchor="_Toc226291215" w:history="1">
            <w:r w:rsidRPr="00CE3C62">
              <w:rPr>
                <w:rStyle w:val="Lienhypertexte"/>
                <w:noProof/>
              </w:rPr>
              <w:t>2.3.1 Nettoyage des données</w:t>
            </w:r>
            <w:r>
              <w:rPr>
                <w:noProof/>
              </w:rPr>
              <w:tab/>
            </w:r>
            <w:r>
              <w:rPr>
                <w:noProof/>
              </w:rPr>
              <w:fldChar w:fldCharType="begin"/>
            </w:r>
            <w:r>
              <w:rPr>
                <w:noProof/>
              </w:rPr>
              <w:instrText xml:space="preserve"> PAGEREF _Toc226291215 \h </w:instrText>
            </w:r>
            <w:r>
              <w:rPr>
                <w:noProof/>
              </w:rPr>
            </w:r>
            <w:r>
              <w:rPr>
                <w:noProof/>
              </w:rPr>
              <w:fldChar w:fldCharType="separate"/>
            </w:r>
            <w:r>
              <w:rPr>
                <w:noProof/>
              </w:rPr>
              <w:t>9</w:t>
            </w:r>
            <w:r>
              <w:rPr>
                <w:noProof/>
              </w:rPr>
              <w:fldChar w:fldCharType="end"/>
            </w:r>
          </w:hyperlink>
        </w:p>
        <w:p w14:paraId="5E494E44" w14:textId="5D366281" w:rsidR="00EE6C9A" w:rsidRDefault="00EE6C9A">
          <w:pPr>
            <w:pStyle w:val="TM3"/>
            <w:tabs>
              <w:tab w:val="right" w:leader="dot" w:pos="9196"/>
            </w:tabs>
            <w:rPr>
              <w:noProof/>
            </w:rPr>
          </w:pPr>
          <w:hyperlink w:anchor="_Toc226291216" w:history="1">
            <w:r w:rsidRPr="00CE3C62">
              <w:rPr>
                <w:rStyle w:val="Lienhypertexte"/>
                <w:noProof/>
              </w:rPr>
              <w:t>2.3.2 Création du fichier patients_master</w:t>
            </w:r>
            <w:r>
              <w:rPr>
                <w:noProof/>
              </w:rPr>
              <w:tab/>
            </w:r>
            <w:r>
              <w:rPr>
                <w:noProof/>
              </w:rPr>
              <w:fldChar w:fldCharType="begin"/>
            </w:r>
            <w:r>
              <w:rPr>
                <w:noProof/>
              </w:rPr>
              <w:instrText xml:space="preserve"> PAGEREF _Toc226291216 \h </w:instrText>
            </w:r>
            <w:r>
              <w:rPr>
                <w:noProof/>
              </w:rPr>
            </w:r>
            <w:r>
              <w:rPr>
                <w:noProof/>
              </w:rPr>
              <w:fldChar w:fldCharType="separate"/>
            </w:r>
            <w:r>
              <w:rPr>
                <w:noProof/>
              </w:rPr>
              <w:t>9</w:t>
            </w:r>
            <w:r>
              <w:rPr>
                <w:noProof/>
              </w:rPr>
              <w:fldChar w:fldCharType="end"/>
            </w:r>
          </w:hyperlink>
        </w:p>
        <w:p w14:paraId="3D4C7539" w14:textId="334035F7" w:rsidR="00EE6C9A" w:rsidRDefault="00EE6C9A">
          <w:pPr>
            <w:pStyle w:val="TM3"/>
            <w:tabs>
              <w:tab w:val="right" w:leader="dot" w:pos="9196"/>
            </w:tabs>
            <w:rPr>
              <w:noProof/>
            </w:rPr>
          </w:pPr>
          <w:hyperlink w:anchor="_Toc226291217" w:history="1">
            <w:r w:rsidRPr="00CE3C62">
              <w:rPr>
                <w:rStyle w:val="Lienhypertexte"/>
                <w:noProof/>
              </w:rPr>
              <w:t>2.3.3 Feature Engineering — Variable risk_group</w:t>
            </w:r>
            <w:r>
              <w:rPr>
                <w:noProof/>
              </w:rPr>
              <w:tab/>
            </w:r>
            <w:r>
              <w:rPr>
                <w:noProof/>
              </w:rPr>
              <w:fldChar w:fldCharType="begin"/>
            </w:r>
            <w:r>
              <w:rPr>
                <w:noProof/>
              </w:rPr>
              <w:instrText xml:space="preserve"> PAGEREF _Toc226291217 \h </w:instrText>
            </w:r>
            <w:r>
              <w:rPr>
                <w:noProof/>
              </w:rPr>
            </w:r>
            <w:r>
              <w:rPr>
                <w:noProof/>
              </w:rPr>
              <w:fldChar w:fldCharType="separate"/>
            </w:r>
            <w:r>
              <w:rPr>
                <w:noProof/>
              </w:rPr>
              <w:t>9</w:t>
            </w:r>
            <w:r>
              <w:rPr>
                <w:noProof/>
              </w:rPr>
              <w:fldChar w:fldCharType="end"/>
            </w:r>
          </w:hyperlink>
        </w:p>
        <w:p w14:paraId="3939E27A" w14:textId="118D44BE" w:rsidR="00EE6C9A" w:rsidRDefault="00EE6C9A">
          <w:pPr>
            <w:pStyle w:val="TM2"/>
            <w:tabs>
              <w:tab w:val="right" w:leader="dot" w:pos="9196"/>
            </w:tabs>
            <w:rPr>
              <w:noProof/>
            </w:rPr>
          </w:pPr>
          <w:hyperlink w:anchor="_Toc226291218" w:history="1">
            <w:r w:rsidRPr="00CE3C62">
              <w:rPr>
                <w:rStyle w:val="Lienhypertexte"/>
                <w:noProof/>
              </w:rPr>
              <w:t>2.4 Modélisation des données — PostgreSQL</w:t>
            </w:r>
            <w:r>
              <w:rPr>
                <w:noProof/>
              </w:rPr>
              <w:tab/>
            </w:r>
            <w:r>
              <w:rPr>
                <w:noProof/>
              </w:rPr>
              <w:fldChar w:fldCharType="begin"/>
            </w:r>
            <w:r>
              <w:rPr>
                <w:noProof/>
              </w:rPr>
              <w:instrText xml:space="preserve"> PAGEREF _Toc226291218 \h </w:instrText>
            </w:r>
            <w:r>
              <w:rPr>
                <w:noProof/>
              </w:rPr>
            </w:r>
            <w:r>
              <w:rPr>
                <w:noProof/>
              </w:rPr>
              <w:fldChar w:fldCharType="separate"/>
            </w:r>
            <w:r>
              <w:rPr>
                <w:noProof/>
              </w:rPr>
              <w:t>10</w:t>
            </w:r>
            <w:r>
              <w:rPr>
                <w:noProof/>
              </w:rPr>
              <w:fldChar w:fldCharType="end"/>
            </w:r>
          </w:hyperlink>
        </w:p>
        <w:p w14:paraId="7CB222D5" w14:textId="649BC198" w:rsidR="00EE6C9A" w:rsidRDefault="00EE6C9A">
          <w:pPr>
            <w:pStyle w:val="TM2"/>
            <w:tabs>
              <w:tab w:val="right" w:leader="dot" w:pos="9196"/>
            </w:tabs>
            <w:rPr>
              <w:noProof/>
            </w:rPr>
          </w:pPr>
          <w:hyperlink w:anchor="_Toc226291219" w:history="1">
            <w:r w:rsidRPr="00CE3C62">
              <w:rPr>
                <w:rStyle w:val="Lienhypertexte"/>
                <w:noProof/>
              </w:rPr>
              <w:t>2.5 Analyse statistique et de survie</w:t>
            </w:r>
            <w:r>
              <w:rPr>
                <w:noProof/>
              </w:rPr>
              <w:tab/>
            </w:r>
            <w:r>
              <w:rPr>
                <w:noProof/>
              </w:rPr>
              <w:fldChar w:fldCharType="begin"/>
            </w:r>
            <w:r>
              <w:rPr>
                <w:noProof/>
              </w:rPr>
              <w:instrText xml:space="preserve"> PAGEREF _Toc226291219 \h </w:instrText>
            </w:r>
            <w:r>
              <w:rPr>
                <w:noProof/>
              </w:rPr>
            </w:r>
            <w:r>
              <w:rPr>
                <w:noProof/>
              </w:rPr>
              <w:fldChar w:fldCharType="separate"/>
            </w:r>
            <w:r>
              <w:rPr>
                <w:noProof/>
              </w:rPr>
              <w:t>10</w:t>
            </w:r>
            <w:r>
              <w:rPr>
                <w:noProof/>
              </w:rPr>
              <w:fldChar w:fldCharType="end"/>
            </w:r>
          </w:hyperlink>
        </w:p>
        <w:p w14:paraId="58EF2E47" w14:textId="3CAB0BBE" w:rsidR="00EE6C9A" w:rsidRDefault="00EE6C9A">
          <w:pPr>
            <w:pStyle w:val="TM2"/>
            <w:tabs>
              <w:tab w:val="right" w:leader="dot" w:pos="9196"/>
            </w:tabs>
            <w:rPr>
              <w:noProof/>
            </w:rPr>
          </w:pPr>
          <w:hyperlink w:anchor="_Toc226291220" w:history="1">
            <w:r w:rsidRPr="00CE3C62">
              <w:rPr>
                <w:rStyle w:val="Lienhypertexte"/>
                <w:noProof/>
              </w:rPr>
              <w:t>2.6 Outils et technologies utilisés</w:t>
            </w:r>
            <w:r>
              <w:rPr>
                <w:noProof/>
              </w:rPr>
              <w:tab/>
            </w:r>
            <w:r>
              <w:rPr>
                <w:noProof/>
              </w:rPr>
              <w:fldChar w:fldCharType="begin"/>
            </w:r>
            <w:r>
              <w:rPr>
                <w:noProof/>
              </w:rPr>
              <w:instrText xml:space="preserve"> PAGEREF _Toc226291220 \h </w:instrText>
            </w:r>
            <w:r>
              <w:rPr>
                <w:noProof/>
              </w:rPr>
            </w:r>
            <w:r>
              <w:rPr>
                <w:noProof/>
              </w:rPr>
              <w:fldChar w:fldCharType="separate"/>
            </w:r>
            <w:r>
              <w:rPr>
                <w:noProof/>
              </w:rPr>
              <w:t>10</w:t>
            </w:r>
            <w:r>
              <w:rPr>
                <w:noProof/>
              </w:rPr>
              <w:fldChar w:fldCharType="end"/>
            </w:r>
          </w:hyperlink>
        </w:p>
        <w:p w14:paraId="6ACF3F05" w14:textId="371B3BBD" w:rsidR="00EE6C9A" w:rsidRDefault="00EE6C9A">
          <w:pPr>
            <w:pStyle w:val="TM1"/>
            <w:tabs>
              <w:tab w:val="right" w:leader="dot" w:pos="9196"/>
            </w:tabs>
            <w:rPr>
              <w:noProof/>
            </w:rPr>
          </w:pPr>
          <w:hyperlink w:anchor="_Toc226291221" w:history="1">
            <w:r w:rsidRPr="00CE3C62">
              <w:rPr>
                <w:rStyle w:val="Lienhypertexte"/>
                <w:noProof/>
              </w:rPr>
              <w:t>3. Résultats</w:t>
            </w:r>
            <w:r>
              <w:rPr>
                <w:noProof/>
              </w:rPr>
              <w:tab/>
            </w:r>
            <w:r>
              <w:rPr>
                <w:noProof/>
              </w:rPr>
              <w:fldChar w:fldCharType="begin"/>
            </w:r>
            <w:r>
              <w:rPr>
                <w:noProof/>
              </w:rPr>
              <w:instrText xml:space="preserve"> PAGEREF _Toc226291221 \h </w:instrText>
            </w:r>
            <w:r>
              <w:rPr>
                <w:noProof/>
              </w:rPr>
            </w:r>
            <w:r>
              <w:rPr>
                <w:noProof/>
              </w:rPr>
              <w:fldChar w:fldCharType="separate"/>
            </w:r>
            <w:r>
              <w:rPr>
                <w:noProof/>
              </w:rPr>
              <w:t>12</w:t>
            </w:r>
            <w:r>
              <w:rPr>
                <w:noProof/>
              </w:rPr>
              <w:fldChar w:fldCharType="end"/>
            </w:r>
          </w:hyperlink>
        </w:p>
        <w:p w14:paraId="2BB18BDE" w14:textId="76FDECA8" w:rsidR="00EE6C9A" w:rsidRDefault="00EE6C9A">
          <w:pPr>
            <w:pStyle w:val="TM2"/>
            <w:tabs>
              <w:tab w:val="right" w:leader="dot" w:pos="9196"/>
            </w:tabs>
            <w:rPr>
              <w:noProof/>
            </w:rPr>
          </w:pPr>
          <w:hyperlink w:anchor="_Toc226291222" w:history="1">
            <w:r w:rsidRPr="00CE3C62">
              <w:rPr>
                <w:rStyle w:val="Lienhypertexte"/>
                <w:noProof/>
              </w:rPr>
              <w:t>3.1 Analyse exploratoire des données (EDA)</w:t>
            </w:r>
            <w:r>
              <w:rPr>
                <w:noProof/>
              </w:rPr>
              <w:tab/>
            </w:r>
            <w:r>
              <w:rPr>
                <w:noProof/>
              </w:rPr>
              <w:fldChar w:fldCharType="begin"/>
            </w:r>
            <w:r>
              <w:rPr>
                <w:noProof/>
              </w:rPr>
              <w:instrText xml:space="preserve"> PAGEREF _Toc226291222 \h </w:instrText>
            </w:r>
            <w:r>
              <w:rPr>
                <w:noProof/>
              </w:rPr>
            </w:r>
            <w:r>
              <w:rPr>
                <w:noProof/>
              </w:rPr>
              <w:fldChar w:fldCharType="separate"/>
            </w:r>
            <w:r>
              <w:rPr>
                <w:noProof/>
              </w:rPr>
              <w:t>12</w:t>
            </w:r>
            <w:r>
              <w:rPr>
                <w:noProof/>
              </w:rPr>
              <w:fldChar w:fldCharType="end"/>
            </w:r>
          </w:hyperlink>
        </w:p>
        <w:p w14:paraId="554F9099" w14:textId="183FD6F2" w:rsidR="00EE6C9A" w:rsidRDefault="00EE6C9A">
          <w:pPr>
            <w:pStyle w:val="TM3"/>
            <w:tabs>
              <w:tab w:val="right" w:leader="dot" w:pos="9196"/>
            </w:tabs>
            <w:rPr>
              <w:noProof/>
            </w:rPr>
          </w:pPr>
          <w:hyperlink w:anchor="_Toc226291223" w:history="1">
            <w:r w:rsidRPr="00CE3C62">
              <w:rPr>
                <w:rStyle w:val="Lienhypertexte"/>
                <w:noProof/>
              </w:rPr>
              <w:t>3.1.1 Population étudiée</w:t>
            </w:r>
            <w:r>
              <w:rPr>
                <w:noProof/>
              </w:rPr>
              <w:tab/>
            </w:r>
            <w:r>
              <w:rPr>
                <w:noProof/>
              </w:rPr>
              <w:fldChar w:fldCharType="begin"/>
            </w:r>
            <w:r>
              <w:rPr>
                <w:noProof/>
              </w:rPr>
              <w:instrText xml:space="preserve"> PAGEREF _Toc226291223 \h </w:instrText>
            </w:r>
            <w:r>
              <w:rPr>
                <w:noProof/>
              </w:rPr>
            </w:r>
            <w:r>
              <w:rPr>
                <w:noProof/>
              </w:rPr>
              <w:fldChar w:fldCharType="separate"/>
            </w:r>
            <w:r>
              <w:rPr>
                <w:noProof/>
              </w:rPr>
              <w:t>12</w:t>
            </w:r>
            <w:r>
              <w:rPr>
                <w:noProof/>
              </w:rPr>
              <w:fldChar w:fldCharType="end"/>
            </w:r>
          </w:hyperlink>
        </w:p>
        <w:p w14:paraId="686B2C53" w14:textId="19F3BDBB" w:rsidR="00EE6C9A" w:rsidRDefault="00EE6C9A">
          <w:pPr>
            <w:pStyle w:val="TM3"/>
            <w:tabs>
              <w:tab w:val="right" w:leader="dot" w:pos="9196"/>
            </w:tabs>
            <w:rPr>
              <w:noProof/>
            </w:rPr>
          </w:pPr>
          <w:hyperlink w:anchor="_Toc226291224" w:history="1">
            <w:r w:rsidRPr="00CE3C62">
              <w:rPr>
                <w:rStyle w:val="Lienhypertexte"/>
                <w:noProof/>
              </w:rPr>
              <w:t>3.1.2 Distribution par groupe de risque</w:t>
            </w:r>
            <w:r>
              <w:rPr>
                <w:noProof/>
              </w:rPr>
              <w:tab/>
            </w:r>
            <w:r>
              <w:rPr>
                <w:noProof/>
              </w:rPr>
              <w:fldChar w:fldCharType="begin"/>
            </w:r>
            <w:r>
              <w:rPr>
                <w:noProof/>
              </w:rPr>
              <w:instrText xml:space="preserve"> PAGEREF _Toc226291224 \h </w:instrText>
            </w:r>
            <w:r>
              <w:rPr>
                <w:noProof/>
              </w:rPr>
            </w:r>
            <w:r>
              <w:rPr>
                <w:noProof/>
              </w:rPr>
              <w:fldChar w:fldCharType="separate"/>
            </w:r>
            <w:r>
              <w:rPr>
                <w:noProof/>
              </w:rPr>
              <w:t>12</w:t>
            </w:r>
            <w:r>
              <w:rPr>
                <w:noProof/>
              </w:rPr>
              <w:fldChar w:fldCharType="end"/>
            </w:r>
          </w:hyperlink>
        </w:p>
        <w:p w14:paraId="729057D2" w14:textId="5A9F43CE" w:rsidR="00EE6C9A" w:rsidRDefault="00EE6C9A">
          <w:pPr>
            <w:pStyle w:val="TM2"/>
            <w:tabs>
              <w:tab w:val="right" w:leader="dot" w:pos="9196"/>
            </w:tabs>
            <w:rPr>
              <w:noProof/>
            </w:rPr>
          </w:pPr>
          <w:hyperlink w:anchor="_Toc226291225" w:history="1">
            <w:r w:rsidRPr="00CE3C62">
              <w:rPr>
                <w:rStyle w:val="Lienhypertexte"/>
                <w:noProof/>
              </w:rPr>
              <w:t>3.2 Indicateurs clés (KPI)</w:t>
            </w:r>
            <w:r>
              <w:rPr>
                <w:noProof/>
              </w:rPr>
              <w:tab/>
            </w:r>
            <w:r>
              <w:rPr>
                <w:noProof/>
              </w:rPr>
              <w:fldChar w:fldCharType="begin"/>
            </w:r>
            <w:r>
              <w:rPr>
                <w:noProof/>
              </w:rPr>
              <w:instrText xml:space="preserve"> PAGEREF _Toc226291225 \h </w:instrText>
            </w:r>
            <w:r>
              <w:rPr>
                <w:noProof/>
              </w:rPr>
            </w:r>
            <w:r>
              <w:rPr>
                <w:noProof/>
              </w:rPr>
              <w:fldChar w:fldCharType="separate"/>
            </w:r>
            <w:r>
              <w:rPr>
                <w:noProof/>
              </w:rPr>
              <w:t>12</w:t>
            </w:r>
            <w:r>
              <w:rPr>
                <w:noProof/>
              </w:rPr>
              <w:fldChar w:fldCharType="end"/>
            </w:r>
          </w:hyperlink>
        </w:p>
        <w:p w14:paraId="2686142B" w14:textId="33A3E5F0" w:rsidR="00EE6C9A" w:rsidRDefault="00EE6C9A">
          <w:pPr>
            <w:pStyle w:val="TM3"/>
            <w:tabs>
              <w:tab w:val="right" w:leader="dot" w:pos="9196"/>
            </w:tabs>
            <w:rPr>
              <w:noProof/>
            </w:rPr>
          </w:pPr>
          <w:hyperlink w:anchor="_Toc226291226" w:history="1">
            <w:r w:rsidRPr="00CE3C62">
              <w:rPr>
                <w:rStyle w:val="Lienhypertexte"/>
                <w:noProof/>
              </w:rPr>
              <w:t>3.2.1 KPI cliniques globaux</w:t>
            </w:r>
            <w:r>
              <w:rPr>
                <w:noProof/>
              </w:rPr>
              <w:tab/>
            </w:r>
            <w:r>
              <w:rPr>
                <w:noProof/>
              </w:rPr>
              <w:fldChar w:fldCharType="begin"/>
            </w:r>
            <w:r>
              <w:rPr>
                <w:noProof/>
              </w:rPr>
              <w:instrText xml:space="preserve"> PAGEREF _Toc226291226 \h </w:instrText>
            </w:r>
            <w:r>
              <w:rPr>
                <w:noProof/>
              </w:rPr>
            </w:r>
            <w:r>
              <w:rPr>
                <w:noProof/>
              </w:rPr>
              <w:fldChar w:fldCharType="separate"/>
            </w:r>
            <w:r>
              <w:rPr>
                <w:noProof/>
              </w:rPr>
              <w:t>12</w:t>
            </w:r>
            <w:r>
              <w:rPr>
                <w:noProof/>
              </w:rPr>
              <w:fldChar w:fldCharType="end"/>
            </w:r>
          </w:hyperlink>
        </w:p>
        <w:p w14:paraId="00C07949" w14:textId="20564650" w:rsidR="00EE6C9A" w:rsidRDefault="00EE6C9A">
          <w:pPr>
            <w:pStyle w:val="TM3"/>
            <w:tabs>
              <w:tab w:val="right" w:leader="dot" w:pos="9196"/>
            </w:tabs>
            <w:rPr>
              <w:noProof/>
            </w:rPr>
          </w:pPr>
          <w:hyperlink w:anchor="_Toc226291227" w:history="1">
            <w:r w:rsidRPr="00CE3C62">
              <w:rPr>
                <w:rStyle w:val="Lienhypertexte"/>
                <w:noProof/>
              </w:rPr>
              <w:t>3.2.2 KPI pronostiques par type de cancer</w:t>
            </w:r>
            <w:r>
              <w:rPr>
                <w:noProof/>
              </w:rPr>
              <w:tab/>
            </w:r>
            <w:r>
              <w:rPr>
                <w:noProof/>
              </w:rPr>
              <w:fldChar w:fldCharType="begin"/>
            </w:r>
            <w:r>
              <w:rPr>
                <w:noProof/>
              </w:rPr>
              <w:instrText xml:space="preserve"> PAGEREF _Toc226291227 \h </w:instrText>
            </w:r>
            <w:r>
              <w:rPr>
                <w:noProof/>
              </w:rPr>
            </w:r>
            <w:r>
              <w:rPr>
                <w:noProof/>
              </w:rPr>
              <w:fldChar w:fldCharType="separate"/>
            </w:r>
            <w:r>
              <w:rPr>
                <w:noProof/>
              </w:rPr>
              <w:t>13</w:t>
            </w:r>
            <w:r>
              <w:rPr>
                <w:noProof/>
              </w:rPr>
              <w:fldChar w:fldCharType="end"/>
            </w:r>
          </w:hyperlink>
        </w:p>
        <w:p w14:paraId="72F999D1" w14:textId="70A697A2" w:rsidR="00EE6C9A" w:rsidRDefault="00EE6C9A">
          <w:pPr>
            <w:pStyle w:val="TM2"/>
            <w:tabs>
              <w:tab w:val="right" w:leader="dot" w:pos="9196"/>
            </w:tabs>
            <w:rPr>
              <w:noProof/>
            </w:rPr>
          </w:pPr>
          <w:hyperlink w:anchor="_Toc226291228" w:history="1">
            <w:r w:rsidRPr="00CE3C62">
              <w:rPr>
                <w:rStyle w:val="Lienhypertexte"/>
                <w:noProof/>
              </w:rPr>
              <w:t>3.3 Analyse de survie — Kaplan-Meier</w:t>
            </w:r>
            <w:r>
              <w:rPr>
                <w:noProof/>
              </w:rPr>
              <w:tab/>
            </w:r>
            <w:r>
              <w:rPr>
                <w:noProof/>
              </w:rPr>
              <w:fldChar w:fldCharType="begin"/>
            </w:r>
            <w:r>
              <w:rPr>
                <w:noProof/>
              </w:rPr>
              <w:instrText xml:space="preserve"> PAGEREF _Toc226291228 \h </w:instrText>
            </w:r>
            <w:r>
              <w:rPr>
                <w:noProof/>
              </w:rPr>
            </w:r>
            <w:r>
              <w:rPr>
                <w:noProof/>
              </w:rPr>
              <w:fldChar w:fldCharType="separate"/>
            </w:r>
            <w:r>
              <w:rPr>
                <w:noProof/>
              </w:rPr>
              <w:t>13</w:t>
            </w:r>
            <w:r>
              <w:rPr>
                <w:noProof/>
              </w:rPr>
              <w:fldChar w:fldCharType="end"/>
            </w:r>
          </w:hyperlink>
        </w:p>
        <w:p w14:paraId="6C8EDEE2" w14:textId="17577CD6" w:rsidR="00EE6C9A" w:rsidRDefault="00EE6C9A">
          <w:pPr>
            <w:pStyle w:val="TM3"/>
            <w:tabs>
              <w:tab w:val="right" w:leader="dot" w:pos="9196"/>
            </w:tabs>
            <w:rPr>
              <w:noProof/>
            </w:rPr>
          </w:pPr>
          <w:hyperlink w:anchor="_Toc226291229" w:history="1">
            <w:r w:rsidRPr="00CE3C62">
              <w:rPr>
                <w:rStyle w:val="Lienhypertexte"/>
                <w:noProof/>
              </w:rPr>
              <w:t>3.3.1 Survie par type de cancer</w:t>
            </w:r>
            <w:r>
              <w:rPr>
                <w:noProof/>
              </w:rPr>
              <w:tab/>
            </w:r>
            <w:r>
              <w:rPr>
                <w:noProof/>
              </w:rPr>
              <w:fldChar w:fldCharType="begin"/>
            </w:r>
            <w:r>
              <w:rPr>
                <w:noProof/>
              </w:rPr>
              <w:instrText xml:space="preserve"> PAGEREF _Toc226291229 \h </w:instrText>
            </w:r>
            <w:r>
              <w:rPr>
                <w:noProof/>
              </w:rPr>
            </w:r>
            <w:r>
              <w:rPr>
                <w:noProof/>
              </w:rPr>
              <w:fldChar w:fldCharType="separate"/>
            </w:r>
            <w:r>
              <w:rPr>
                <w:noProof/>
              </w:rPr>
              <w:t>13</w:t>
            </w:r>
            <w:r>
              <w:rPr>
                <w:noProof/>
              </w:rPr>
              <w:fldChar w:fldCharType="end"/>
            </w:r>
          </w:hyperlink>
        </w:p>
        <w:p w14:paraId="40098880" w14:textId="0F1DB425" w:rsidR="00EE6C9A" w:rsidRDefault="00EE6C9A">
          <w:pPr>
            <w:pStyle w:val="TM3"/>
            <w:tabs>
              <w:tab w:val="right" w:leader="dot" w:pos="9196"/>
            </w:tabs>
            <w:rPr>
              <w:noProof/>
            </w:rPr>
          </w:pPr>
          <w:hyperlink w:anchor="_Toc226291230" w:history="1">
            <w:r w:rsidRPr="00CE3C62">
              <w:rPr>
                <w:rStyle w:val="Lienhypertexte"/>
                <w:noProof/>
              </w:rPr>
              <w:t>3.3.2 Survie par groupe de risque</w:t>
            </w:r>
            <w:r>
              <w:rPr>
                <w:noProof/>
              </w:rPr>
              <w:tab/>
            </w:r>
            <w:r>
              <w:rPr>
                <w:noProof/>
              </w:rPr>
              <w:fldChar w:fldCharType="begin"/>
            </w:r>
            <w:r>
              <w:rPr>
                <w:noProof/>
              </w:rPr>
              <w:instrText xml:space="preserve"> PAGEREF _Toc226291230 \h </w:instrText>
            </w:r>
            <w:r>
              <w:rPr>
                <w:noProof/>
              </w:rPr>
            </w:r>
            <w:r>
              <w:rPr>
                <w:noProof/>
              </w:rPr>
              <w:fldChar w:fldCharType="separate"/>
            </w:r>
            <w:r>
              <w:rPr>
                <w:noProof/>
              </w:rPr>
              <w:t>13</w:t>
            </w:r>
            <w:r>
              <w:rPr>
                <w:noProof/>
              </w:rPr>
              <w:fldChar w:fldCharType="end"/>
            </w:r>
          </w:hyperlink>
        </w:p>
        <w:p w14:paraId="48C66ED7" w14:textId="41E11903" w:rsidR="00EE6C9A" w:rsidRDefault="00EE6C9A">
          <w:pPr>
            <w:pStyle w:val="TM2"/>
            <w:tabs>
              <w:tab w:val="right" w:leader="dot" w:pos="9196"/>
            </w:tabs>
            <w:rPr>
              <w:noProof/>
            </w:rPr>
          </w:pPr>
          <w:hyperlink w:anchor="_Toc226291231" w:history="1">
            <w:r w:rsidRPr="00CE3C62">
              <w:rPr>
                <w:rStyle w:val="Lienhypertexte"/>
                <w:noProof/>
              </w:rPr>
              <w:t>3.4 Modélisation PostgreSQL — résultats</w:t>
            </w:r>
            <w:r>
              <w:rPr>
                <w:noProof/>
              </w:rPr>
              <w:tab/>
            </w:r>
            <w:r>
              <w:rPr>
                <w:noProof/>
              </w:rPr>
              <w:fldChar w:fldCharType="begin"/>
            </w:r>
            <w:r>
              <w:rPr>
                <w:noProof/>
              </w:rPr>
              <w:instrText xml:space="preserve"> PAGEREF _Toc226291231 \h </w:instrText>
            </w:r>
            <w:r>
              <w:rPr>
                <w:noProof/>
              </w:rPr>
            </w:r>
            <w:r>
              <w:rPr>
                <w:noProof/>
              </w:rPr>
              <w:fldChar w:fldCharType="separate"/>
            </w:r>
            <w:r>
              <w:rPr>
                <w:noProof/>
              </w:rPr>
              <w:t>14</w:t>
            </w:r>
            <w:r>
              <w:rPr>
                <w:noProof/>
              </w:rPr>
              <w:fldChar w:fldCharType="end"/>
            </w:r>
          </w:hyperlink>
        </w:p>
        <w:p w14:paraId="7F970DDC" w14:textId="78EEDF8D" w:rsidR="00EE6C9A" w:rsidRDefault="00EE6C9A">
          <w:pPr>
            <w:pStyle w:val="TM2"/>
            <w:tabs>
              <w:tab w:val="right" w:leader="dot" w:pos="9196"/>
            </w:tabs>
            <w:rPr>
              <w:noProof/>
            </w:rPr>
          </w:pPr>
          <w:hyperlink w:anchor="_Toc226291232" w:history="1">
            <w:r w:rsidRPr="00CE3C62">
              <w:rPr>
                <w:rStyle w:val="Lienhypertexte"/>
                <w:noProof/>
              </w:rPr>
              <w:t>3.5 Dashboard Power BI</w:t>
            </w:r>
            <w:r>
              <w:rPr>
                <w:noProof/>
              </w:rPr>
              <w:tab/>
            </w:r>
            <w:r>
              <w:rPr>
                <w:noProof/>
              </w:rPr>
              <w:fldChar w:fldCharType="begin"/>
            </w:r>
            <w:r>
              <w:rPr>
                <w:noProof/>
              </w:rPr>
              <w:instrText xml:space="preserve"> PAGEREF _Toc226291232 \h </w:instrText>
            </w:r>
            <w:r>
              <w:rPr>
                <w:noProof/>
              </w:rPr>
            </w:r>
            <w:r>
              <w:rPr>
                <w:noProof/>
              </w:rPr>
              <w:fldChar w:fldCharType="separate"/>
            </w:r>
            <w:r>
              <w:rPr>
                <w:noProof/>
              </w:rPr>
              <w:t>14</w:t>
            </w:r>
            <w:r>
              <w:rPr>
                <w:noProof/>
              </w:rPr>
              <w:fldChar w:fldCharType="end"/>
            </w:r>
          </w:hyperlink>
        </w:p>
        <w:p w14:paraId="60FBB65E" w14:textId="3443563F" w:rsidR="00EE6C9A" w:rsidRDefault="00EE6C9A">
          <w:pPr>
            <w:pStyle w:val="TM3"/>
            <w:tabs>
              <w:tab w:val="right" w:leader="dot" w:pos="9196"/>
            </w:tabs>
            <w:rPr>
              <w:noProof/>
            </w:rPr>
          </w:pPr>
          <w:hyperlink w:anchor="_Toc226291233" w:history="1">
            <w:r w:rsidRPr="00CE3C62">
              <w:rPr>
                <w:rStyle w:val="Lienhypertexte"/>
                <w:noProof/>
              </w:rPr>
              <w:t>3.5.1 Page 1 — Patient Population Overview</w:t>
            </w:r>
            <w:r>
              <w:rPr>
                <w:noProof/>
              </w:rPr>
              <w:tab/>
            </w:r>
            <w:r>
              <w:rPr>
                <w:noProof/>
              </w:rPr>
              <w:fldChar w:fldCharType="begin"/>
            </w:r>
            <w:r>
              <w:rPr>
                <w:noProof/>
              </w:rPr>
              <w:instrText xml:space="preserve"> PAGEREF _Toc226291233 \h </w:instrText>
            </w:r>
            <w:r>
              <w:rPr>
                <w:noProof/>
              </w:rPr>
            </w:r>
            <w:r>
              <w:rPr>
                <w:noProof/>
              </w:rPr>
              <w:fldChar w:fldCharType="separate"/>
            </w:r>
            <w:r>
              <w:rPr>
                <w:noProof/>
              </w:rPr>
              <w:t>14</w:t>
            </w:r>
            <w:r>
              <w:rPr>
                <w:noProof/>
              </w:rPr>
              <w:fldChar w:fldCharType="end"/>
            </w:r>
          </w:hyperlink>
        </w:p>
        <w:p w14:paraId="33902152" w14:textId="27D13951" w:rsidR="00EE6C9A" w:rsidRDefault="00EE6C9A">
          <w:pPr>
            <w:pStyle w:val="TM3"/>
            <w:tabs>
              <w:tab w:val="right" w:leader="dot" w:pos="9196"/>
            </w:tabs>
            <w:rPr>
              <w:noProof/>
            </w:rPr>
          </w:pPr>
          <w:hyperlink w:anchor="_Toc226291234" w:history="1">
            <w:r w:rsidRPr="00CE3C62">
              <w:rPr>
                <w:rStyle w:val="Lienhypertexte"/>
                <w:noProof/>
              </w:rPr>
              <w:t>3.5.2 Page 2 — Clinical Risk Analysis &amp; Survival Outcomes</w:t>
            </w:r>
            <w:r>
              <w:rPr>
                <w:noProof/>
              </w:rPr>
              <w:tab/>
            </w:r>
            <w:r>
              <w:rPr>
                <w:noProof/>
              </w:rPr>
              <w:fldChar w:fldCharType="begin"/>
            </w:r>
            <w:r>
              <w:rPr>
                <w:noProof/>
              </w:rPr>
              <w:instrText xml:space="preserve"> PAGEREF _Toc226291234 \h </w:instrText>
            </w:r>
            <w:r>
              <w:rPr>
                <w:noProof/>
              </w:rPr>
            </w:r>
            <w:r>
              <w:rPr>
                <w:noProof/>
              </w:rPr>
              <w:fldChar w:fldCharType="separate"/>
            </w:r>
            <w:r>
              <w:rPr>
                <w:noProof/>
              </w:rPr>
              <w:t>14</w:t>
            </w:r>
            <w:r>
              <w:rPr>
                <w:noProof/>
              </w:rPr>
              <w:fldChar w:fldCharType="end"/>
            </w:r>
          </w:hyperlink>
        </w:p>
        <w:p w14:paraId="3B5B1337" w14:textId="67F184F2" w:rsidR="00EE6C9A" w:rsidRDefault="00EE6C9A">
          <w:pPr>
            <w:pStyle w:val="TM3"/>
            <w:tabs>
              <w:tab w:val="right" w:leader="dot" w:pos="9196"/>
            </w:tabs>
            <w:rPr>
              <w:noProof/>
            </w:rPr>
          </w:pPr>
          <w:hyperlink w:anchor="_Toc226291235" w:history="1">
            <w:r w:rsidRPr="00CE3C62">
              <w:rPr>
                <w:rStyle w:val="Lienhypertexte"/>
                <w:noProof/>
              </w:rPr>
              <w:t>3.5.3 Page 3 — Biomarker-Based Decision Support</w:t>
            </w:r>
            <w:r>
              <w:rPr>
                <w:noProof/>
              </w:rPr>
              <w:tab/>
            </w:r>
            <w:r>
              <w:rPr>
                <w:noProof/>
              </w:rPr>
              <w:fldChar w:fldCharType="begin"/>
            </w:r>
            <w:r>
              <w:rPr>
                <w:noProof/>
              </w:rPr>
              <w:instrText xml:space="preserve"> PAGEREF _Toc226291235 \h </w:instrText>
            </w:r>
            <w:r>
              <w:rPr>
                <w:noProof/>
              </w:rPr>
            </w:r>
            <w:r>
              <w:rPr>
                <w:noProof/>
              </w:rPr>
              <w:fldChar w:fldCharType="separate"/>
            </w:r>
            <w:r>
              <w:rPr>
                <w:noProof/>
              </w:rPr>
              <w:t>14</w:t>
            </w:r>
            <w:r>
              <w:rPr>
                <w:noProof/>
              </w:rPr>
              <w:fldChar w:fldCharType="end"/>
            </w:r>
          </w:hyperlink>
        </w:p>
        <w:p w14:paraId="2FFD0950" w14:textId="2FAE5067" w:rsidR="00EE6C9A" w:rsidRDefault="00EE6C9A">
          <w:pPr>
            <w:pStyle w:val="TM1"/>
            <w:tabs>
              <w:tab w:val="right" w:leader="dot" w:pos="9196"/>
            </w:tabs>
            <w:rPr>
              <w:noProof/>
            </w:rPr>
          </w:pPr>
          <w:hyperlink w:anchor="_Toc226291236" w:history="1">
            <w:r w:rsidRPr="00CE3C62">
              <w:rPr>
                <w:rStyle w:val="Lienhypertexte"/>
                <w:noProof/>
              </w:rPr>
              <w:t>4. Discussion</w:t>
            </w:r>
            <w:r>
              <w:rPr>
                <w:noProof/>
              </w:rPr>
              <w:tab/>
            </w:r>
            <w:r>
              <w:rPr>
                <w:noProof/>
              </w:rPr>
              <w:fldChar w:fldCharType="begin"/>
            </w:r>
            <w:r>
              <w:rPr>
                <w:noProof/>
              </w:rPr>
              <w:instrText xml:space="preserve"> PAGEREF _Toc226291236 \h </w:instrText>
            </w:r>
            <w:r>
              <w:rPr>
                <w:noProof/>
              </w:rPr>
            </w:r>
            <w:r>
              <w:rPr>
                <w:noProof/>
              </w:rPr>
              <w:fldChar w:fldCharType="separate"/>
            </w:r>
            <w:r>
              <w:rPr>
                <w:noProof/>
              </w:rPr>
              <w:t>15</w:t>
            </w:r>
            <w:r>
              <w:rPr>
                <w:noProof/>
              </w:rPr>
              <w:fldChar w:fldCharType="end"/>
            </w:r>
          </w:hyperlink>
        </w:p>
        <w:p w14:paraId="195AFDDC" w14:textId="788D45BB" w:rsidR="00EE6C9A" w:rsidRDefault="00EE6C9A">
          <w:pPr>
            <w:pStyle w:val="TM2"/>
            <w:tabs>
              <w:tab w:val="right" w:leader="dot" w:pos="9196"/>
            </w:tabs>
            <w:rPr>
              <w:noProof/>
            </w:rPr>
          </w:pPr>
          <w:hyperlink w:anchor="_Toc226291237" w:history="1">
            <w:r w:rsidRPr="00CE3C62">
              <w:rPr>
                <w:rStyle w:val="Lienhypertexte"/>
                <w:noProof/>
              </w:rPr>
              <w:t>4.1 Interprétation des résultats</w:t>
            </w:r>
            <w:r>
              <w:rPr>
                <w:noProof/>
              </w:rPr>
              <w:tab/>
            </w:r>
            <w:r>
              <w:rPr>
                <w:noProof/>
              </w:rPr>
              <w:fldChar w:fldCharType="begin"/>
            </w:r>
            <w:r>
              <w:rPr>
                <w:noProof/>
              </w:rPr>
              <w:instrText xml:space="preserve"> PAGEREF _Toc226291237 \h </w:instrText>
            </w:r>
            <w:r>
              <w:rPr>
                <w:noProof/>
              </w:rPr>
            </w:r>
            <w:r>
              <w:rPr>
                <w:noProof/>
              </w:rPr>
              <w:fldChar w:fldCharType="separate"/>
            </w:r>
            <w:r>
              <w:rPr>
                <w:noProof/>
              </w:rPr>
              <w:t>15</w:t>
            </w:r>
            <w:r>
              <w:rPr>
                <w:noProof/>
              </w:rPr>
              <w:fldChar w:fldCharType="end"/>
            </w:r>
          </w:hyperlink>
        </w:p>
        <w:p w14:paraId="52C99273" w14:textId="7D2F71AA" w:rsidR="00EE6C9A" w:rsidRDefault="00EE6C9A">
          <w:pPr>
            <w:pStyle w:val="TM3"/>
            <w:tabs>
              <w:tab w:val="right" w:leader="dot" w:pos="9196"/>
            </w:tabs>
            <w:rPr>
              <w:noProof/>
            </w:rPr>
          </w:pPr>
          <w:hyperlink w:anchor="_Toc226291238" w:history="1">
            <w:r w:rsidRPr="00CE3C62">
              <w:rPr>
                <w:rStyle w:val="Lienhypertexte"/>
                <w:noProof/>
              </w:rPr>
              <w:t>4.1.1 Pertinence du scoring risk_group</w:t>
            </w:r>
            <w:r>
              <w:rPr>
                <w:noProof/>
              </w:rPr>
              <w:tab/>
            </w:r>
            <w:r>
              <w:rPr>
                <w:noProof/>
              </w:rPr>
              <w:fldChar w:fldCharType="begin"/>
            </w:r>
            <w:r>
              <w:rPr>
                <w:noProof/>
              </w:rPr>
              <w:instrText xml:space="preserve"> PAGEREF _Toc226291238 \h </w:instrText>
            </w:r>
            <w:r>
              <w:rPr>
                <w:noProof/>
              </w:rPr>
            </w:r>
            <w:r>
              <w:rPr>
                <w:noProof/>
              </w:rPr>
              <w:fldChar w:fldCharType="separate"/>
            </w:r>
            <w:r>
              <w:rPr>
                <w:noProof/>
              </w:rPr>
              <w:t>15</w:t>
            </w:r>
            <w:r>
              <w:rPr>
                <w:noProof/>
              </w:rPr>
              <w:fldChar w:fldCharType="end"/>
            </w:r>
          </w:hyperlink>
        </w:p>
        <w:p w14:paraId="1A042217" w14:textId="4FAE6797" w:rsidR="00EE6C9A" w:rsidRDefault="00EE6C9A">
          <w:pPr>
            <w:pStyle w:val="TM3"/>
            <w:tabs>
              <w:tab w:val="right" w:leader="dot" w:pos="9196"/>
            </w:tabs>
            <w:rPr>
              <w:noProof/>
            </w:rPr>
          </w:pPr>
          <w:hyperlink w:anchor="_Toc226291239" w:history="1">
            <w:r w:rsidRPr="00CE3C62">
              <w:rPr>
                <w:rStyle w:val="Lienhypertexte"/>
                <w:noProof/>
              </w:rPr>
              <w:t>4.1.2 Différences entre cancer du sein et cancer du poumon</w:t>
            </w:r>
            <w:r>
              <w:rPr>
                <w:noProof/>
              </w:rPr>
              <w:tab/>
            </w:r>
            <w:r>
              <w:rPr>
                <w:noProof/>
              </w:rPr>
              <w:fldChar w:fldCharType="begin"/>
            </w:r>
            <w:r>
              <w:rPr>
                <w:noProof/>
              </w:rPr>
              <w:instrText xml:space="preserve"> PAGEREF _Toc226291239 \h </w:instrText>
            </w:r>
            <w:r>
              <w:rPr>
                <w:noProof/>
              </w:rPr>
            </w:r>
            <w:r>
              <w:rPr>
                <w:noProof/>
              </w:rPr>
              <w:fldChar w:fldCharType="separate"/>
            </w:r>
            <w:r>
              <w:rPr>
                <w:noProof/>
              </w:rPr>
              <w:t>15</w:t>
            </w:r>
            <w:r>
              <w:rPr>
                <w:noProof/>
              </w:rPr>
              <w:fldChar w:fldCharType="end"/>
            </w:r>
          </w:hyperlink>
        </w:p>
        <w:p w14:paraId="2B9C9DCE" w14:textId="687F340C" w:rsidR="00EE6C9A" w:rsidRDefault="00EE6C9A">
          <w:pPr>
            <w:pStyle w:val="TM3"/>
            <w:tabs>
              <w:tab w:val="right" w:leader="dot" w:pos="9196"/>
            </w:tabs>
            <w:rPr>
              <w:noProof/>
            </w:rPr>
          </w:pPr>
          <w:hyperlink w:anchor="_Toc226291240" w:history="1">
            <w:r w:rsidRPr="00CE3C62">
              <w:rPr>
                <w:rStyle w:val="Lienhypertexte"/>
                <w:noProof/>
              </w:rPr>
              <w:t>4.1.3 Valeur décisionnelle du dashboard</w:t>
            </w:r>
            <w:r>
              <w:rPr>
                <w:noProof/>
              </w:rPr>
              <w:tab/>
            </w:r>
            <w:r>
              <w:rPr>
                <w:noProof/>
              </w:rPr>
              <w:fldChar w:fldCharType="begin"/>
            </w:r>
            <w:r>
              <w:rPr>
                <w:noProof/>
              </w:rPr>
              <w:instrText xml:space="preserve"> PAGEREF _Toc226291240 \h </w:instrText>
            </w:r>
            <w:r>
              <w:rPr>
                <w:noProof/>
              </w:rPr>
            </w:r>
            <w:r>
              <w:rPr>
                <w:noProof/>
              </w:rPr>
              <w:fldChar w:fldCharType="separate"/>
            </w:r>
            <w:r>
              <w:rPr>
                <w:noProof/>
              </w:rPr>
              <w:t>15</w:t>
            </w:r>
            <w:r>
              <w:rPr>
                <w:noProof/>
              </w:rPr>
              <w:fldChar w:fldCharType="end"/>
            </w:r>
          </w:hyperlink>
        </w:p>
        <w:p w14:paraId="325EAC52" w14:textId="5F2BC2BB" w:rsidR="00EE6C9A" w:rsidRDefault="00EE6C9A">
          <w:pPr>
            <w:pStyle w:val="TM2"/>
            <w:tabs>
              <w:tab w:val="right" w:leader="dot" w:pos="9196"/>
            </w:tabs>
            <w:rPr>
              <w:noProof/>
            </w:rPr>
          </w:pPr>
          <w:hyperlink w:anchor="_Toc226291241" w:history="1">
            <w:r w:rsidRPr="00CE3C62">
              <w:rPr>
                <w:rStyle w:val="Lienhypertexte"/>
                <w:noProof/>
              </w:rPr>
              <w:t>4.2 Limites du projet</w:t>
            </w:r>
            <w:r>
              <w:rPr>
                <w:noProof/>
              </w:rPr>
              <w:tab/>
            </w:r>
            <w:r>
              <w:rPr>
                <w:noProof/>
              </w:rPr>
              <w:fldChar w:fldCharType="begin"/>
            </w:r>
            <w:r>
              <w:rPr>
                <w:noProof/>
              </w:rPr>
              <w:instrText xml:space="preserve"> PAGEREF _Toc226291241 \h </w:instrText>
            </w:r>
            <w:r>
              <w:rPr>
                <w:noProof/>
              </w:rPr>
            </w:r>
            <w:r>
              <w:rPr>
                <w:noProof/>
              </w:rPr>
              <w:fldChar w:fldCharType="separate"/>
            </w:r>
            <w:r>
              <w:rPr>
                <w:noProof/>
              </w:rPr>
              <w:t>15</w:t>
            </w:r>
            <w:r>
              <w:rPr>
                <w:noProof/>
              </w:rPr>
              <w:fldChar w:fldCharType="end"/>
            </w:r>
          </w:hyperlink>
        </w:p>
        <w:p w14:paraId="7505A060" w14:textId="5098C841" w:rsidR="00EE6C9A" w:rsidRDefault="00EE6C9A">
          <w:pPr>
            <w:pStyle w:val="TM3"/>
            <w:tabs>
              <w:tab w:val="right" w:leader="dot" w:pos="9196"/>
            </w:tabs>
            <w:rPr>
              <w:noProof/>
            </w:rPr>
          </w:pPr>
          <w:hyperlink w:anchor="_Toc226291242" w:history="1">
            <w:r w:rsidRPr="00CE3C62">
              <w:rPr>
                <w:rStyle w:val="Lienhypertexte"/>
                <w:noProof/>
              </w:rPr>
              <w:t>4.2.1 Limites liées aux données</w:t>
            </w:r>
            <w:r>
              <w:rPr>
                <w:noProof/>
              </w:rPr>
              <w:tab/>
            </w:r>
            <w:r>
              <w:rPr>
                <w:noProof/>
              </w:rPr>
              <w:fldChar w:fldCharType="begin"/>
            </w:r>
            <w:r>
              <w:rPr>
                <w:noProof/>
              </w:rPr>
              <w:instrText xml:space="preserve"> PAGEREF _Toc226291242 \h </w:instrText>
            </w:r>
            <w:r>
              <w:rPr>
                <w:noProof/>
              </w:rPr>
            </w:r>
            <w:r>
              <w:rPr>
                <w:noProof/>
              </w:rPr>
              <w:fldChar w:fldCharType="separate"/>
            </w:r>
            <w:r>
              <w:rPr>
                <w:noProof/>
              </w:rPr>
              <w:t>15</w:t>
            </w:r>
            <w:r>
              <w:rPr>
                <w:noProof/>
              </w:rPr>
              <w:fldChar w:fldCharType="end"/>
            </w:r>
          </w:hyperlink>
        </w:p>
        <w:p w14:paraId="73E673DD" w14:textId="1A9EBCB1" w:rsidR="00EE6C9A" w:rsidRDefault="00EE6C9A">
          <w:pPr>
            <w:pStyle w:val="TM3"/>
            <w:tabs>
              <w:tab w:val="right" w:leader="dot" w:pos="9196"/>
            </w:tabs>
            <w:rPr>
              <w:noProof/>
            </w:rPr>
          </w:pPr>
          <w:hyperlink w:anchor="_Toc226291243" w:history="1">
            <w:r w:rsidRPr="00CE3C62">
              <w:rPr>
                <w:rStyle w:val="Lienhypertexte"/>
                <w:noProof/>
              </w:rPr>
              <w:t>4.2.2 Limites méthodologiques</w:t>
            </w:r>
            <w:r>
              <w:rPr>
                <w:noProof/>
              </w:rPr>
              <w:tab/>
            </w:r>
            <w:r>
              <w:rPr>
                <w:noProof/>
              </w:rPr>
              <w:fldChar w:fldCharType="begin"/>
            </w:r>
            <w:r>
              <w:rPr>
                <w:noProof/>
              </w:rPr>
              <w:instrText xml:space="preserve"> PAGEREF _Toc226291243 \h </w:instrText>
            </w:r>
            <w:r>
              <w:rPr>
                <w:noProof/>
              </w:rPr>
            </w:r>
            <w:r>
              <w:rPr>
                <w:noProof/>
              </w:rPr>
              <w:fldChar w:fldCharType="separate"/>
            </w:r>
            <w:r>
              <w:rPr>
                <w:noProof/>
              </w:rPr>
              <w:t>16</w:t>
            </w:r>
            <w:r>
              <w:rPr>
                <w:noProof/>
              </w:rPr>
              <w:fldChar w:fldCharType="end"/>
            </w:r>
          </w:hyperlink>
        </w:p>
        <w:p w14:paraId="6AF7E230" w14:textId="27F761D4" w:rsidR="00EE6C9A" w:rsidRDefault="00EE6C9A">
          <w:pPr>
            <w:pStyle w:val="TM2"/>
            <w:tabs>
              <w:tab w:val="right" w:leader="dot" w:pos="9196"/>
            </w:tabs>
            <w:rPr>
              <w:noProof/>
            </w:rPr>
          </w:pPr>
          <w:hyperlink w:anchor="_Toc226291244" w:history="1">
            <w:r w:rsidRPr="00CE3C62">
              <w:rPr>
                <w:rStyle w:val="Lienhypertexte"/>
                <w:noProof/>
              </w:rPr>
              <w:t>4.3 Perspectives d'amélioration</w:t>
            </w:r>
            <w:r>
              <w:rPr>
                <w:noProof/>
              </w:rPr>
              <w:tab/>
            </w:r>
            <w:r>
              <w:rPr>
                <w:noProof/>
              </w:rPr>
              <w:fldChar w:fldCharType="begin"/>
            </w:r>
            <w:r>
              <w:rPr>
                <w:noProof/>
              </w:rPr>
              <w:instrText xml:space="preserve"> PAGEREF _Toc226291244 \h </w:instrText>
            </w:r>
            <w:r>
              <w:rPr>
                <w:noProof/>
              </w:rPr>
            </w:r>
            <w:r>
              <w:rPr>
                <w:noProof/>
              </w:rPr>
              <w:fldChar w:fldCharType="separate"/>
            </w:r>
            <w:r>
              <w:rPr>
                <w:noProof/>
              </w:rPr>
              <w:t>16</w:t>
            </w:r>
            <w:r>
              <w:rPr>
                <w:noProof/>
              </w:rPr>
              <w:fldChar w:fldCharType="end"/>
            </w:r>
          </w:hyperlink>
        </w:p>
        <w:p w14:paraId="42AD43D9" w14:textId="7773AE7E" w:rsidR="00EE6C9A" w:rsidRDefault="00EE6C9A">
          <w:pPr>
            <w:pStyle w:val="TM3"/>
            <w:tabs>
              <w:tab w:val="right" w:leader="dot" w:pos="9196"/>
            </w:tabs>
            <w:rPr>
              <w:noProof/>
            </w:rPr>
          </w:pPr>
          <w:hyperlink w:anchor="_Toc226291245" w:history="1">
            <w:r w:rsidRPr="00CE3C62">
              <w:rPr>
                <w:rStyle w:val="Lienhypertexte"/>
                <w:noProof/>
              </w:rPr>
              <w:t>4.3.1 Renforcement statistique</w:t>
            </w:r>
            <w:r>
              <w:rPr>
                <w:noProof/>
              </w:rPr>
              <w:tab/>
            </w:r>
            <w:r>
              <w:rPr>
                <w:noProof/>
              </w:rPr>
              <w:fldChar w:fldCharType="begin"/>
            </w:r>
            <w:r>
              <w:rPr>
                <w:noProof/>
              </w:rPr>
              <w:instrText xml:space="preserve"> PAGEREF _Toc226291245 \h </w:instrText>
            </w:r>
            <w:r>
              <w:rPr>
                <w:noProof/>
              </w:rPr>
            </w:r>
            <w:r>
              <w:rPr>
                <w:noProof/>
              </w:rPr>
              <w:fldChar w:fldCharType="separate"/>
            </w:r>
            <w:r>
              <w:rPr>
                <w:noProof/>
              </w:rPr>
              <w:t>16</w:t>
            </w:r>
            <w:r>
              <w:rPr>
                <w:noProof/>
              </w:rPr>
              <w:fldChar w:fldCharType="end"/>
            </w:r>
          </w:hyperlink>
        </w:p>
        <w:p w14:paraId="0C10B1C7" w14:textId="34BBA077" w:rsidR="00EE6C9A" w:rsidRDefault="00EE6C9A">
          <w:pPr>
            <w:pStyle w:val="TM3"/>
            <w:tabs>
              <w:tab w:val="right" w:leader="dot" w:pos="9196"/>
            </w:tabs>
            <w:rPr>
              <w:noProof/>
            </w:rPr>
          </w:pPr>
          <w:hyperlink w:anchor="_Toc226291246" w:history="1">
            <w:r w:rsidRPr="00CE3C62">
              <w:rPr>
                <w:rStyle w:val="Lienhypertexte"/>
                <w:noProof/>
              </w:rPr>
              <w:t>4.3.2 Enrichissement des données</w:t>
            </w:r>
            <w:r>
              <w:rPr>
                <w:noProof/>
              </w:rPr>
              <w:tab/>
            </w:r>
            <w:r>
              <w:rPr>
                <w:noProof/>
              </w:rPr>
              <w:fldChar w:fldCharType="begin"/>
            </w:r>
            <w:r>
              <w:rPr>
                <w:noProof/>
              </w:rPr>
              <w:instrText xml:space="preserve"> PAGEREF _Toc226291246 \h </w:instrText>
            </w:r>
            <w:r>
              <w:rPr>
                <w:noProof/>
              </w:rPr>
            </w:r>
            <w:r>
              <w:rPr>
                <w:noProof/>
              </w:rPr>
              <w:fldChar w:fldCharType="separate"/>
            </w:r>
            <w:r>
              <w:rPr>
                <w:noProof/>
              </w:rPr>
              <w:t>16</w:t>
            </w:r>
            <w:r>
              <w:rPr>
                <w:noProof/>
              </w:rPr>
              <w:fldChar w:fldCharType="end"/>
            </w:r>
          </w:hyperlink>
        </w:p>
        <w:p w14:paraId="7780DFE1" w14:textId="4D46F23D" w:rsidR="00EE6C9A" w:rsidRDefault="00EE6C9A">
          <w:pPr>
            <w:pStyle w:val="TM3"/>
            <w:tabs>
              <w:tab w:val="right" w:leader="dot" w:pos="9196"/>
            </w:tabs>
            <w:rPr>
              <w:noProof/>
            </w:rPr>
          </w:pPr>
          <w:hyperlink w:anchor="_Toc226291247" w:history="1">
            <w:r w:rsidRPr="00CE3C62">
              <w:rPr>
                <w:rStyle w:val="Lienhypertexte"/>
                <w:noProof/>
              </w:rPr>
              <w:t>4.3.3 Industrialisation du pipeline</w:t>
            </w:r>
            <w:r>
              <w:rPr>
                <w:noProof/>
              </w:rPr>
              <w:tab/>
            </w:r>
            <w:r>
              <w:rPr>
                <w:noProof/>
              </w:rPr>
              <w:fldChar w:fldCharType="begin"/>
            </w:r>
            <w:r>
              <w:rPr>
                <w:noProof/>
              </w:rPr>
              <w:instrText xml:space="preserve"> PAGEREF _Toc226291247 \h </w:instrText>
            </w:r>
            <w:r>
              <w:rPr>
                <w:noProof/>
              </w:rPr>
            </w:r>
            <w:r>
              <w:rPr>
                <w:noProof/>
              </w:rPr>
              <w:fldChar w:fldCharType="separate"/>
            </w:r>
            <w:r>
              <w:rPr>
                <w:noProof/>
              </w:rPr>
              <w:t>16</w:t>
            </w:r>
            <w:r>
              <w:rPr>
                <w:noProof/>
              </w:rPr>
              <w:fldChar w:fldCharType="end"/>
            </w:r>
          </w:hyperlink>
        </w:p>
        <w:p w14:paraId="2619AA9C" w14:textId="53A2DC93" w:rsidR="00EE6C9A" w:rsidRDefault="00EE6C9A">
          <w:pPr>
            <w:pStyle w:val="TM1"/>
            <w:tabs>
              <w:tab w:val="right" w:leader="dot" w:pos="9196"/>
            </w:tabs>
            <w:rPr>
              <w:noProof/>
            </w:rPr>
          </w:pPr>
          <w:hyperlink w:anchor="_Toc226291248" w:history="1">
            <w:r w:rsidRPr="00CE3C62">
              <w:rPr>
                <w:rStyle w:val="Lienhypertexte"/>
                <w:noProof/>
              </w:rPr>
              <w:t>5. Conclusion</w:t>
            </w:r>
            <w:r>
              <w:rPr>
                <w:noProof/>
              </w:rPr>
              <w:tab/>
            </w:r>
            <w:r>
              <w:rPr>
                <w:noProof/>
              </w:rPr>
              <w:fldChar w:fldCharType="begin"/>
            </w:r>
            <w:r>
              <w:rPr>
                <w:noProof/>
              </w:rPr>
              <w:instrText xml:space="preserve"> PAGEREF _Toc226291248 \h </w:instrText>
            </w:r>
            <w:r>
              <w:rPr>
                <w:noProof/>
              </w:rPr>
            </w:r>
            <w:r>
              <w:rPr>
                <w:noProof/>
              </w:rPr>
              <w:fldChar w:fldCharType="separate"/>
            </w:r>
            <w:r>
              <w:rPr>
                <w:noProof/>
              </w:rPr>
              <w:t>18</w:t>
            </w:r>
            <w:r>
              <w:rPr>
                <w:noProof/>
              </w:rPr>
              <w:fldChar w:fldCharType="end"/>
            </w:r>
          </w:hyperlink>
        </w:p>
        <w:p w14:paraId="41B2DD7E" w14:textId="2E674139" w:rsidR="00EE6C9A" w:rsidRDefault="00EE6C9A">
          <w:pPr>
            <w:pStyle w:val="TM1"/>
            <w:tabs>
              <w:tab w:val="right" w:leader="dot" w:pos="9196"/>
            </w:tabs>
            <w:rPr>
              <w:noProof/>
            </w:rPr>
          </w:pPr>
          <w:hyperlink w:anchor="_Toc226291249" w:history="1">
            <w:r w:rsidRPr="00CE3C62">
              <w:rPr>
                <w:rStyle w:val="Lienhypertexte"/>
                <w:noProof/>
              </w:rPr>
              <w:t>Références</w:t>
            </w:r>
            <w:r>
              <w:rPr>
                <w:noProof/>
              </w:rPr>
              <w:tab/>
            </w:r>
            <w:r>
              <w:rPr>
                <w:noProof/>
              </w:rPr>
              <w:fldChar w:fldCharType="begin"/>
            </w:r>
            <w:r>
              <w:rPr>
                <w:noProof/>
              </w:rPr>
              <w:instrText xml:space="preserve"> PAGEREF _Toc226291249 \h </w:instrText>
            </w:r>
            <w:r>
              <w:rPr>
                <w:noProof/>
              </w:rPr>
            </w:r>
            <w:r>
              <w:rPr>
                <w:noProof/>
              </w:rPr>
              <w:fldChar w:fldCharType="separate"/>
            </w:r>
            <w:r>
              <w:rPr>
                <w:noProof/>
              </w:rPr>
              <w:t>19</w:t>
            </w:r>
            <w:r>
              <w:rPr>
                <w:noProof/>
              </w:rPr>
              <w:fldChar w:fldCharType="end"/>
            </w:r>
          </w:hyperlink>
        </w:p>
        <w:p w14:paraId="0A9C93F1" w14:textId="05E7F4CE" w:rsidR="005E74BE" w:rsidRDefault="00000000">
          <w:r>
            <w:fldChar w:fldCharType="end"/>
          </w:r>
        </w:p>
      </w:sdtContent>
    </w:sdt>
    <w:p w14:paraId="0A9C93F2" w14:textId="77777777" w:rsidR="005E74BE" w:rsidRDefault="00000000">
      <w:r>
        <w:br w:type="page"/>
      </w:r>
    </w:p>
    <w:p w14:paraId="0A9C93F3" w14:textId="77777777" w:rsidR="005E74BE" w:rsidRDefault="00000000">
      <w:pPr>
        <w:pStyle w:val="Titre1"/>
      </w:pPr>
      <w:bookmarkStart w:id="3" w:name="_Toc226291203"/>
      <w:r>
        <w:lastRenderedPageBreak/>
        <w:t>1. Introduction</w:t>
      </w:r>
      <w:bookmarkEnd w:id="3"/>
    </w:p>
    <w:p w14:paraId="0A9C93F4" w14:textId="77777777" w:rsidR="005E74BE" w:rsidRDefault="00000000">
      <w:pPr>
        <w:pStyle w:val="Titre2"/>
      </w:pPr>
      <w:bookmarkStart w:id="4" w:name="_Toc226291204"/>
      <w:r>
        <w:t>1.1 Contexte général</w:t>
      </w:r>
      <w:bookmarkEnd w:id="4"/>
    </w:p>
    <w:p w14:paraId="0A9C93F5" w14:textId="77777777" w:rsidR="005E74BE" w:rsidRDefault="00000000">
      <w:pPr>
        <w:spacing w:before="120" w:after="160" w:line="276" w:lineRule="auto"/>
        <w:jc w:val="both"/>
      </w:pPr>
      <w:r>
        <w:rPr>
          <w:color w:val="333333"/>
        </w:rPr>
        <w:t>Le cancer est l'une des principales causes de mortalité dans le monde. Selon l'Organisation mondiale de la santé (OMS), on estime à près de 10 millions le nombre de décès liés au cancer chaque année. Face à cette réalité épidémiologique majeure, la recherche médicale s'est progressivement tournée vers l'exploitation des données biologiques et cliniques pour améliorer le diagnostic, le pronostic et la prise en charge des patients.</w:t>
      </w:r>
    </w:p>
    <w:p w14:paraId="0A9C93F6" w14:textId="77777777" w:rsidR="005E74BE" w:rsidRDefault="00000000">
      <w:pPr>
        <w:spacing w:before="120" w:after="160" w:line="276" w:lineRule="auto"/>
        <w:jc w:val="both"/>
      </w:pPr>
      <w:r>
        <w:rPr>
          <w:color w:val="333333"/>
        </w:rPr>
        <w:t xml:space="preserve">Les </w:t>
      </w:r>
      <w:r>
        <w:rPr>
          <w:b/>
          <w:bCs/>
          <w:color w:val="0A1628"/>
        </w:rPr>
        <w:t>biomarqueurs</w:t>
      </w:r>
      <w:r>
        <w:rPr>
          <w:color w:val="333333"/>
        </w:rPr>
        <w:t xml:space="preserve"> — indicateurs biologiques mesurables tels que TP53, BRCA1, BRCA2, EGFR, KRAS, PIK3CA — occupent désormais une place centrale dans l'oncologie de précision. Ils permettent non seulement d'identifier les patients à haut risque, mais aussi de cibler des thérapies spécifiques et de prédire la réponse aux traitements. Cependant, la multiplication des données génomiques, cliniques et démographiques pose un défi majeur : comment les transformer en informations exploitables pour la prise de décision médicale ?</w:t>
      </w:r>
    </w:p>
    <w:p w14:paraId="0A9C93F7" w14:textId="77777777" w:rsidR="005E74BE" w:rsidRDefault="00000000">
      <w:pPr>
        <w:spacing w:before="120" w:after="160" w:line="276" w:lineRule="auto"/>
        <w:jc w:val="both"/>
      </w:pPr>
      <w:r>
        <w:rPr>
          <w:color w:val="333333"/>
        </w:rPr>
        <w:t xml:space="preserve">C'est dans ce contexte que s'inscrit le projet </w:t>
      </w:r>
      <w:r>
        <w:rPr>
          <w:b/>
          <w:bCs/>
          <w:color w:val="0A1628"/>
        </w:rPr>
        <w:t>OncoBio Decision Analytics</w:t>
      </w:r>
      <w:r>
        <w:rPr>
          <w:color w:val="333333"/>
        </w:rPr>
        <w:t>, développé dans le cadre de la formation Data Analyst de Simplon. Ce projet vise à construire une chaîne de traitement de données complète, allant de l'ingestion multi-sources jusqu'à la production d'un tableau de bord décisionnel interactif.</w:t>
      </w:r>
    </w:p>
    <w:p w14:paraId="0A9C93F8" w14:textId="77777777" w:rsidR="005E74BE" w:rsidRDefault="00000000">
      <w:pPr>
        <w:pStyle w:val="Titre2"/>
      </w:pPr>
      <w:bookmarkStart w:id="5" w:name="_Toc226291205"/>
      <w:r>
        <w:t>1.2 Problématique</w:t>
      </w:r>
      <w:bookmarkEnd w:id="5"/>
    </w:p>
    <w:tbl>
      <w:tblPr>
        <w:tblW w:w="9360" w:type="dxa"/>
        <w:tblBorders>
          <w:top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E74BE" w14:paraId="0A9C93FC" w14:textId="77777777">
        <w:tblPrEx>
          <w:tblCellMar>
            <w:top w:w="0" w:type="dxa"/>
            <w:bottom w:w="0" w:type="dxa"/>
          </w:tblCellMar>
        </w:tblPrEx>
        <w:tc>
          <w:tcPr>
            <w:tcW w:w="120" w:type="dxa"/>
            <w:tcBorders>
              <w:left w:val="single" w:sz="12" w:space="0" w:color="C0392B"/>
            </w:tcBorders>
            <w:shd w:val="clear" w:color="auto" w:fill="FDEDEC"/>
          </w:tcPr>
          <w:p w14:paraId="0A9C93F9" w14:textId="77777777" w:rsidR="005E74BE" w:rsidRDefault="005E74BE"/>
        </w:tc>
        <w:tc>
          <w:tcPr>
            <w:tcW w:w="9240" w:type="dxa"/>
            <w:shd w:val="clear" w:color="auto" w:fill="FDEDEC"/>
            <w:tcMar>
              <w:top w:w="120" w:type="dxa"/>
              <w:left w:w="200" w:type="dxa"/>
              <w:bottom w:w="120" w:type="dxa"/>
              <w:right w:w="200" w:type="dxa"/>
            </w:tcMar>
          </w:tcPr>
          <w:p w14:paraId="0A9C93FA" w14:textId="77777777" w:rsidR="005E74BE" w:rsidRDefault="00000000">
            <w:pPr>
              <w:spacing w:after="60"/>
            </w:pPr>
            <w:r>
              <w:rPr>
                <w:b/>
                <w:bCs/>
                <w:color w:val="C0392B"/>
              </w:rPr>
              <w:t>Question de recherche centrale</w:t>
            </w:r>
          </w:p>
          <w:p w14:paraId="0A9C93FB" w14:textId="77777777" w:rsidR="005E74BE" w:rsidRDefault="00000000">
            <w:pPr>
              <w:spacing w:line="264" w:lineRule="auto"/>
              <w:jc w:val="both"/>
            </w:pPr>
            <w:r>
              <w:rPr>
                <w:color w:val="333333"/>
              </w:rPr>
              <w:t>Comment exploiter efficacement des données cliniques et biologiques hétérogènes afin d'identifier les biomarqueurs associés au pronostic des patients atteints de cancer et d'aider à la prise de décision médicale ?</w:t>
            </w:r>
          </w:p>
        </w:tc>
      </w:tr>
    </w:tbl>
    <w:p w14:paraId="0A9C93FD" w14:textId="77777777" w:rsidR="005E74BE" w:rsidRDefault="005E74BE"/>
    <w:p w14:paraId="0A9C93FE" w14:textId="77777777" w:rsidR="005E74BE" w:rsidRDefault="00000000">
      <w:pPr>
        <w:spacing w:before="120" w:after="160" w:line="276" w:lineRule="auto"/>
        <w:jc w:val="both"/>
      </w:pPr>
      <w:r>
        <w:rPr>
          <w:color w:val="333333"/>
        </w:rPr>
        <w:t>Cette problématique soulève plusieurs questions opérationnelles : comment structurer et harmoniser des données provenant de sources multiples et hétérogènes ? Comment modéliser ces données pour permettre une analyse performante ? Quels indicateurs clés (KPI) sont les plus pertinents pour caractériser le pronostic des patients ? Et comment rendre ces indicateurs accessibles et interprétables pour des professionnels non-techniciens ?</w:t>
      </w:r>
    </w:p>
    <w:p w14:paraId="0A9C93FF" w14:textId="77777777" w:rsidR="005E74BE" w:rsidRDefault="00000000">
      <w:pPr>
        <w:pStyle w:val="Titre2"/>
      </w:pPr>
      <w:bookmarkStart w:id="6" w:name="_Toc226291206"/>
      <w:r>
        <w:t>1.3 Objectifs du projet</w:t>
      </w:r>
      <w:bookmarkEnd w:id="6"/>
    </w:p>
    <w:p w14:paraId="0A9C9400" w14:textId="77777777" w:rsidR="005E74BE" w:rsidRDefault="00000000">
      <w:pPr>
        <w:spacing w:before="120" w:after="160" w:line="276" w:lineRule="auto"/>
        <w:jc w:val="both"/>
      </w:pPr>
      <w:r>
        <w:rPr>
          <w:color w:val="333333"/>
        </w:rPr>
        <w:t>Le projet poursuit quatre objectifs principaux :</w:t>
      </w:r>
    </w:p>
    <w:p w14:paraId="0A9C9401" w14:textId="77777777" w:rsidR="005E74BE" w:rsidRDefault="00000000">
      <w:pPr>
        <w:pStyle w:val="Paragraphedeliste"/>
        <w:numPr>
          <w:ilvl w:val="0"/>
          <w:numId w:val="2"/>
        </w:numPr>
        <w:spacing w:before="60" w:after="60" w:line="264" w:lineRule="auto"/>
      </w:pPr>
      <w:r>
        <w:rPr>
          <w:color w:val="333333"/>
        </w:rPr>
        <w:t>Construire un pipeline de données complet et reproductible, couvrant l'ensemble du cycle de vie de la donnée.</w:t>
      </w:r>
    </w:p>
    <w:p w14:paraId="0A9C9402" w14:textId="77777777" w:rsidR="005E74BE" w:rsidRDefault="00000000">
      <w:pPr>
        <w:pStyle w:val="Paragraphedeliste"/>
        <w:numPr>
          <w:ilvl w:val="0"/>
          <w:numId w:val="2"/>
        </w:numPr>
        <w:spacing w:before="60" w:after="60" w:line="264" w:lineRule="auto"/>
      </w:pPr>
      <w:r>
        <w:rPr>
          <w:color w:val="333333"/>
        </w:rPr>
        <w:t>Modéliser les données dans une base PostgreSQL selon un schéma en étoile (Star Schema) optimisé pour l'analyse décisionnelle.</w:t>
      </w:r>
    </w:p>
    <w:p w14:paraId="0A9C9403" w14:textId="77777777" w:rsidR="005E74BE" w:rsidRDefault="00000000">
      <w:pPr>
        <w:pStyle w:val="Paragraphedeliste"/>
        <w:numPr>
          <w:ilvl w:val="0"/>
          <w:numId w:val="2"/>
        </w:numPr>
        <w:spacing w:before="60" w:after="60" w:line="264" w:lineRule="auto"/>
      </w:pPr>
      <w:r>
        <w:rPr>
          <w:color w:val="333333"/>
        </w:rPr>
        <w:t>Calculer et analyser des indicateurs clés cliniques, pronostiques et décisionnels.</w:t>
      </w:r>
    </w:p>
    <w:p w14:paraId="0A9C9404" w14:textId="77777777" w:rsidR="005E74BE" w:rsidRDefault="00000000">
      <w:pPr>
        <w:pStyle w:val="Paragraphedeliste"/>
        <w:numPr>
          <w:ilvl w:val="0"/>
          <w:numId w:val="2"/>
        </w:numPr>
        <w:spacing w:before="60" w:after="60" w:line="264" w:lineRule="auto"/>
      </w:pPr>
      <w:r>
        <w:rPr>
          <w:color w:val="333333"/>
        </w:rPr>
        <w:t>Produire un tableau de bord Power BI interactif permettant l'exploration des données et l'aide à la décision médicale.</w:t>
      </w:r>
    </w:p>
    <w:p w14:paraId="0A9C9405" w14:textId="77777777" w:rsidR="005E74BE" w:rsidRDefault="00000000">
      <w:pPr>
        <w:pStyle w:val="Titre2"/>
      </w:pPr>
      <w:bookmarkStart w:id="7" w:name="_Toc226291207"/>
      <w:r>
        <w:lastRenderedPageBreak/>
        <w:t>1.4 Structure du rapport</w:t>
      </w:r>
      <w:bookmarkEnd w:id="7"/>
    </w:p>
    <w:p w14:paraId="0A9C9406" w14:textId="77777777" w:rsidR="005E74BE" w:rsidRDefault="00000000">
      <w:pPr>
        <w:spacing w:before="120" w:after="160" w:line="276" w:lineRule="auto"/>
        <w:jc w:val="both"/>
      </w:pPr>
      <w:r>
        <w:rPr>
          <w:color w:val="333333"/>
        </w:rPr>
        <w:t xml:space="preserve">Ce rapport est organisé en cinq parties principales. La section </w:t>
      </w:r>
      <w:r>
        <w:rPr>
          <w:b/>
          <w:bCs/>
          <w:color w:val="0A1628"/>
        </w:rPr>
        <w:t>Matériel et Méthodes</w:t>
      </w:r>
      <w:r>
        <w:rPr>
          <w:color w:val="333333"/>
        </w:rPr>
        <w:t xml:space="preserve"> présente les sources de données utilisées, l'architecture du pipeline et les outils mobilisés. La section </w:t>
      </w:r>
      <w:r>
        <w:rPr>
          <w:b/>
          <w:bCs/>
          <w:color w:val="0A1628"/>
        </w:rPr>
        <w:t>Résultats</w:t>
      </w:r>
      <w:r>
        <w:rPr>
          <w:color w:val="333333"/>
        </w:rPr>
        <w:t xml:space="preserve"> expose les analyses exploratoires, la modélisation, les KPI calculés et les visualisations produites. La section </w:t>
      </w:r>
      <w:r>
        <w:rPr>
          <w:b/>
          <w:bCs/>
          <w:color w:val="0A1628"/>
        </w:rPr>
        <w:t>Discussion</w:t>
      </w:r>
      <w:r>
        <w:rPr>
          <w:color w:val="333333"/>
        </w:rPr>
        <w:t xml:space="preserve"> interprète les résultats, discute les limites du projet et propose des perspectives d'amélioration. Une </w:t>
      </w:r>
      <w:r>
        <w:rPr>
          <w:b/>
          <w:bCs/>
          <w:color w:val="0A1628"/>
        </w:rPr>
        <w:t>Conclusion</w:t>
      </w:r>
      <w:r>
        <w:rPr>
          <w:color w:val="333333"/>
        </w:rPr>
        <w:t xml:space="preserve"> générale clôt le rapport.</w:t>
      </w:r>
    </w:p>
    <w:p w14:paraId="0A9C9407" w14:textId="77777777" w:rsidR="005E74BE" w:rsidRDefault="00000000">
      <w:r>
        <w:br w:type="page"/>
      </w:r>
    </w:p>
    <w:p w14:paraId="0A9C9408" w14:textId="77777777" w:rsidR="005E74BE" w:rsidRDefault="00000000">
      <w:pPr>
        <w:pStyle w:val="Titre1"/>
      </w:pPr>
      <w:bookmarkStart w:id="8" w:name="_Toc226291208"/>
      <w:r>
        <w:lastRenderedPageBreak/>
        <w:t>2. Matériel et Méthodes</w:t>
      </w:r>
      <w:bookmarkEnd w:id="8"/>
    </w:p>
    <w:p w14:paraId="0A9C9409" w14:textId="77777777" w:rsidR="005E74BE" w:rsidRDefault="00000000">
      <w:pPr>
        <w:pStyle w:val="Titre2"/>
      </w:pPr>
      <w:bookmarkStart w:id="9" w:name="_Toc226291209"/>
      <w:r>
        <w:t>2.1 Sources de données</w:t>
      </w:r>
      <w:bookmarkEnd w:id="9"/>
    </w:p>
    <w:p w14:paraId="0A9C940A" w14:textId="77777777" w:rsidR="005E74BE" w:rsidRDefault="00000000">
      <w:pPr>
        <w:pStyle w:val="Titre3"/>
      </w:pPr>
      <w:bookmarkStart w:id="10" w:name="_Toc226291210"/>
      <w:r>
        <w:t>2.1.1 Dataset cancer du sein — SEER (Zenodo)</w:t>
      </w:r>
      <w:bookmarkEnd w:id="10"/>
    </w:p>
    <w:p w14:paraId="0A9C940B" w14:textId="77777777" w:rsidR="005E74BE" w:rsidRDefault="00000000">
      <w:pPr>
        <w:spacing w:before="120" w:after="160" w:line="276" w:lineRule="auto"/>
        <w:jc w:val="both"/>
      </w:pPr>
      <w:r>
        <w:rPr>
          <w:color w:val="333333"/>
        </w:rPr>
        <w:t xml:space="preserve">Le premier jeu de données est issu du programme </w:t>
      </w:r>
      <w:r>
        <w:rPr>
          <w:b/>
          <w:bCs/>
          <w:color w:val="0A1628"/>
        </w:rPr>
        <w:t>SEER (Surveillance, Epidemiology, and End Results)</w:t>
      </w:r>
      <w:r>
        <w:rPr>
          <w:color w:val="333333"/>
        </w:rPr>
        <w:t>, rendu accessible via le dépôt public Zenodo. Il contient des informations démographiques et cliniques sur des patientes atteintes de cancer du sein.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E74BE" w14:paraId="0A9C940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0C" w14:textId="77777777" w:rsidR="005E74BE" w:rsidRDefault="00000000">
            <w:r>
              <w:rPr>
                <w:b/>
                <w:bCs/>
                <w:color w:val="FFFFFF"/>
                <w:sz w:val="20"/>
                <w:szCs w:val="20"/>
              </w:rPr>
              <w:t>Caractéristique</w:t>
            </w:r>
          </w:p>
        </w:tc>
        <w:tc>
          <w:tcPr>
            <w:tcW w:w="6026"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0D" w14:textId="77777777" w:rsidR="005E74BE" w:rsidRDefault="00000000">
            <w:r>
              <w:rPr>
                <w:b/>
                <w:bCs/>
                <w:color w:val="FFFFFF"/>
                <w:sz w:val="20"/>
                <w:szCs w:val="20"/>
              </w:rPr>
              <w:t>Détail</w:t>
            </w:r>
          </w:p>
        </w:tc>
      </w:tr>
      <w:tr w:rsidR="005E74BE" w14:paraId="0A9C94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0F" w14:textId="77777777" w:rsidR="005E74BE" w:rsidRDefault="00000000">
            <w:r>
              <w:rPr>
                <w:b/>
                <w:bCs/>
                <w:color w:val="555555"/>
                <w:sz w:val="20"/>
                <w:szCs w:val="20"/>
              </w:rPr>
              <w:t>Nombre de patients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10" w14:textId="77777777" w:rsidR="005E74BE" w:rsidRDefault="00000000">
            <w:r>
              <w:rPr>
                <w:color w:val="555555"/>
                <w:sz w:val="20"/>
                <w:szCs w:val="20"/>
              </w:rPr>
              <w:t>4 024 patientes</w:t>
            </w:r>
          </w:p>
        </w:tc>
      </w:tr>
      <w:tr w:rsidR="005E74BE" w14:paraId="0A9C94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12" w14:textId="77777777" w:rsidR="005E74BE" w:rsidRDefault="00000000">
            <w:r>
              <w:rPr>
                <w:b/>
                <w:bCs/>
                <w:color w:val="555555"/>
                <w:sz w:val="20"/>
                <w:szCs w:val="20"/>
              </w:rPr>
              <w:t>Sexe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13" w14:textId="77777777" w:rsidR="005E74BE" w:rsidRDefault="00000000">
            <w:r>
              <w:rPr>
                <w:color w:val="555555"/>
                <w:sz w:val="20"/>
                <w:szCs w:val="20"/>
              </w:rPr>
              <w:t>Féminin exclusivement</w:t>
            </w:r>
          </w:p>
        </w:tc>
      </w:tr>
      <w:tr w:rsidR="005E74BE" w14:paraId="0A9C94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15" w14:textId="77777777" w:rsidR="005E74BE" w:rsidRDefault="00000000">
            <w:r>
              <w:rPr>
                <w:b/>
                <w:bCs/>
                <w:color w:val="555555"/>
                <w:sz w:val="20"/>
                <w:szCs w:val="20"/>
              </w:rPr>
              <w:t>Variables clés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16" w14:textId="77777777" w:rsidR="005E74BE" w:rsidRDefault="00000000">
            <w:r>
              <w:rPr>
                <w:color w:val="555555"/>
                <w:sz w:val="20"/>
                <w:szCs w:val="20"/>
              </w:rPr>
              <w:t>Âge, stade tumoral (IIA–IIIC), survie en mois, statut vital (Alive/Dead)</w:t>
            </w:r>
          </w:p>
        </w:tc>
      </w:tr>
      <w:tr w:rsidR="005E74BE" w14:paraId="0A9C94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18" w14:textId="77777777" w:rsidR="005E74BE" w:rsidRDefault="00000000">
            <w:r>
              <w:rPr>
                <w:b/>
                <w:bCs/>
                <w:color w:val="555555"/>
                <w:sz w:val="20"/>
                <w:szCs w:val="20"/>
              </w:rPr>
              <w:t>Âge moyen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19" w14:textId="77777777" w:rsidR="005E74BE" w:rsidRDefault="00000000">
            <w:r>
              <w:rPr>
                <w:color w:val="555555"/>
                <w:sz w:val="20"/>
                <w:szCs w:val="20"/>
              </w:rPr>
              <w:t>55,9 ans</w:t>
            </w:r>
          </w:p>
        </w:tc>
      </w:tr>
      <w:tr w:rsidR="005E74BE" w14:paraId="0A9C94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1B" w14:textId="77777777" w:rsidR="005E74BE" w:rsidRDefault="00000000">
            <w:r>
              <w:rPr>
                <w:b/>
                <w:bCs/>
                <w:color w:val="555555"/>
                <w:sz w:val="20"/>
                <w:szCs w:val="20"/>
              </w:rPr>
              <w:t>Taux de mortalité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1C" w14:textId="77777777" w:rsidR="005E74BE" w:rsidRDefault="00000000">
            <w:r>
              <w:rPr>
                <w:color w:val="555555"/>
                <w:sz w:val="20"/>
                <w:szCs w:val="20"/>
              </w:rPr>
              <w:t>15,3 % (Alive = 0, Dead = 1)</w:t>
            </w:r>
          </w:p>
        </w:tc>
      </w:tr>
      <w:tr w:rsidR="005E74BE" w14:paraId="0A9C94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1E" w14:textId="77777777" w:rsidR="005E74BE" w:rsidRDefault="00000000">
            <w:r>
              <w:rPr>
                <w:b/>
                <w:bCs/>
                <w:color w:val="555555"/>
                <w:sz w:val="20"/>
                <w:szCs w:val="20"/>
              </w:rPr>
              <w:t>Source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1F" w14:textId="77777777" w:rsidR="005E74BE" w:rsidRDefault="00000000">
            <w:r>
              <w:rPr>
                <w:color w:val="555555"/>
                <w:sz w:val="20"/>
                <w:szCs w:val="20"/>
              </w:rPr>
              <w:t>Zenodo — dépôt public (accès libre)</w:t>
            </w:r>
          </w:p>
        </w:tc>
      </w:tr>
    </w:tbl>
    <w:p w14:paraId="0A9C9421" w14:textId="77777777" w:rsidR="005E74BE" w:rsidRDefault="005E74BE"/>
    <w:p w14:paraId="0A9C9422" w14:textId="77777777" w:rsidR="005E74BE" w:rsidRDefault="00000000">
      <w:pPr>
        <w:pStyle w:val="Titre3"/>
      </w:pPr>
      <w:bookmarkStart w:id="11" w:name="_Toc226291211"/>
      <w:r>
        <w:t>2.1.2 Dataset cancer du poumon — NCCTG</w:t>
      </w:r>
      <w:bookmarkEnd w:id="11"/>
    </w:p>
    <w:p w14:paraId="0A9C9423" w14:textId="77777777" w:rsidR="005E74BE" w:rsidRDefault="00000000">
      <w:pPr>
        <w:spacing w:before="120" w:after="160" w:line="276" w:lineRule="auto"/>
        <w:jc w:val="both"/>
      </w:pPr>
      <w:r>
        <w:rPr>
          <w:color w:val="333333"/>
        </w:rPr>
        <w:t xml:space="preserve">Le second jeu de données provient du </w:t>
      </w:r>
      <w:r>
        <w:rPr>
          <w:b/>
          <w:bCs/>
          <w:color w:val="0A1628"/>
        </w:rPr>
        <w:t>North Central Cancer Treatment Group (NCCTG)</w:t>
      </w:r>
      <w:r>
        <w:rPr>
          <w:color w:val="333333"/>
        </w:rPr>
        <w:t>. Il contient des données de survie de patients atteints de cancer du poumon avancé, largement utilisées dans la littérature pour valider des modèles pronostiques. Dans ce projet, un dataset synthétique de 1 228 patients a été généré via SDV (Synthetic Data Vault) pour enrichir la cohorte initiale tout en préservant les distributions statistiques réelles.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E74BE" w14:paraId="0A9C942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C0392B"/>
            <w:tcMar>
              <w:top w:w="100" w:type="dxa"/>
              <w:left w:w="150" w:type="dxa"/>
              <w:bottom w:w="100" w:type="dxa"/>
              <w:right w:w="150" w:type="dxa"/>
            </w:tcMar>
          </w:tcPr>
          <w:p w14:paraId="0A9C9424" w14:textId="77777777" w:rsidR="005E74BE" w:rsidRDefault="00000000">
            <w:r>
              <w:rPr>
                <w:b/>
                <w:bCs/>
                <w:color w:val="FFFFFF"/>
                <w:sz w:val="20"/>
                <w:szCs w:val="20"/>
              </w:rPr>
              <w:t>Variable</w:t>
            </w:r>
          </w:p>
        </w:tc>
        <w:tc>
          <w:tcPr>
            <w:tcW w:w="6026" w:type="dxa"/>
            <w:tcBorders>
              <w:top w:val="single" w:sz="1" w:space="0" w:color="AAAAAA"/>
              <w:left w:val="single" w:sz="1" w:space="0" w:color="AAAAAA"/>
              <w:bottom w:val="single" w:sz="1" w:space="0" w:color="AAAAAA"/>
              <w:right w:val="single" w:sz="1" w:space="0" w:color="AAAAAA"/>
            </w:tcBorders>
            <w:shd w:val="clear" w:color="auto" w:fill="C0392B"/>
            <w:tcMar>
              <w:top w:w="100" w:type="dxa"/>
              <w:left w:w="150" w:type="dxa"/>
              <w:bottom w:w="100" w:type="dxa"/>
              <w:right w:w="150" w:type="dxa"/>
            </w:tcMar>
          </w:tcPr>
          <w:p w14:paraId="0A9C9425" w14:textId="77777777" w:rsidR="005E74BE" w:rsidRDefault="00000000">
            <w:r>
              <w:rPr>
                <w:b/>
                <w:bCs/>
                <w:color w:val="FFFFFF"/>
                <w:sz w:val="20"/>
                <w:szCs w:val="20"/>
              </w:rPr>
              <w:t>Description</w:t>
            </w:r>
          </w:p>
        </w:tc>
      </w:tr>
      <w:tr w:rsidR="005E74BE" w14:paraId="0A9C94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27" w14:textId="77777777" w:rsidR="005E74BE" w:rsidRDefault="00000000">
            <w:r>
              <w:rPr>
                <w:b/>
                <w:bCs/>
                <w:color w:val="555555"/>
                <w:sz w:val="20"/>
                <w:szCs w:val="20"/>
              </w:rPr>
              <w:t>TIME / survival_months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28" w14:textId="77777777" w:rsidR="005E74BE" w:rsidRDefault="00000000">
            <w:r>
              <w:rPr>
                <w:color w:val="555555"/>
                <w:sz w:val="20"/>
                <w:szCs w:val="20"/>
              </w:rPr>
              <w:t>Durée d'observation ou de survie (mois)</w:t>
            </w:r>
          </w:p>
        </w:tc>
      </w:tr>
      <w:tr w:rsidR="005E74BE" w14:paraId="0A9C94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2A" w14:textId="77777777" w:rsidR="005E74BE" w:rsidRDefault="00000000">
            <w:r>
              <w:rPr>
                <w:b/>
                <w:bCs/>
                <w:color w:val="555555"/>
                <w:sz w:val="20"/>
                <w:szCs w:val="20"/>
              </w:rPr>
              <w:t>Y / event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2B" w14:textId="77777777" w:rsidR="005E74BE" w:rsidRDefault="00000000">
            <w:r>
              <w:rPr>
                <w:color w:val="555555"/>
                <w:sz w:val="20"/>
                <w:szCs w:val="20"/>
              </w:rPr>
              <w:t>0 = censuré (vivant), 1 = décès</w:t>
            </w:r>
          </w:p>
        </w:tc>
      </w:tr>
      <w:tr w:rsidR="005E74BE" w14:paraId="0A9C94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2D" w14:textId="77777777" w:rsidR="005E74BE" w:rsidRDefault="00000000">
            <w:r>
              <w:rPr>
                <w:b/>
                <w:bCs/>
                <w:color w:val="555555"/>
                <w:sz w:val="20"/>
                <w:szCs w:val="20"/>
              </w:rPr>
              <w:t>AGE / age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2E" w14:textId="77777777" w:rsidR="005E74BE" w:rsidRDefault="00000000">
            <w:r>
              <w:rPr>
                <w:color w:val="555555"/>
                <w:sz w:val="20"/>
                <w:szCs w:val="20"/>
              </w:rPr>
              <w:t>Âge du patient (années)</w:t>
            </w:r>
          </w:p>
        </w:tc>
      </w:tr>
      <w:tr w:rsidR="005E74BE" w14:paraId="0A9C94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30" w14:textId="77777777" w:rsidR="005E74BE" w:rsidRDefault="00000000">
            <w:r>
              <w:rPr>
                <w:b/>
                <w:bCs/>
                <w:color w:val="555555"/>
                <w:sz w:val="20"/>
                <w:szCs w:val="20"/>
              </w:rPr>
              <w:t>SEX / sex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31" w14:textId="77777777" w:rsidR="005E74BE" w:rsidRDefault="00000000">
            <w:r>
              <w:rPr>
                <w:color w:val="555555"/>
                <w:sz w:val="20"/>
                <w:szCs w:val="20"/>
              </w:rPr>
              <w:t>M = masculin, F = féminin</w:t>
            </w:r>
          </w:p>
        </w:tc>
      </w:tr>
      <w:tr w:rsidR="005E74BE" w14:paraId="0A9C94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33" w14:textId="77777777" w:rsidR="005E74BE" w:rsidRDefault="00000000">
            <w:r>
              <w:rPr>
                <w:b/>
                <w:bCs/>
                <w:color w:val="555555"/>
                <w:sz w:val="20"/>
                <w:szCs w:val="20"/>
              </w:rPr>
              <w:t>ECOG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34" w14:textId="77777777" w:rsidR="005E74BE" w:rsidRDefault="00000000">
            <w:r>
              <w:rPr>
                <w:color w:val="555555"/>
                <w:sz w:val="20"/>
                <w:szCs w:val="20"/>
              </w:rPr>
              <w:t>Score ECOG : état général du patient (0–3)</w:t>
            </w:r>
          </w:p>
        </w:tc>
      </w:tr>
      <w:tr w:rsidR="005E74BE" w14:paraId="0A9C94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36" w14:textId="77777777" w:rsidR="005E74BE" w:rsidRDefault="00000000">
            <w:r>
              <w:rPr>
                <w:b/>
                <w:bCs/>
                <w:color w:val="555555"/>
                <w:sz w:val="20"/>
                <w:szCs w:val="20"/>
              </w:rPr>
              <w:t>Taux de mortalité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37" w14:textId="77777777" w:rsidR="005E74BE" w:rsidRDefault="00000000">
            <w:r>
              <w:rPr>
                <w:color w:val="555555"/>
                <w:sz w:val="20"/>
                <w:szCs w:val="20"/>
              </w:rPr>
              <w:t>70,7 %</w:t>
            </w:r>
          </w:p>
        </w:tc>
      </w:tr>
    </w:tbl>
    <w:p w14:paraId="0A9C9439" w14:textId="77777777" w:rsidR="005E74BE" w:rsidRDefault="005E74BE"/>
    <w:p w14:paraId="0A9C943A" w14:textId="77777777" w:rsidR="005E74BE" w:rsidRDefault="00000000">
      <w:pPr>
        <w:pStyle w:val="Titre3"/>
      </w:pPr>
      <w:bookmarkStart w:id="12" w:name="_Toc226291212"/>
      <w:r>
        <w:t>2.1.3 Biomarqueurs — API NCBI Entrez</w:t>
      </w:r>
      <w:bookmarkEnd w:id="12"/>
    </w:p>
    <w:p w14:paraId="0A9C943B" w14:textId="77777777" w:rsidR="005E74BE" w:rsidRDefault="00000000">
      <w:pPr>
        <w:spacing w:before="120" w:after="160" w:line="276" w:lineRule="auto"/>
        <w:jc w:val="both"/>
      </w:pPr>
      <w:r>
        <w:rPr>
          <w:color w:val="333333"/>
        </w:rPr>
        <w:t>Afin d'enrichir le projet d'une dimension biologique, une extraction automatique de données a été réalisée via l'</w:t>
      </w:r>
      <w:r>
        <w:rPr>
          <w:b/>
          <w:bCs/>
          <w:color w:val="0A1628"/>
        </w:rPr>
        <w:t>API publique NCBI Entrez</w:t>
      </w:r>
      <w:r>
        <w:rPr>
          <w:color w:val="333333"/>
        </w:rPr>
        <w:t>. Pour chacun des 10 biomarqueurs ciblés, le pipeline récupère l'identifiant du gène, son nom officiel et sa description biologique. Les biomarqueurs intégrés sont : TP53, BRCA1, BRCA2, EGFR, KRAS, BRAF, PIK3CA, PTEN, ERBB2 et ALK.</w:t>
      </w:r>
    </w:p>
    <w:p w14:paraId="0A9C943C" w14:textId="77777777" w:rsidR="005E74BE" w:rsidRDefault="00000000">
      <w:pPr>
        <w:pStyle w:val="Titre2"/>
      </w:pPr>
      <w:bookmarkStart w:id="13" w:name="_Toc226291213"/>
      <w:r>
        <w:lastRenderedPageBreak/>
        <w:t>2.2 Architecture et pipeline de données</w:t>
      </w:r>
      <w:bookmarkEnd w:id="13"/>
    </w:p>
    <w:p w14:paraId="0A9C943D" w14:textId="77777777" w:rsidR="005E74BE" w:rsidRDefault="00000000">
      <w:pPr>
        <w:spacing w:before="120" w:after="160" w:line="276" w:lineRule="auto"/>
        <w:jc w:val="both"/>
      </w:pPr>
      <w:r>
        <w:rPr>
          <w:color w:val="333333"/>
        </w:rPr>
        <w:t xml:space="preserve">Le pipeline de données suit une architecture inspirée des bonnes pratiques du Data Engineering, garantissant </w:t>
      </w:r>
      <w:r>
        <w:rPr>
          <w:b/>
          <w:bCs/>
          <w:color w:val="0A1628"/>
        </w:rPr>
        <w:t>reproductibilité</w:t>
      </w:r>
      <w:r>
        <w:rPr>
          <w:color w:val="333333"/>
        </w:rPr>
        <w:t xml:space="preserve">, </w:t>
      </w:r>
      <w:r>
        <w:rPr>
          <w:b/>
          <w:bCs/>
          <w:color w:val="0A1628"/>
        </w:rPr>
        <w:t>traçabilité</w:t>
      </w:r>
      <w:r>
        <w:rPr>
          <w:color w:val="333333"/>
        </w:rPr>
        <w:t xml:space="preserve"> et </w:t>
      </w:r>
      <w:r>
        <w:rPr>
          <w:b/>
          <w:bCs/>
          <w:color w:val="0A1628"/>
        </w:rPr>
        <w:t>industrialisation</w:t>
      </w:r>
      <w:r>
        <w:rPr>
          <w:color w:val="333333"/>
        </w:rPr>
        <w:t>. Il s'articule en sept étapes successives :</w:t>
      </w:r>
    </w:p>
    <w:p w14:paraId="0A9C943E" w14:textId="77777777" w:rsidR="005E74BE" w:rsidRDefault="00000000">
      <w:pPr>
        <w:pStyle w:val="Paragraphedeliste"/>
        <w:numPr>
          <w:ilvl w:val="0"/>
          <w:numId w:val="2"/>
        </w:numPr>
        <w:spacing w:before="60" w:after="60" w:line="264" w:lineRule="auto"/>
      </w:pPr>
      <w:r>
        <w:rPr>
          <w:color w:val="333333"/>
        </w:rPr>
        <w:t>Ingestion : chargement des fichiers CSV (breast + lung) et appel à l'API NCBI Entrez.</w:t>
      </w:r>
    </w:p>
    <w:p w14:paraId="0A9C943F" w14:textId="77777777" w:rsidR="005E74BE" w:rsidRDefault="00000000">
      <w:pPr>
        <w:pStyle w:val="Paragraphedeliste"/>
        <w:numPr>
          <w:ilvl w:val="0"/>
          <w:numId w:val="2"/>
        </w:numPr>
        <w:spacing w:before="60" w:after="60" w:line="264" w:lineRule="auto"/>
      </w:pPr>
      <w:r>
        <w:rPr>
          <w:color w:val="333333"/>
        </w:rPr>
        <w:t>Raw : stockage des données brutes sans transformation.</w:t>
      </w:r>
    </w:p>
    <w:p w14:paraId="0A9C9440" w14:textId="77777777" w:rsidR="005E74BE" w:rsidRDefault="00000000">
      <w:pPr>
        <w:pStyle w:val="Paragraphedeliste"/>
        <w:numPr>
          <w:ilvl w:val="0"/>
          <w:numId w:val="2"/>
        </w:numPr>
        <w:spacing w:before="60" w:after="60" w:line="264" w:lineRule="auto"/>
      </w:pPr>
      <w:r>
        <w:rPr>
          <w:color w:val="333333"/>
        </w:rPr>
        <w:t>Cleaning : gestion des valeurs manquantes, harmonisation des noms de colonnes, standardisation des types.</w:t>
      </w:r>
    </w:p>
    <w:p w14:paraId="0A9C9441" w14:textId="77777777" w:rsidR="005E74BE" w:rsidRDefault="00000000">
      <w:pPr>
        <w:pStyle w:val="Paragraphedeliste"/>
        <w:numPr>
          <w:ilvl w:val="0"/>
          <w:numId w:val="2"/>
        </w:numPr>
        <w:spacing w:before="60" w:after="60" w:line="264" w:lineRule="auto"/>
      </w:pPr>
      <w:r>
        <w:rPr>
          <w:color w:val="333333"/>
        </w:rPr>
        <w:t>Processed : fusion des datasets en un fichier central patients_master.csv, création de variables analytiques.</w:t>
      </w:r>
    </w:p>
    <w:p w14:paraId="0A9C9442" w14:textId="77777777" w:rsidR="005E74BE" w:rsidRDefault="00000000">
      <w:pPr>
        <w:pStyle w:val="Paragraphedeliste"/>
        <w:numPr>
          <w:ilvl w:val="0"/>
          <w:numId w:val="2"/>
        </w:numPr>
        <w:spacing w:before="60" w:after="60" w:line="264" w:lineRule="auto"/>
      </w:pPr>
      <w:r>
        <w:rPr>
          <w:color w:val="333333"/>
        </w:rPr>
        <w:t>PostgreSQL : chargement dans une base relationnelle structurée en schéma en étoile.</w:t>
      </w:r>
    </w:p>
    <w:p w14:paraId="0A9C9443" w14:textId="77777777" w:rsidR="005E74BE" w:rsidRDefault="00000000">
      <w:pPr>
        <w:pStyle w:val="Paragraphedeliste"/>
        <w:numPr>
          <w:ilvl w:val="0"/>
          <w:numId w:val="2"/>
        </w:numPr>
        <w:spacing w:before="60" w:after="60" w:line="264" w:lineRule="auto"/>
      </w:pPr>
      <w:r>
        <w:rPr>
          <w:color w:val="333333"/>
        </w:rPr>
        <w:t>KPI : calcul des indicateurs clés cliniques, pronostiques et décisionnels.</w:t>
      </w:r>
    </w:p>
    <w:p w14:paraId="0A9C9444" w14:textId="77777777" w:rsidR="005E74BE" w:rsidRDefault="00000000">
      <w:pPr>
        <w:pStyle w:val="Paragraphedeliste"/>
        <w:numPr>
          <w:ilvl w:val="0"/>
          <w:numId w:val="2"/>
        </w:numPr>
        <w:spacing w:before="60" w:after="60" w:line="264" w:lineRule="auto"/>
      </w:pPr>
      <w:r>
        <w:rPr>
          <w:color w:val="333333"/>
        </w:rPr>
        <w:t>Dashboard : visualisation interactive dans Power BI.</w:t>
      </w:r>
    </w:p>
    <w:p w14:paraId="0A9C9445" w14:textId="77777777" w:rsidR="005E74BE" w:rsidRDefault="005E74BE"/>
    <w:tbl>
      <w:tblPr>
        <w:tblW w:w="9360" w:type="dxa"/>
        <w:tblBorders>
          <w:top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E74BE" w:rsidRPr="00EE6C9A" w14:paraId="0A9C9449" w14:textId="77777777">
        <w:tblPrEx>
          <w:tblCellMar>
            <w:top w:w="0" w:type="dxa"/>
            <w:bottom w:w="0" w:type="dxa"/>
          </w:tblCellMar>
        </w:tblPrEx>
        <w:tc>
          <w:tcPr>
            <w:tcW w:w="120" w:type="dxa"/>
            <w:tcBorders>
              <w:left w:val="single" w:sz="12" w:space="0" w:color="2980B9"/>
            </w:tcBorders>
            <w:shd w:val="clear" w:color="auto" w:fill="EBF5FB"/>
          </w:tcPr>
          <w:p w14:paraId="0A9C9446" w14:textId="77777777" w:rsidR="005E74BE" w:rsidRDefault="005E74BE"/>
        </w:tc>
        <w:tc>
          <w:tcPr>
            <w:tcW w:w="9240" w:type="dxa"/>
            <w:shd w:val="clear" w:color="auto" w:fill="EBF5FB"/>
            <w:tcMar>
              <w:top w:w="120" w:type="dxa"/>
              <w:left w:w="200" w:type="dxa"/>
              <w:bottom w:w="120" w:type="dxa"/>
              <w:right w:w="200" w:type="dxa"/>
            </w:tcMar>
          </w:tcPr>
          <w:p w14:paraId="0A9C9447" w14:textId="77777777" w:rsidR="005E74BE" w:rsidRDefault="00000000">
            <w:pPr>
              <w:spacing w:after="60"/>
            </w:pPr>
            <w:r>
              <w:rPr>
                <w:b/>
                <w:bCs/>
                <w:color w:val="2980B9"/>
              </w:rPr>
              <w:t>Pipeline complet</w:t>
            </w:r>
          </w:p>
          <w:p w14:paraId="0A9C9448" w14:textId="77777777" w:rsidR="005E74BE" w:rsidRPr="00EE6C9A" w:rsidRDefault="00000000">
            <w:pPr>
              <w:spacing w:line="264" w:lineRule="auto"/>
              <w:jc w:val="both"/>
              <w:rPr>
                <w:lang w:val="en-US"/>
              </w:rPr>
            </w:pPr>
            <w:r w:rsidRPr="00EE6C9A">
              <w:rPr>
                <w:color w:val="333333"/>
                <w:lang w:val="en-US"/>
              </w:rPr>
              <w:t>Sources → Ingestion → Raw → Cleaning → Processed → PostgreSQL → KPI → Dashboard</w:t>
            </w:r>
          </w:p>
        </w:tc>
      </w:tr>
    </w:tbl>
    <w:p w14:paraId="0A9C944A" w14:textId="77777777" w:rsidR="005E74BE" w:rsidRDefault="00000000">
      <w:pPr>
        <w:pStyle w:val="Titre2"/>
      </w:pPr>
      <w:bookmarkStart w:id="14" w:name="_Toc226291214"/>
      <w:r>
        <w:t>2.3 Préprocessing et Feature Engineering</w:t>
      </w:r>
      <w:bookmarkEnd w:id="14"/>
    </w:p>
    <w:p w14:paraId="0A9C944B" w14:textId="77777777" w:rsidR="005E74BE" w:rsidRDefault="00000000">
      <w:pPr>
        <w:pStyle w:val="Titre3"/>
      </w:pPr>
      <w:bookmarkStart w:id="15" w:name="_Toc226291215"/>
      <w:r>
        <w:t>2.3.1 Nettoyage des données</w:t>
      </w:r>
      <w:bookmarkEnd w:id="15"/>
    </w:p>
    <w:p w14:paraId="0A9C944C" w14:textId="77777777" w:rsidR="005E74BE" w:rsidRDefault="00000000">
      <w:pPr>
        <w:spacing w:before="120" w:after="160" w:line="276" w:lineRule="auto"/>
        <w:jc w:val="both"/>
      </w:pPr>
      <w:r>
        <w:rPr>
          <w:color w:val="333333"/>
        </w:rPr>
        <w:t>Les étapes de nettoyage réalisées dans les notebooks Python sont les suivantes :</w:t>
      </w:r>
    </w:p>
    <w:p w14:paraId="0A9C944D" w14:textId="77777777" w:rsidR="005E74BE" w:rsidRDefault="00000000">
      <w:pPr>
        <w:pStyle w:val="Paragraphedeliste"/>
        <w:numPr>
          <w:ilvl w:val="0"/>
          <w:numId w:val="2"/>
        </w:numPr>
        <w:spacing w:before="60" w:after="60" w:line="264" w:lineRule="auto"/>
      </w:pPr>
      <w:r>
        <w:rPr>
          <w:color w:val="333333"/>
        </w:rPr>
        <w:t>Renommage des colonnes pour harmoniser les deux datasets (Age → age, Survival Months → survival_months, Status → event).</w:t>
      </w:r>
    </w:p>
    <w:p w14:paraId="0A9C944E" w14:textId="77777777" w:rsidR="005E74BE" w:rsidRDefault="00000000">
      <w:pPr>
        <w:pStyle w:val="Paragraphedeliste"/>
        <w:numPr>
          <w:ilvl w:val="0"/>
          <w:numId w:val="2"/>
        </w:numPr>
        <w:spacing w:before="60" w:after="60" w:line="264" w:lineRule="auto"/>
      </w:pPr>
      <w:r>
        <w:rPr>
          <w:color w:val="333333"/>
        </w:rPr>
        <w:t>Suppression des lignes avec valeurs manquantes sur les variables critiques (age, survival_months).</w:t>
      </w:r>
    </w:p>
    <w:p w14:paraId="0A9C944F" w14:textId="77777777" w:rsidR="005E74BE" w:rsidRDefault="00000000">
      <w:pPr>
        <w:pStyle w:val="Paragraphedeliste"/>
        <w:numPr>
          <w:ilvl w:val="0"/>
          <w:numId w:val="2"/>
        </w:numPr>
        <w:spacing w:before="60" w:after="60" w:line="264" w:lineRule="auto"/>
      </w:pPr>
      <w:r>
        <w:rPr>
          <w:color w:val="333333"/>
        </w:rPr>
        <w:t>Encodage binaire de la variable event : Alive → 0, Dead → 1.</w:t>
      </w:r>
    </w:p>
    <w:p w14:paraId="0A9C9450" w14:textId="77777777" w:rsidR="005E74BE" w:rsidRDefault="00000000">
      <w:pPr>
        <w:pStyle w:val="Paragraphedeliste"/>
        <w:numPr>
          <w:ilvl w:val="0"/>
          <w:numId w:val="2"/>
        </w:numPr>
        <w:spacing w:before="60" w:after="60" w:line="264" w:lineRule="auto"/>
      </w:pPr>
      <w:r>
        <w:rPr>
          <w:color w:val="333333"/>
        </w:rPr>
        <w:t>Harmonisation de la variable sex : 1 → M, 2 → F pour le dataset Lung.</w:t>
      </w:r>
    </w:p>
    <w:p w14:paraId="0A9C9451" w14:textId="77777777" w:rsidR="005E74BE" w:rsidRDefault="00000000">
      <w:pPr>
        <w:pStyle w:val="Paragraphedeliste"/>
        <w:numPr>
          <w:ilvl w:val="0"/>
          <w:numId w:val="2"/>
        </w:numPr>
        <w:spacing w:before="60" w:after="60" w:line="264" w:lineRule="auto"/>
      </w:pPr>
      <w:r>
        <w:rPr>
          <w:color w:val="333333"/>
        </w:rPr>
        <w:t>Ajout de la variable cancer_type ("Breast" ou "Lung") pour identifier l'origine du patient.</w:t>
      </w:r>
    </w:p>
    <w:p w14:paraId="0A9C9452" w14:textId="77777777" w:rsidR="005E74BE" w:rsidRDefault="00000000">
      <w:pPr>
        <w:pStyle w:val="Paragraphedeliste"/>
        <w:numPr>
          <w:ilvl w:val="0"/>
          <w:numId w:val="2"/>
        </w:numPr>
        <w:spacing w:before="60" w:after="60" w:line="264" w:lineRule="auto"/>
      </w:pPr>
      <w:r>
        <w:rPr>
          <w:color w:val="333333"/>
        </w:rPr>
        <w:t>Clipping de survival_months avec une valeur minimale de 1 mois pour éviter les valeurs nulles ou négatives.</w:t>
      </w:r>
    </w:p>
    <w:p w14:paraId="0A9C9453" w14:textId="77777777" w:rsidR="005E74BE" w:rsidRDefault="00000000">
      <w:pPr>
        <w:pStyle w:val="Titre3"/>
      </w:pPr>
      <w:bookmarkStart w:id="16" w:name="_Toc226291216"/>
      <w:r>
        <w:t>2.3.2 Création du fichier patients_master</w:t>
      </w:r>
      <w:bookmarkEnd w:id="16"/>
    </w:p>
    <w:p w14:paraId="0A9C9454" w14:textId="77777777" w:rsidR="005E74BE" w:rsidRDefault="00000000">
      <w:pPr>
        <w:spacing w:before="120" w:after="160" w:line="276" w:lineRule="auto"/>
        <w:jc w:val="both"/>
      </w:pPr>
      <w:r>
        <w:rPr>
          <w:color w:val="333333"/>
        </w:rPr>
        <w:t xml:space="preserve">Les deux datasets nettoyés sont fusionnés via </w:t>
      </w:r>
      <w:r>
        <w:rPr>
          <w:b/>
          <w:bCs/>
          <w:color w:val="0A1628"/>
        </w:rPr>
        <w:t>pd.concat()</w:t>
      </w:r>
      <w:r>
        <w:rPr>
          <w:color w:val="333333"/>
        </w:rPr>
        <w:t xml:space="preserve"> en conservant les colonnes communes : age, sex, survival_months, event, stage, ecog, cancer_type. Un identifiant unique patient_id est généré de 1 à N. Le fichier final contient </w:t>
      </w:r>
      <w:r>
        <w:rPr>
          <w:b/>
          <w:bCs/>
          <w:color w:val="0A1628"/>
        </w:rPr>
        <w:t>5 252 patients</w:t>
      </w:r>
      <w:r>
        <w:rPr>
          <w:color w:val="333333"/>
        </w:rPr>
        <w:t>.</w:t>
      </w:r>
    </w:p>
    <w:p w14:paraId="0A9C9455" w14:textId="77777777" w:rsidR="005E74BE" w:rsidRDefault="00000000">
      <w:pPr>
        <w:pStyle w:val="Titre3"/>
      </w:pPr>
      <w:bookmarkStart w:id="17" w:name="_Toc226291217"/>
      <w:r>
        <w:t>2.3.3 Feature Engineering — Variable risk_group</w:t>
      </w:r>
      <w:bookmarkEnd w:id="17"/>
    </w:p>
    <w:p w14:paraId="0A9C9456" w14:textId="77777777" w:rsidR="005E74BE" w:rsidRDefault="00000000">
      <w:pPr>
        <w:spacing w:before="120" w:after="160" w:line="276" w:lineRule="auto"/>
        <w:jc w:val="both"/>
      </w:pPr>
      <w:r>
        <w:rPr>
          <w:color w:val="333333"/>
        </w:rPr>
        <w:t xml:space="preserve">La variable analytique centrale </w:t>
      </w:r>
      <w:r>
        <w:rPr>
          <w:b/>
          <w:bCs/>
          <w:color w:val="0A1628"/>
        </w:rPr>
        <w:t>risk_group</w:t>
      </w:r>
      <w:r>
        <w:rPr>
          <w:color w:val="333333"/>
        </w:rPr>
        <w:t xml:space="preserve"> est créée par discrétisation de la durée de survie via la fonction </w:t>
      </w:r>
      <w:r>
        <w:rPr>
          <w:color w:val="555555"/>
        </w:rPr>
        <w:t>pd.cut()</w:t>
      </w:r>
      <w:r>
        <w:rPr>
          <w:color w:val="333333"/>
        </w:rPr>
        <w:t xml:space="preserve"> avec les seuils suivants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5E74BE" w14:paraId="0A9C945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57" w14:textId="77777777" w:rsidR="005E74BE" w:rsidRDefault="00000000">
            <w:r>
              <w:rPr>
                <w:b/>
                <w:bCs/>
                <w:color w:val="FFFFFF"/>
                <w:sz w:val="20"/>
                <w:szCs w:val="20"/>
              </w:rPr>
              <w:t>Groupe</w:t>
            </w:r>
          </w:p>
        </w:tc>
        <w:tc>
          <w:tcPr>
            <w:tcW w:w="30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58" w14:textId="77777777" w:rsidR="005E74BE" w:rsidRDefault="00000000">
            <w:r>
              <w:rPr>
                <w:b/>
                <w:bCs/>
                <w:color w:val="FFFFFF"/>
                <w:sz w:val="20"/>
                <w:szCs w:val="20"/>
              </w:rPr>
              <w:t>Intervalle (mois)</w:t>
            </w:r>
          </w:p>
        </w:tc>
        <w:tc>
          <w:tcPr>
            <w:tcW w:w="3026"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59" w14:textId="77777777" w:rsidR="005E74BE" w:rsidRDefault="00000000">
            <w:r>
              <w:rPr>
                <w:b/>
                <w:bCs/>
                <w:color w:val="FFFFFF"/>
                <w:sz w:val="20"/>
                <w:szCs w:val="20"/>
              </w:rPr>
              <w:t>Interprétation</w:t>
            </w:r>
          </w:p>
        </w:tc>
      </w:tr>
      <w:tr w:rsidR="005E74BE" w14:paraId="0A9C94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14:paraId="0A9C945B" w14:textId="77777777" w:rsidR="005E74BE" w:rsidRDefault="00000000">
            <w:r>
              <w:rPr>
                <w:b/>
                <w:bCs/>
                <w:color w:val="555555"/>
                <w:sz w:val="20"/>
                <w:szCs w:val="20"/>
              </w:rPr>
              <w:lastRenderedPageBreak/>
              <w:t>🔴 High Risk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5C" w14:textId="77777777" w:rsidR="005E74BE" w:rsidRDefault="00000000">
            <w:r>
              <w:rPr>
                <w:color w:val="555555"/>
                <w:sz w:val="20"/>
                <w:szCs w:val="20"/>
              </w:rPr>
              <w:t>0 – 12 mois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5D" w14:textId="77777777" w:rsidR="005E74BE" w:rsidRDefault="00000000">
            <w:r>
              <w:rPr>
                <w:color w:val="555555"/>
                <w:sz w:val="20"/>
                <w:szCs w:val="20"/>
              </w:rPr>
              <w:t>Survie très courte, pronostic sévère</w:t>
            </w:r>
          </w:p>
        </w:tc>
      </w:tr>
      <w:tr w:rsidR="005E74BE" w14:paraId="0A9C94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14:paraId="0A9C945F" w14:textId="77777777" w:rsidR="005E74BE" w:rsidRDefault="00000000">
            <w:r>
              <w:rPr>
                <w:b/>
                <w:bCs/>
                <w:color w:val="555555"/>
                <w:sz w:val="20"/>
                <w:szCs w:val="20"/>
              </w:rPr>
              <w:t>🟡 Medium Risk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60" w14:textId="77777777" w:rsidR="005E74BE" w:rsidRDefault="00000000">
            <w:r>
              <w:rPr>
                <w:color w:val="555555"/>
                <w:sz w:val="20"/>
                <w:szCs w:val="20"/>
              </w:rPr>
              <w:t>12 – 36 mois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61" w14:textId="77777777" w:rsidR="005E74BE" w:rsidRDefault="00000000">
            <w:r>
              <w:rPr>
                <w:color w:val="555555"/>
                <w:sz w:val="20"/>
                <w:szCs w:val="20"/>
              </w:rPr>
              <w:t>Pronostic intermédiaire</w:t>
            </w:r>
          </w:p>
        </w:tc>
      </w:tr>
      <w:tr w:rsidR="005E74BE" w14:paraId="0A9C9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8F5"/>
            <w:tcMar>
              <w:top w:w="100" w:type="dxa"/>
              <w:left w:w="150" w:type="dxa"/>
              <w:bottom w:w="100" w:type="dxa"/>
              <w:right w:w="150" w:type="dxa"/>
            </w:tcMar>
          </w:tcPr>
          <w:p w14:paraId="0A9C9463" w14:textId="77777777" w:rsidR="005E74BE" w:rsidRDefault="00000000">
            <w:r>
              <w:rPr>
                <w:b/>
                <w:bCs/>
                <w:color w:val="555555"/>
                <w:sz w:val="20"/>
                <w:szCs w:val="20"/>
              </w:rPr>
              <w:t>🟢 Low Risk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64" w14:textId="77777777" w:rsidR="005E74BE" w:rsidRDefault="00000000">
            <w:r>
              <w:rPr>
                <w:color w:val="555555"/>
                <w:sz w:val="20"/>
                <w:szCs w:val="20"/>
              </w:rPr>
              <w:t>&gt; 36 mois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65" w14:textId="77777777" w:rsidR="005E74BE" w:rsidRDefault="00000000">
            <w:r>
              <w:rPr>
                <w:color w:val="555555"/>
                <w:sz w:val="20"/>
                <w:szCs w:val="20"/>
              </w:rPr>
              <w:t>Bon pronostic, survie longue</w:t>
            </w:r>
          </w:p>
        </w:tc>
      </w:tr>
    </w:tbl>
    <w:p w14:paraId="0A9C9467" w14:textId="77777777" w:rsidR="005E74BE" w:rsidRDefault="00000000">
      <w:pPr>
        <w:pStyle w:val="Titre2"/>
      </w:pPr>
      <w:bookmarkStart w:id="18" w:name="_Toc226291218"/>
      <w:r>
        <w:t>2.4 Modélisation des données — PostgreSQL</w:t>
      </w:r>
      <w:bookmarkEnd w:id="18"/>
    </w:p>
    <w:p w14:paraId="0A9C9468" w14:textId="77777777" w:rsidR="005E74BE" w:rsidRDefault="00000000">
      <w:pPr>
        <w:spacing w:before="120" w:after="160" w:line="276" w:lineRule="auto"/>
        <w:jc w:val="both"/>
      </w:pPr>
      <w:r>
        <w:rPr>
          <w:color w:val="333333"/>
        </w:rPr>
        <w:t xml:space="preserve">La base de données PostgreSQL est structurée selon un </w:t>
      </w:r>
      <w:r>
        <w:rPr>
          <w:b/>
          <w:bCs/>
          <w:color w:val="0A1628"/>
        </w:rPr>
        <w:t>schéma en étoile (Star Schema)</w:t>
      </w:r>
      <w:r>
        <w:rPr>
          <w:color w:val="333333"/>
        </w:rPr>
        <w:t>, architecture standard en Business Intelligence. Ce modèle permet des requêtes analytiques performantes et une exploitation optimisée dans Power BI.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3"/>
        <w:gridCol w:w="1480"/>
        <w:gridCol w:w="4933"/>
      </w:tblGrid>
      <w:tr w:rsidR="005E74BE" w14:paraId="0A9C946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69" w14:textId="77777777" w:rsidR="005E74BE" w:rsidRDefault="00000000">
            <w:r>
              <w:rPr>
                <w:b/>
                <w:bCs/>
                <w:color w:val="FFFFFF"/>
                <w:sz w:val="20"/>
                <w:szCs w:val="20"/>
              </w:rPr>
              <w:t>Table</w:t>
            </w:r>
          </w:p>
        </w:tc>
        <w:tc>
          <w:tcPr>
            <w:tcW w:w="15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6A" w14:textId="77777777" w:rsidR="005E74BE" w:rsidRDefault="00000000">
            <w:r>
              <w:rPr>
                <w:b/>
                <w:bCs/>
                <w:color w:val="FFFFFF"/>
                <w:sz w:val="20"/>
                <w:szCs w:val="20"/>
              </w:rPr>
              <w:t>Type</w:t>
            </w:r>
          </w:p>
        </w:tc>
        <w:tc>
          <w:tcPr>
            <w:tcW w:w="5026"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6B" w14:textId="77777777" w:rsidR="005E74BE" w:rsidRDefault="00000000">
            <w:r>
              <w:rPr>
                <w:b/>
                <w:bCs/>
                <w:color w:val="FFFFFF"/>
                <w:sz w:val="20"/>
                <w:szCs w:val="20"/>
              </w:rPr>
              <w:t>Contenu principal</w:t>
            </w:r>
          </w:p>
        </w:tc>
      </w:tr>
      <w:tr w:rsidR="005E74BE" w:rsidRPr="00EE6C9A" w14:paraId="0A9C94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6D" w14:textId="77777777" w:rsidR="005E74BE" w:rsidRDefault="00000000">
            <w:r>
              <w:rPr>
                <w:b/>
                <w:bCs/>
                <w:color w:val="555555"/>
                <w:sz w:val="20"/>
                <w:szCs w:val="20"/>
              </w:rPr>
              <w:t>dim_patients</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A9C946E" w14:textId="77777777" w:rsidR="005E74BE" w:rsidRDefault="00000000">
            <w:r>
              <w:rPr>
                <w:b/>
                <w:bCs/>
                <w:color w:val="555555"/>
                <w:sz w:val="20"/>
                <w:szCs w:val="20"/>
              </w:rPr>
              <w:t>DIM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6F" w14:textId="77777777" w:rsidR="005E74BE" w:rsidRPr="00EE6C9A" w:rsidRDefault="00000000">
            <w:pPr>
              <w:rPr>
                <w:lang w:val="en-US"/>
              </w:rPr>
            </w:pPr>
            <w:r w:rsidRPr="00EE6C9A">
              <w:rPr>
                <w:color w:val="555555"/>
                <w:sz w:val="20"/>
                <w:szCs w:val="20"/>
                <w:lang w:val="en-US"/>
              </w:rPr>
              <w:t>patient_id (PK), age, sex, cancer_type, risk_group</w:t>
            </w:r>
          </w:p>
        </w:tc>
      </w:tr>
      <w:tr w:rsidR="005E74BE" w:rsidRPr="00EE6C9A" w14:paraId="0A9C94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71" w14:textId="77777777" w:rsidR="005E74BE" w:rsidRDefault="00000000">
            <w:r>
              <w:rPr>
                <w:b/>
                <w:bCs/>
                <w:color w:val="555555"/>
                <w:sz w:val="20"/>
                <w:szCs w:val="20"/>
              </w:rPr>
              <w:t>fact_clinical_outcomes</w:t>
            </w:r>
          </w:p>
        </w:tc>
        <w:tc>
          <w:tcPr>
            <w:tcW w:w="150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14:paraId="0A9C9472" w14:textId="77777777" w:rsidR="005E74BE" w:rsidRDefault="00000000">
            <w:r>
              <w:rPr>
                <w:b/>
                <w:bCs/>
                <w:color w:val="555555"/>
                <w:sz w:val="20"/>
                <w:szCs w:val="20"/>
              </w:rPr>
              <w:t>FACT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73" w14:textId="77777777" w:rsidR="005E74BE" w:rsidRPr="00EE6C9A" w:rsidRDefault="00000000">
            <w:pPr>
              <w:rPr>
                <w:lang w:val="en-US"/>
              </w:rPr>
            </w:pPr>
            <w:r w:rsidRPr="00EE6C9A">
              <w:rPr>
                <w:color w:val="555555"/>
                <w:sz w:val="20"/>
                <w:szCs w:val="20"/>
                <w:lang w:val="en-US"/>
              </w:rPr>
              <w:t>outcome_id (PK), patient_id (FK), survival_months, event, stage, ecog</w:t>
            </w:r>
          </w:p>
        </w:tc>
      </w:tr>
      <w:tr w:rsidR="005E74BE" w:rsidRPr="00EE6C9A" w14:paraId="0A9C94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75" w14:textId="77777777" w:rsidR="005E74BE" w:rsidRDefault="00000000">
            <w:r>
              <w:rPr>
                <w:b/>
                <w:bCs/>
                <w:color w:val="555555"/>
                <w:sz w:val="20"/>
                <w:szCs w:val="20"/>
              </w:rPr>
              <w:t>dim_biomarkers</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A9C9476" w14:textId="77777777" w:rsidR="005E74BE" w:rsidRDefault="00000000">
            <w:r>
              <w:rPr>
                <w:b/>
                <w:bCs/>
                <w:color w:val="555555"/>
                <w:sz w:val="20"/>
                <w:szCs w:val="20"/>
              </w:rPr>
              <w:t>DIM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77" w14:textId="77777777" w:rsidR="005E74BE" w:rsidRPr="00EE6C9A" w:rsidRDefault="00000000">
            <w:pPr>
              <w:rPr>
                <w:lang w:val="en-US"/>
              </w:rPr>
            </w:pPr>
            <w:r w:rsidRPr="00EE6C9A">
              <w:rPr>
                <w:color w:val="555555"/>
                <w:sz w:val="20"/>
                <w:szCs w:val="20"/>
                <w:lang w:val="en-US"/>
              </w:rPr>
              <w:t>biomarker_id (PK), gene_symbol, gene_id, official_name, description</w:t>
            </w:r>
          </w:p>
        </w:tc>
      </w:tr>
      <w:tr w:rsidR="005E74BE" w:rsidRPr="00EE6C9A" w14:paraId="0A9C94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79" w14:textId="77777777" w:rsidR="005E74BE" w:rsidRDefault="00000000">
            <w:r>
              <w:rPr>
                <w:b/>
                <w:bCs/>
                <w:color w:val="555555"/>
                <w:sz w:val="20"/>
                <w:szCs w:val="20"/>
              </w:rPr>
              <w:t>fact_patient_biomarkers</w:t>
            </w:r>
          </w:p>
        </w:tc>
        <w:tc>
          <w:tcPr>
            <w:tcW w:w="150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14:paraId="0A9C947A" w14:textId="77777777" w:rsidR="005E74BE" w:rsidRDefault="00000000">
            <w:r>
              <w:rPr>
                <w:b/>
                <w:bCs/>
                <w:color w:val="555555"/>
                <w:sz w:val="20"/>
                <w:szCs w:val="20"/>
              </w:rPr>
              <w:t>FACT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7B" w14:textId="77777777" w:rsidR="005E74BE" w:rsidRPr="00EE6C9A" w:rsidRDefault="00000000">
            <w:pPr>
              <w:rPr>
                <w:lang w:val="en-US"/>
              </w:rPr>
            </w:pPr>
            <w:r w:rsidRPr="00EE6C9A">
              <w:rPr>
                <w:color w:val="555555"/>
                <w:sz w:val="20"/>
                <w:szCs w:val="20"/>
                <w:lang w:val="en-US"/>
              </w:rPr>
              <w:t>id (PK), patient_id (FK), biomarker_id (FK), association_source</w:t>
            </w:r>
          </w:p>
        </w:tc>
      </w:tr>
      <w:tr w:rsidR="005E74BE" w:rsidRPr="00EE6C9A" w14:paraId="0A9C94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7D" w14:textId="77777777" w:rsidR="005E74BE" w:rsidRDefault="00000000">
            <w:r>
              <w:rPr>
                <w:b/>
                <w:bCs/>
                <w:color w:val="555555"/>
                <w:sz w:val="20"/>
                <w:szCs w:val="20"/>
              </w:rPr>
              <w:t>fact_kpis</w:t>
            </w:r>
          </w:p>
        </w:tc>
        <w:tc>
          <w:tcPr>
            <w:tcW w:w="150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14:paraId="0A9C947E" w14:textId="77777777" w:rsidR="005E74BE" w:rsidRDefault="00000000">
            <w:r>
              <w:rPr>
                <w:b/>
                <w:bCs/>
                <w:color w:val="555555"/>
                <w:sz w:val="20"/>
                <w:szCs w:val="20"/>
              </w:rPr>
              <w:t>FACT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7F" w14:textId="77777777" w:rsidR="005E74BE" w:rsidRPr="00EE6C9A" w:rsidRDefault="00000000">
            <w:pPr>
              <w:rPr>
                <w:lang w:val="en-US"/>
              </w:rPr>
            </w:pPr>
            <w:r w:rsidRPr="00EE6C9A">
              <w:rPr>
                <w:color w:val="555555"/>
                <w:sz w:val="20"/>
                <w:szCs w:val="20"/>
                <w:lang w:val="en-US"/>
              </w:rPr>
              <w:t>kpi_id (PK), cancer_type, total_patients, mean_age, death_rate, mean_survival, median_survival</w:t>
            </w:r>
          </w:p>
        </w:tc>
      </w:tr>
    </w:tbl>
    <w:p w14:paraId="0A9C9481" w14:textId="77777777" w:rsidR="005E74BE" w:rsidRPr="00EE6C9A" w:rsidRDefault="005E74BE">
      <w:pPr>
        <w:rPr>
          <w:lang w:val="en-US"/>
        </w:rPr>
      </w:pPr>
    </w:p>
    <w:p w14:paraId="0A9C9482" w14:textId="77777777" w:rsidR="005E74BE" w:rsidRDefault="00000000">
      <w:pPr>
        <w:spacing w:before="120" w:after="160" w:line="276" w:lineRule="auto"/>
        <w:jc w:val="both"/>
      </w:pPr>
      <w:r>
        <w:rPr>
          <w:color w:val="333333"/>
        </w:rPr>
        <w:t xml:space="preserve">Le chargement des données est réalisé via la commande SQL </w:t>
      </w:r>
      <w:r>
        <w:rPr>
          <w:color w:val="555555"/>
        </w:rPr>
        <w:t>COPY FROM</w:t>
      </w:r>
      <w:r>
        <w:rPr>
          <w:color w:val="333333"/>
        </w:rPr>
        <w:t>, qui permet l'import direct des fichiers CSV préparés vers les tables PostgreSQL. Les contraintes de clés étrangères (</w:t>
      </w:r>
      <w:r>
        <w:rPr>
          <w:color w:val="555555"/>
        </w:rPr>
        <w:t>FOREIGN KEY</w:t>
      </w:r>
      <w:r>
        <w:rPr>
          <w:color w:val="333333"/>
        </w:rPr>
        <w:t>) garantissent l'intégrité référentielle entre les tables.</w:t>
      </w:r>
    </w:p>
    <w:p w14:paraId="0A9C9483" w14:textId="77777777" w:rsidR="005E74BE" w:rsidRDefault="00000000">
      <w:pPr>
        <w:pStyle w:val="Titre2"/>
      </w:pPr>
      <w:bookmarkStart w:id="19" w:name="_Toc226291219"/>
      <w:r>
        <w:t>2.5 Analyse statistique et de survie</w:t>
      </w:r>
      <w:bookmarkEnd w:id="19"/>
    </w:p>
    <w:p w14:paraId="0A9C9484" w14:textId="77777777" w:rsidR="005E74BE" w:rsidRDefault="00000000">
      <w:pPr>
        <w:spacing w:before="120" w:after="160" w:line="276" w:lineRule="auto"/>
        <w:jc w:val="both"/>
      </w:pPr>
      <w:r>
        <w:rPr>
          <w:color w:val="333333"/>
        </w:rPr>
        <w:t>Les analyses statistiques réalisées comprennent :</w:t>
      </w:r>
    </w:p>
    <w:p w14:paraId="0A9C9485" w14:textId="77777777" w:rsidR="005E74BE" w:rsidRDefault="00000000">
      <w:pPr>
        <w:pStyle w:val="Paragraphedeliste"/>
        <w:numPr>
          <w:ilvl w:val="0"/>
          <w:numId w:val="2"/>
        </w:numPr>
        <w:spacing w:before="60" w:after="60" w:line="264" w:lineRule="auto"/>
      </w:pPr>
      <w:r>
        <w:rPr>
          <w:color w:val="333333"/>
        </w:rPr>
        <w:t>Statistiques descriptives : distribution des âges, répartition par sexe, cancer et groupe de risque.</w:t>
      </w:r>
    </w:p>
    <w:p w14:paraId="0A9C9486" w14:textId="77777777" w:rsidR="005E74BE" w:rsidRDefault="00000000">
      <w:pPr>
        <w:pStyle w:val="Paragraphedeliste"/>
        <w:numPr>
          <w:ilvl w:val="0"/>
          <w:numId w:val="2"/>
        </w:numPr>
        <w:spacing w:before="60" w:after="60" w:line="264" w:lineRule="auto"/>
      </w:pPr>
      <w:r>
        <w:rPr>
          <w:color w:val="333333"/>
        </w:rPr>
        <w:t>Analyse de corrélation : matrice de corrélation sur les variables numériques du dataset Lung (age, survival_months, event, ecog).</w:t>
      </w:r>
    </w:p>
    <w:p w14:paraId="0A9C9487" w14:textId="77777777" w:rsidR="005E74BE" w:rsidRDefault="00000000">
      <w:pPr>
        <w:pStyle w:val="Paragraphedeliste"/>
        <w:numPr>
          <w:ilvl w:val="0"/>
          <w:numId w:val="2"/>
        </w:numPr>
        <w:spacing w:before="60" w:after="60" w:line="264" w:lineRule="auto"/>
      </w:pPr>
      <w:r>
        <w:rPr>
          <w:color w:val="333333"/>
        </w:rPr>
        <w:t>Analyse comparative : mortalité et survie par type de cancer (Breast vs Lung).</w:t>
      </w:r>
    </w:p>
    <w:p w14:paraId="0A9C9488" w14:textId="77777777" w:rsidR="005E74BE" w:rsidRDefault="00000000">
      <w:pPr>
        <w:pStyle w:val="Paragraphedeliste"/>
        <w:numPr>
          <w:ilvl w:val="0"/>
          <w:numId w:val="2"/>
        </w:numPr>
        <w:spacing w:before="60" w:after="60" w:line="264" w:lineRule="auto"/>
      </w:pPr>
      <w:r>
        <w:rPr>
          <w:color w:val="333333"/>
        </w:rPr>
        <w:t>Analyse de survie par stade tumoral et par score ECOG.</w:t>
      </w:r>
    </w:p>
    <w:p w14:paraId="0A9C9489" w14:textId="77777777" w:rsidR="005E74BE" w:rsidRDefault="005E74BE"/>
    <w:p w14:paraId="0A9C948A" w14:textId="77777777" w:rsidR="005E74BE" w:rsidRDefault="00000000">
      <w:pPr>
        <w:spacing w:before="120" w:after="160" w:line="276" w:lineRule="auto"/>
        <w:jc w:val="both"/>
      </w:pPr>
      <w:r>
        <w:rPr>
          <w:color w:val="333333"/>
        </w:rPr>
        <w:t xml:space="preserve">L'analyse de survie formelle est réalisée à l'aide de la méthode </w:t>
      </w:r>
      <w:r>
        <w:rPr>
          <w:b/>
          <w:bCs/>
          <w:color w:val="0A1628"/>
        </w:rPr>
        <w:t>Kaplan-Meier</w:t>
      </w:r>
      <w:r>
        <w:rPr>
          <w:color w:val="333333"/>
        </w:rPr>
        <w:t xml:space="preserve">, implémentée via la librairie Python </w:t>
      </w:r>
      <w:r>
        <w:rPr>
          <w:b/>
          <w:bCs/>
          <w:color w:val="0A1628"/>
        </w:rPr>
        <w:t>lifelines</w:t>
      </w:r>
      <w:r>
        <w:rPr>
          <w:color w:val="333333"/>
        </w:rPr>
        <w:t>. Cette méthode non-paramétrique estime la fonction de survie S(t) — probabilité de survie au-delà du temps t — à partir des données observées, en tenant compte des cas censurés (patients encore en vie au moment de l'analyse). Deux analyses Kaplan-Meier sont produites : l'une par type de cancer et l'autre par groupe de risque (risk_group).</w:t>
      </w:r>
    </w:p>
    <w:p w14:paraId="0A9C948B" w14:textId="77777777" w:rsidR="005E74BE" w:rsidRDefault="00000000">
      <w:pPr>
        <w:pStyle w:val="Titre2"/>
      </w:pPr>
      <w:bookmarkStart w:id="20" w:name="_Toc226291220"/>
      <w:r>
        <w:t>2.6 Outils et technologies utilisés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5E74BE" w14:paraId="0A9C948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8C" w14:textId="77777777" w:rsidR="005E74BE" w:rsidRDefault="00000000">
            <w:r>
              <w:rPr>
                <w:b/>
                <w:bCs/>
                <w:color w:val="FFFFFF"/>
                <w:sz w:val="20"/>
                <w:szCs w:val="20"/>
              </w:rPr>
              <w:lastRenderedPageBreak/>
              <w:t>Catégorie</w:t>
            </w:r>
          </w:p>
        </w:tc>
        <w:tc>
          <w:tcPr>
            <w:tcW w:w="25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8D" w14:textId="77777777" w:rsidR="005E74BE" w:rsidRDefault="00000000">
            <w:r>
              <w:rPr>
                <w:b/>
                <w:bCs/>
                <w:color w:val="FFFFFF"/>
                <w:sz w:val="20"/>
                <w:szCs w:val="20"/>
              </w:rPr>
              <w:t>Outil / Librairie</w:t>
            </w:r>
          </w:p>
        </w:tc>
        <w:tc>
          <w:tcPr>
            <w:tcW w:w="4026"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8E" w14:textId="77777777" w:rsidR="005E74BE" w:rsidRDefault="00000000">
            <w:r>
              <w:rPr>
                <w:b/>
                <w:bCs/>
                <w:color w:val="FFFFFF"/>
                <w:sz w:val="20"/>
                <w:szCs w:val="20"/>
              </w:rPr>
              <w:t>Usage</w:t>
            </w:r>
          </w:p>
        </w:tc>
      </w:tr>
      <w:tr w:rsidR="005E74BE" w14:paraId="0A9C94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90" w14:textId="77777777" w:rsidR="005E74BE" w:rsidRDefault="00000000">
            <w:r>
              <w:rPr>
                <w:b/>
                <w:bCs/>
                <w:color w:val="555555"/>
                <w:sz w:val="20"/>
                <w:szCs w:val="20"/>
              </w:rPr>
              <w:t>Langage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91" w14:textId="77777777" w:rsidR="005E74BE" w:rsidRDefault="00000000">
            <w:r>
              <w:rPr>
                <w:color w:val="555555"/>
                <w:sz w:val="20"/>
                <w:szCs w:val="20"/>
              </w:rPr>
              <w:t>Python 3.9</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92" w14:textId="77777777" w:rsidR="005E74BE" w:rsidRDefault="00000000">
            <w:r>
              <w:rPr>
                <w:color w:val="555555"/>
                <w:sz w:val="20"/>
                <w:szCs w:val="20"/>
              </w:rPr>
              <w:t>Traitement des données, analyses, KPI</w:t>
            </w:r>
          </w:p>
        </w:tc>
      </w:tr>
      <w:tr w:rsidR="005E74BE" w14:paraId="0A9C94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94" w14:textId="77777777" w:rsidR="005E74BE" w:rsidRDefault="00000000">
            <w:r>
              <w:rPr>
                <w:b/>
                <w:bCs/>
                <w:color w:val="555555"/>
                <w:sz w:val="20"/>
                <w:szCs w:val="20"/>
              </w:rPr>
              <w:t>Data Wrangling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95" w14:textId="77777777" w:rsidR="005E74BE" w:rsidRDefault="00000000">
            <w:r>
              <w:rPr>
                <w:color w:val="555555"/>
                <w:sz w:val="20"/>
                <w:szCs w:val="20"/>
              </w:rPr>
              <w:t>Pandas, NumPy</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96" w14:textId="77777777" w:rsidR="005E74BE" w:rsidRDefault="00000000">
            <w:r>
              <w:rPr>
                <w:color w:val="555555"/>
                <w:sz w:val="20"/>
                <w:szCs w:val="20"/>
              </w:rPr>
              <w:t>Nettoyage, fusion, feature engineering</w:t>
            </w:r>
          </w:p>
        </w:tc>
      </w:tr>
      <w:tr w:rsidR="005E74BE" w14:paraId="0A9C94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98" w14:textId="77777777" w:rsidR="005E74BE" w:rsidRDefault="00000000">
            <w:r>
              <w:rPr>
                <w:b/>
                <w:bCs/>
                <w:color w:val="555555"/>
                <w:sz w:val="20"/>
                <w:szCs w:val="20"/>
              </w:rPr>
              <w:t>Visualisation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99" w14:textId="77777777" w:rsidR="005E74BE" w:rsidRDefault="00000000">
            <w:r>
              <w:rPr>
                <w:color w:val="555555"/>
                <w:sz w:val="20"/>
                <w:szCs w:val="20"/>
              </w:rPr>
              <w:t>Matplotlib, Seaborn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9A" w14:textId="77777777" w:rsidR="005E74BE" w:rsidRDefault="00000000">
            <w:r>
              <w:rPr>
                <w:color w:val="555555"/>
                <w:sz w:val="20"/>
                <w:szCs w:val="20"/>
              </w:rPr>
              <w:t>EDA, corrélations, distributions</w:t>
            </w:r>
          </w:p>
        </w:tc>
      </w:tr>
      <w:tr w:rsidR="005E74BE" w14:paraId="0A9C94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9C" w14:textId="77777777" w:rsidR="005E74BE" w:rsidRDefault="00000000">
            <w:r>
              <w:rPr>
                <w:b/>
                <w:bCs/>
                <w:color w:val="555555"/>
                <w:sz w:val="20"/>
                <w:szCs w:val="20"/>
              </w:rPr>
              <w:t>Survie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9D" w14:textId="77777777" w:rsidR="005E74BE" w:rsidRDefault="00000000">
            <w:r>
              <w:rPr>
                <w:color w:val="555555"/>
                <w:sz w:val="20"/>
                <w:szCs w:val="20"/>
              </w:rPr>
              <w:t>lifelines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9E" w14:textId="77777777" w:rsidR="005E74BE" w:rsidRDefault="00000000">
            <w:r>
              <w:rPr>
                <w:color w:val="555555"/>
                <w:sz w:val="20"/>
                <w:szCs w:val="20"/>
              </w:rPr>
              <w:t>Courbes Kaplan-Meier</w:t>
            </w:r>
          </w:p>
        </w:tc>
      </w:tr>
      <w:tr w:rsidR="005E74BE" w14:paraId="0A9C94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A0" w14:textId="77777777" w:rsidR="005E74BE" w:rsidRDefault="00000000">
            <w:r>
              <w:rPr>
                <w:b/>
                <w:bCs/>
                <w:color w:val="555555"/>
                <w:sz w:val="20"/>
                <w:szCs w:val="20"/>
              </w:rPr>
              <w:t>Base de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A1" w14:textId="77777777" w:rsidR="005E74BE" w:rsidRDefault="00000000">
            <w:r>
              <w:rPr>
                <w:color w:val="555555"/>
                <w:sz w:val="20"/>
                <w:szCs w:val="20"/>
              </w:rPr>
              <w:t>PostgreSQL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A2" w14:textId="77777777" w:rsidR="005E74BE" w:rsidRDefault="00000000">
            <w:r>
              <w:rPr>
                <w:color w:val="555555"/>
                <w:sz w:val="20"/>
                <w:szCs w:val="20"/>
              </w:rPr>
              <w:t>Stockage, modélisation relationnelle</w:t>
            </w:r>
          </w:p>
        </w:tc>
      </w:tr>
      <w:tr w:rsidR="005E74BE" w14:paraId="0A9C94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A4" w14:textId="77777777" w:rsidR="005E74BE" w:rsidRDefault="00000000">
            <w:r>
              <w:rPr>
                <w:b/>
                <w:bCs/>
                <w:color w:val="555555"/>
                <w:sz w:val="20"/>
                <w:szCs w:val="20"/>
              </w:rPr>
              <w:t>BI /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A5" w14:textId="77777777" w:rsidR="005E74BE" w:rsidRDefault="00000000">
            <w:r>
              <w:rPr>
                <w:color w:val="555555"/>
                <w:sz w:val="20"/>
                <w:szCs w:val="20"/>
              </w:rPr>
              <w:t>Power BI Desktop</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A6" w14:textId="77777777" w:rsidR="005E74BE" w:rsidRDefault="00000000">
            <w:r>
              <w:rPr>
                <w:color w:val="555555"/>
                <w:sz w:val="20"/>
                <w:szCs w:val="20"/>
              </w:rPr>
              <w:t>Visualisation décisionnelle interactive</w:t>
            </w:r>
          </w:p>
        </w:tc>
      </w:tr>
      <w:tr w:rsidR="005E74BE" w14:paraId="0A9C94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A8" w14:textId="77777777" w:rsidR="005E74BE" w:rsidRDefault="00000000">
            <w:r>
              <w:rPr>
                <w:b/>
                <w:bCs/>
                <w:color w:val="555555"/>
                <w:sz w:val="20"/>
                <w:szCs w:val="20"/>
              </w:rPr>
              <w:t>Notebooks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A9" w14:textId="77777777" w:rsidR="005E74BE" w:rsidRDefault="00000000">
            <w:r>
              <w:rPr>
                <w:color w:val="555555"/>
                <w:sz w:val="20"/>
                <w:szCs w:val="20"/>
              </w:rPr>
              <w:t>Jupyter Notebook</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AA" w14:textId="77777777" w:rsidR="005E74BE" w:rsidRDefault="00000000">
            <w:r>
              <w:rPr>
                <w:color w:val="555555"/>
                <w:sz w:val="20"/>
                <w:szCs w:val="20"/>
              </w:rPr>
              <w:t>Exploration, EDA, pipeline Python</w:t>
            </w:r>
          </w:p>
        </w:tc>
      </w:tr>
      <w:tr w:rsidR="005E74BE" w14:paraId="0A9C94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AC" w14:textId="77777777" w:rsidR="005E74BE" w:rsidRDefault="00000000">
            <w:r>
              <w:rPr>
                <w:b/>
                <w:bCs/>
                <w:color w:val="555555"/>
                <w:sz w:val="20"/>
                <w:szCs w:val="20"/>
              </w:rPr>
              <w:t>API externe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AD" w14:textId="77777777" w:rsidR="005E74BE" w:rsidRDefault="00000000">
            <w:r>
              <w:rPr>
                <w:color w:val="555555"/>
                <w:sz w:val="20"/>
                <w:szCs w:val="20"/>
              </w:rPr>
              <w:t>NCBI Entrez API</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AE" w14:textId="77777777" w:rsidR="005E74BE" w:rsidRDefault="00000000">
            <w:r>
              <w:rPr>
                <w:color w:val="555555"/>
                <w:sz w:val="20"/>
                <w:szCs w:val="20"/>
              </w:rPr>
              <w:t>Extraction automatique des biomarqueurs</w:t>
            </w:r>
          </w:p>
        </w:tc>
      </w:tr>
    </w:tbl>
    <w:p w14:paraId="0A9C94B0" w14:textId="77777777" w:rsidR="005E74BE" w:rsidRDefault="00000000">
      <w:r>
        <w:br w:type="page"/>
      </w:r>
    </w:p>
    <w:p w14:paraId="0A9C94B1" w14:textId="77777777" w:rsidR="005E74BE" w:rsidRDefault="00000000">
      <w:pPr>
        <w:pStyle w:val="Titre1"/>
      </w:pPr>
      <w:bookmarkStart w:id="21" w:name="_Toc226291221"/>
      <w:r>
        <w:lastRenderedPageBreak/>
        <w:t>3. Résultats</w:t>
      </w:r>
      <w:bookmarkEnd w:id="21"/>
    </w:p>
    <w:p w14:paraId="0A9C94B2" w14:textId="77777777" w:rsidR="005E74BE" w:rsidRDefault="00000000">
      <w:pPr>
        <w:pStyle w:val="Titre2"/>
      </w:pPr>
      <w:bookmarkStart w:id="22" w:name="_Toc226291222"/>
      <w:r>
        <w:t>3.1 Analyse exploratoire des données (EDA)</w:t>
      </w:r>
      <w:bookmarkEnd w:id="22"/>
    </w:p>
    <w:p w14:paraId="0A9C94B3" w14:textId="77777777" w:rsidR="005E74BE" w:rsidRDefault="00000000">
      <w:pPr>
        <w:pStyle w:val="Titre3"/>
      </w:pPr>
      <w:bookmarkStart w:id="23" w:name="_Toc226291223"/>
      <w:r>
        <w:t>3.1.1 Population étudiée</w:t>
      </w:r>
      <w:bookmarkEnd w:id="23"/>
    </w:p>
    <w:p w14:paraId="0A9C94B4" w14:textId="77777777" w:rsidR="005E74BE" w:rsidRDefault="00000000">
      <w:pPr>
        <w:spacing w:before="120" w:after="160" w:line="276" w:lineRule="auto"/>
        <w:jc w:val="both"/>
      </w:pPr>
      <w:r>
        <w:rPr>
          <w:color w:val="333333"/>
        </w:rPr>
        <w:t>La cohorte finale patients_master comprend 5 252 patients, répartis comme suit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1700"/>
        <w:gridCol w:w="1426"/>
      </w:tblGrid>
      <w:tr w:rsidR="005E74BE" w14:paraId="0A9C94B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B5" w14:textId="77777777" w:rsidR="005E74BE" w:rsidRDefault="00000000">
            <w:r>
              <w:rPr>
                <w:b/>
                <w:bCs/>
                <w:color w:val="FFFFFF"/>
                <w:sz w:val="20"/>
                <w:szCs w:val="20"/>
              </w:rPr>
              <w:t>Type de cancer</w:t>
            </w:r>
          </w:p>
        </w:tc>
        <w:tc>
          <w:tcPr>
            <w:tcW w:w="17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B6" w14:textId="77777777" w:rsidR="005E74BE" w:rsidRDefault="00000000">
            <w:r>
              <w:rPr>
                <w:b/>
                <w:bCs/>
                <w:color w:val="FFFFFF"/>
                <w:sz w:val="20"/>
                <w:szCs w:val="20"/>
              </w:rPr>
              <w:t>N patients</w:t>
            </w:r>
          </w:p>
        </w:tc>
        <w:tc>
          <w:tcPr>
            <w:tcW w:w="17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B7" w14:textId="77777777" w:rsidR="005E74BE" w:rsidRDefault="00000000">
            <w:r>
              <w:rPr>
                <w:b/>
                <w:bCs/>
                <w:color w:val="FFFFFF"/>
                <w:sz w:val="20"/>
                <w:szCs w:val="20"/>
              </w:rPr>
              <w:t>% cohorte</w:t>
            </w:r>
          </w:p>
        </w:tc>
        <w:tc>
          <w:tcPr>
            <w:tcW w:w="17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B8" w14:textId="77777777" w:rsidR="005E74BE" w:rsidRDefault="00000000">
            <w:r>
              <w:rPr>
                <w:b/>
                <w:bCs/>
                <w:color w:val="FFFFFF"/>
                <w:sz w:val="20"/>
                <w:szCs w:val="20"/>
              </w:rPr>
              <w:t>Mortalité</w:t>
            </w:r>
          </w:p>
        </w:tc>
        <w:tc>
          <w:tcPr>
            <w:tcW w:w="1426"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B9" w14:textId="77777777" w:rsidR="005E74BE" w:rsidRDefault="00000000">
            <w:r>
              <w:rPr>
                <w:b/>
                <w:bCs/>
                <w:color w:val="FFFFFF"/>
                <w:sz w:val="20"/>
                <w:szCs w:val="20"/>
              </w:rPr>
              <w:t>Âge moyen</w:t>
            </w:r>
          </w:p>
        </w:tc>
      </w:tr>
      <w:tr w:rsidR="005E74BE" w14:paraId="0A9C94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BB" w14:textId="77777777" w:rsidR="005E74BE" w:rsidRDefault="00000000">
            <w:r>
              <w:rPr>
                <w:b/>
                <w:bCs/>
                <w:color w:val="555555"/>
                <w:sz w:val="20"/>
                <w:szCs w:val="20"/>
              </w:rPr>
              <w:t>Cancer du sein (Breast)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BC" w14:textId="77777777" w:rsidR="005E74BE" w:rsidRDefault="00000000">
            <w:r>
              <w:rPr>
                <w:color w:val="555555"/>
                <w:sz w:val="20"/>
                <w:szCs w:val="20"/>
              </w:rPr>
              <w:t>4 024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BD" w14:textId="77777777" w:rsidR="005E74BE" w:rsidRDefault="00000000">
            <w:r>
              <w:rPr>
                <w:color w:val="555555"/>
                <w:sz w:val="20"/>
                <w:szCs w:val="20"/>
              </w:rPr>
              <w:t>76,6 %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BE" w14:textId="77777777" w:rsidR="005E74BE" w:rsidRDefault="00000000">
            <w:r>
              <w:rPr>
                <w:color w:val="555555"/>
                <w:sz w:val="20"/>
                <w:szCs w:val="20"/>
              </w:rPr>
              <w:t>15,3 %</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BF" w14:textId="77777777" w:rsidR="005E74BE" w:rsidRDefault="00000000">
            <w:r>
              <w:rPr>
                <w:color w:val="555555"/>
                <w:sz w:val="20"/>
                <w:szCs w:val="20"/>
              </w:rPr>
              <w:t>55,9 ans</w:t>
            </w:r>
          </w:p>
        </w:tc>
      </w:tr>
      <w:tr w:rsidR="005E74BE" w14:paraId="0A9C94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C1" w14:textId="77777777" w:rsidR="005E74BE" w:rsidRDefault="00000000">
            <w:r>
              <w:rPr>
                <w:b/>
                <w:bCs/>
                <w:color w:val="555555"/>
                <w:sz w:val="20"/>
                <w:szCs w:val="20"/>
              </w:rPr>
              <w:t>Cancer du poumon (Lung)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C2" w14:textId="77777777" w:rsidR="005E74BE" w:rsidRDefault="00000000">
            <w:r>
              <w:rPr>
                <w:color w:val="555555"/>
                <w:sz w:val="20"/>
                <w:szCs w:val="20"/>
              </w:rPr>
              <w:t>1 228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C3" w14:textId="77777777" w:rsidR="005E74BE" w:rsidRDefault="00000000">
            <w:r>
              <w:rPr>
                <w:color w:val="555555"/>
                <w:sz w:val="20"/>
                <w:szCs w:val="20"/>
              </w:rPr>
              <w:t>23,4 %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C4" w14:textId="77777777" w:rsidR="005E74BE" w:rsidRDefault="00000000">
            <w:r>
              <w:rPr>
                <w:color w:val="555555"/>
                <w:sz w:val="20"/>
                <w:szCs w:val="20"/>
              </w:rPr>
              <w:t>70,7 %</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C5" w14:textId="77777777" w:rsidR="005E74BE" w:rsidRDefault="00000000">
            <w:r>
              <w:rPr>
                <w:color w:val="555555"/>
                <w:sz w:val="20"/>
                <w:szCs w:val="20"/>
              </w:rPr>
              <w:t>62,0 ans</w:t>
            </w:r>
          </w:p>
        </w:tc>
      </w:tr>
      <w:tr w:rsidR="005E74BE" w14:paraId="0A9C94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14:paraId="0A9C94C7" w14:textId="77777777" w:rsidR="005E74BE" w:rsidRDefault="00000000">
            <w:r>
              <w:rPr>
                <w:b/>
                <w:bCs/>
                <w:color w:val="555555"/>
                <w:sz w:val="20"/>
                <w:szCs w:val="20"/>
              </w:rPr>
              <w:t>TOTAL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C8" w14:textId="77777777" w:rsidR="005E74BE" w:rsidRDefault="00000000">
            <w:r>
              <w:rPr>
                <w:b/>
                <w:bCs/>
                <w:color w:val="555555"/>
                <w:sz w:val="20"/>
                <w:szCs w:val="20"/>
              </w:rPr>
              <w:t>5 252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C9" w14:textId="77777777" w:rsidR="005E74BE" w:rsidRDefault="00000000">
            <w:r>
              <w:rPr>
                <w:b/>
                <w:bCs/>
                <w:color w:val="555555"/>
                <w:sz w:val="20"/>
                <w:szCs w:val="20"/>
              </w:rPr>
              <w:t>100 %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CA" w14:textId="77777777" w:rsidR="005E74BE" w:rsidRDefault="00000000">
            <w:r>
              <w:rPr>
                <w:b/>
                <w:bCs/>
                <w:color w:val="555555"/>
                <w:sz w:val="20"/>
                <w:szCs w:val="20"/>
              </w:rPr>
              <w:t>28,3 %</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CB" w14:textId="77777777" w:rsidR="005E74BE" w:rsidRDefault="00000000">
            <w:r>
              <w:rPr>
                <w:b/>
                <w:bCs/>
                <w:color w:val="555555"/>
                <w:sz w:val="20"/>
                <w:szCs w:val="20"/>
              </w:rPr>
              <w:t>57,2 ans</w:t>
            </w:r>
          </w:p>
        </w:tc>
      </w:tr>
    </w:tbl>
    <w:p w14:paraId="0A9C94CD" w14:textId="77777777" w:rsidR="005E74BE" w:rsidRDefault="005E74BE"/>
    <w:p w14:paraId="0A9C94CE" w14:textId="77777777" w:rsidR="005E74BE" w:rsidRDefault="00000000">
      <w:pPr>
        <w:spacing w:before="120" w:after="160" w:line="276" w:lineRule="auto"/>
        <w:jc w:val="both"/>
      </w:pPr>
      <w:r>
        <w:rPr>
          <w:color w:val="333333"/>
        </w:rPr>
        <w:t>L'EDA révèle des différences marquées entre les deux sous-populations. Les patientes atteintes de cancer du sein sont exclusivement féminines, plus jeunes en moyenne (55,9 ans vs 62 ans pour le poumon) et présentent un taux de mortalité nettement inférieur (15,3 % vs 70,7 %). Cette différence reflète à la fois des profils biologiques distincts et une meilleure efficacité des traitements actuels pour le cancer du sein.</w:t>
      </w:r>
    </w:p>
    <w:p w14:paraId="0A9C94CF" w14:textId="77777777" w:rsidR="005E74BE" w:rsidRDefault="00000000">
      <w:pPr>
        <w:pStyle w:val="Titre3"/>
      </w:pPr>
      <w:bookmarkStart w:id="24" w:name="_Toc226291224"/>
      <w:r>
        <w:t>3.1.2 Distribution par groupe de risque</w:t>
      </w:r>
      <w:bookmarkEnd w:id="24"/>
    </w:p>
    <w:p w14:paraId="0A9C94D0" w14:textId="77777777" w:rsidR="005E74BE" w:rsidRDefault="00000000">
      <w:pPr>
        <w:spacing w:before="120" w:after="160" w:line="276" w:lineRule="auto"/>
        <w:jc w:val="both"/>
      </w:pPr>
      <w:r>
        <w:rPr>
          <w:color w:val="333333"/>
        </w:rPr>
        <w:t>La variable risk_group, créée par feature engineering, répartit la cohorte en trois groupes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5E74BE" w14:paraId="0A9C94D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D1" w14:textId="77777777" w:rsidR="005E74BE" w:rsidRDefault="00000000">
            <w:r>
              <w:rPr>
                <w:b/>
                <w:bCs/>
                <w:color w:val="FFFFFF"/>
                <w:sz w:val="20"/>
                <w:szCs w:val="20"/>
              </w:rPr>
              <w:t>Groupe de risque</w:t>
            </w:r>
          </w:p>
        </w:tc>
        <w:tc>
          <w:tcPr>
            <w:tcW w:w="20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D2" w14:textId="77777777" w:rsidR="005E74BE" w:rsidRDefault="00000000">
            <w:r>
              <w:rPr>
                <w:b/>
                <w:bCs/>
                <w:color w:val="FFFFFF"/>
                <w:sz w:val="20"/>
                <w:szCs w:val="20"/>
              </w:rPr>
              <w:t>N patients</w:t>
            </w:r>
          </w:p>
        </w:tc>
        <w:tc>
          <w:tcPr>
            <w:tcW w:w="20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D3" w14:textId="77777777" w:rsidR="005E74BE" w:rsidRDefault="00000000">
            <w:r>
              <w:rPr>
                <w:b/>
                <w:bCs/>
                <w:color w:val="FFFFFF"/>
                <w:sz w:val="20"/>
                <w:szCs w:val="20"/>
              </w:rPr>
              <w:t>% cohorte</w:t>
            </w:r>
          </w:p>
        </w:tc>
        <w:tc>
          <w:tcPr>
            <w:tcW w:w="2526"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D4" w14:textId="77777777" w:rsidR="005E74BE" w:rsidRDefault="00000000">
            <w:r>
              <w:rPr>
                <w:b/>
                <w:bCs/>
                <w:color w:val="FFFFFF"/>
                <w:sz w:val="20"/>
                <w:szCs w:val="20"/>
              </w:rPr>
              <w:t>Mortalité moyenne</w:t>
            </w:r>
          </w:p>
        </w:tc>
      </w:tr>
      <w:tr w:rsidR="005E74BE" w14:paraId="0A9C94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14:paraId="0A9C94D6" w14:textId="77777777" w:rsidR="005E74BE" w:rsidRPr="00EE6C9A" w:rsidRDefault="00000000">
            <w:pPr>
              <w:rPr>
                <w:lang w:val="en-US"/>
              </w:rPr>
            </w:pPr>
            <w:r>
              <w:rPr>
                <w:b/>
                <w:bCs/>
                <w:color w:val="555555"/>
                <w:sz w:val="20"/>
                <w:szCs w:val="20"/>
              </w:rPr>
              <w:t>🔴</w:t>
            </w:r>
            <w:r w:rsidRPr="00EE6C9A">
              <w:rPr>
                <w:b/>
                <w:bCs/>
                <w:color w:val="555555"/>
                <w:sz w:val="20"/>
                <w:szCs w:val="20"/>
                <w:lang w:val="en-US"/>
              </w:rPr>
              <w:t xml:space="preserve"> High Risk (survie &lt; 12 mois)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D7" w14:textId="77777777" w:rsidR="005E74BE" w:rsidRDefault="00000000">
            <w:r>
              <w:rPr>
                <w:color w:val="555555"/>
                <w:sz w:val="20"/>
                <w:szCs w:val="20"/>
              </w:rPr>
              <w:t>88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D8" w14:textId="77777777" w:rsidR="005E74BE" w:rsidRDefault="00000000">
            <w:r>
              <w:rPr>
                <w:color w:val="555555"/>
                <w:sz w:val="20"/>
                <w:szCs w:val="20"/>
              </w:rPr>
              <w:t>1,7 %</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D9" w14:textId="77777777" w:rsidR="005E74BE" w:rsidRDefault="00000000">
            <w:r>
              <w:rPr>
                <w:color w:val="555555"/>
                <w:sz w:val="20"/>
                <w:szCs w:val="20"/>
              </w:rPr>
              <w:t>71,6 %</w:t>
            </w:r>
          </w:p>
        </w:tc>
      </w:tr>
      <w:tr w:rsidR="005E74BE" w14:paraId="0A9C94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14:paraId="0A9C94DB" w14:textId="77777777" w:rsidR="005E74BE" w:rsidRDefault="00000000">
            <w:r>
              <w:rPr>
                <w:b/>
                <w:bCs/>
                <w:color w:val="555555"/>
                <w:sz w:val="20"/>
                <w:szCs w:val="20"/>
              </w:rPr>
              <w:t>🟡 Medium Risk (12–36 mois)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DC" w14:textId="77777777" w:rsidR="005E74BE" w:rsidRDefault="00000000">
            <w:r>
              <w:rPr>
                <w:color w:val="555555"/>
                <w:sz w:val="20"/>
                <w:szCs w:val="20"/>
              </w:rPr>
              <w:t>274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DD" w14:textId="77777777" w:rsidR="005E74BE" w:rsidRDefault="00000000">
            <w:r>
              <w:rPr>
                <w:color w:val="555555"/>
                <w:sz w:val="20"/>
                <w:szCs w:val="20"/>
              </w:rPr>
              <w:t>5,2 %</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DE" w14:textId="77777777" w:rsidR="005E74BE" w:rsidRDefault="00000000">
            <w:r>
              <w:rPr>
                <w:color w:val="555555"/>
                <w:sz w:val="20"/>
                <w:szCs w:val="20"/>
              </w:rPr>
              <w:t>81,8 %</w:t>
            </w:r>
          </w:p>
        </w:tc>
      </w:tr>
      <w:tr w:rsidR="005E74BE" w14:paraId="0A9C94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8F5"/>
            <w:tcMar>
              <w:top w:w="100" w:type="dxa"/>
              <w:left w:w="150" w:type="dxa"/>
              <w:bottom w:w="100" w:type="dxa"/>
              <w:right w:w="150" w:type="dxa"/>
            </w:tcMar>
          </w:tcPr>
          <w:p w14:paraId="0A9C94E0" w14:textId="77777777" w:rsidR="005E74BE" w:rsidRDefault="00000000">
            <w:r>
              <w:rPr>
                <w:b/>
                <w:bCs/>
                <w:color w:val="555555"/>
                <w:sz w:val="20"/>
                <w:szCs w:val="20"/>
              </w:rPr>
              <w:t>🟢 Low Risk (&gt; 36 mois)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E1" w14:textId="77777777" w:rsidR="005E74BE" w:rsidRDefault="00000000">
            <w:r>
              <w:rPr>
                <w:color w:val="555555"/>
                <w:sz w:val="20"/>
                <w:szCs w:val="20"/>
              </w:rPr>
              <w:t>4 890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E2" w14:textId="77777777" w:rsidR="005E74BE" w:rsidRDefault="00000000">
            <w:r>
              <w:rPr>
                <w:color w:val="555555"/>
                <w:sz w:val="20"/>
                <w:szCs w:val="20"/>
              </w:rPr>
              <w:t>93,1 %</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E3" w14:textId="77777777" w:rsidR="005E74BE" w:rsidRDefault="00000000">
            <w:r>
              <w:rPr>
                <w:color w:val="555555"/>
                <w:sz w:val="20"/>
                <w:szCs w:val="20"/>
              </w:rPr>
              <w:t>24,5 %</w:t>
            </w:r>
          </w:p>
        </w:tc>
      </w:tr>
    </w:tbl>
    <w:p w14:paraId="0A9C94E5" w14:textId="77777777" w:rsidR="005E74BE" w:rsidRDefault="005E74BE"/>
    <w:p w14:paraId="0A9C94E6" w14:textId="77777777" w:rsidR="005E74BE" w:rsidRDefault="00000000">
      <w:pPr>
        <w:spacing w:before="120" w:after="160" w:line="276" w:lineRule="auto"/>
        <w:jc w:val="both"/>
      </w:pPr>
      <w:r>
        <w:rPr>
          <w:color w:val="333333"/>
        </w:rPr>
        <w:t xml:space="preserve">Le groupe </w:t>
      </w:r>
      <w:r>
        <w:rPr>
          <w:b/>
          <w:bCs/>
          <w:color w:val="0A1628"/>
        </w:rPr>
        <w:t>High Risk</w:t>
      </w:r>
      <w:r>
        <w:rPr>
          <w:color w:val="333333"/>
        </w:rPr>
        <w:t xml:space="preserve"> représente seulement 1,7 % de la cohorte (88 patients) mais affiche un taux de mortalité de 71,6 %, soit près de trois fois supérieur au groupe Low Risk (24,5 %). Ce résultat valide la pertinence du scoring risk_group comme outil de segmentation pronostique.</w:t>
      </w:r>
    </w:p>
    <w:p w14:paraId="0A9C94E7" w14:textId="77777777" w:rsidR="005E74BE" w:rsidRDefault="00000000">
      <w:pPr>
        <w:pStyle w:val="Titre2"/>
      </w:pPr>
      <w:bookmarkStart w:id="25" w:name="_Toc226291225"/>
      <w:r>
        <w:t>3.2 Indicateurs clés (KPI)</w:t>
      </w:r>
      <w:bookmarkEnd w:id="25"/>
    </w:p>
    <w:p w14:paraId="0A9C94E8" w14:textId="77777777" w:rsidR="005E74BE" w:rsidRDefault="00000000">
      <w:pPr>
        <w:pStyle w:val="Titre3"/>
      </w:pPr>
      <w:bookmarkStart w:id="26" w:name="_Toc226291226"/>
      <w:r>
        <w:t>3.2.1 KPI cliniques globaux</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5E74BE" w14:paraId="0A9C94E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E9" w14:textId="77777777" w:rsidR="005E74BE" w:rsidRDefault="00000000">
            <w:r>
              <w:rPr>
                <w:b/>
                <w:bCs/>
                <w:color w:val="FFFFFF"/>
                <w:sz w:val="20"/>
                <w:szCs w:val="20"/>
              </w:rPr>
              <w:t>KPI</w:t>
            </w:r>
          </w:p>
        </w:tc>
        <w:tc>
          <w:tcPr>
            <w:tcW w:w="25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EA" w14:textId="77777777" w:rsidR="005E74BE" w:rsidRDefault="00000000">
            <w:r>
              <w:rPr>
                <w:b/>
                <w:bCs/>
                <w:color w:val="FFFFFF"/>
                <w:sz w:val="20"/>
                <w:szCs w:val="20"/>
              </w:rPr>
              <w:t>Valeur</w:t>
            </w:r>
          </w:p>
        </w:tc>
        <w:tc>
          <w:tcPr>
            <w:tcW w:w="3026"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4EB" w14:textId="77777777" w:rsidR="005E74BE" w:rsidRDefault="00000000">
            <w:r>
              <w:rPr>
                <w:b/>
                <w:bCs/>
                <w:color w:val="FFFFFF"/>
                <w:sz w:val="20"/>
                <w:szCs w:val="20"/>
              </w:rPr>
              <w:t>Interprétation</w:t>
            </w:r>
          </w:p>
        </w:tc>
      </w:tr>
      <w:tr w:rsidR="005E74BE" w14:paraId="0A9C94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ED" w14:textId="77777777" w:rsidR="005E74BE" w:rsidRDefault="00000000">
            <w:r>
              <w:rPr>
                <w:b/>
                <w:bCs/>
                <w:color w:val="555555"/>
                <w:sz w:val="20"/>
                <w:szCs w:val="20"/>
              </w:rPr>
              <w:t>Total patients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EE" w14:textId="77777777" w:rsidR="005E74BE" w:rsidRDefault="00000000">
            <w:r>
              <w:rPr>
                <w:color w:val="555555"/>
                <w:sz w:val="20"/>
                <w:szCs w:val="20"/>
              </w:rPr>
              <w:t>5 252</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EF" w14:textId="77777777" w:rsidR="005E74BE" w:rsidRDefault="00000000">
            <w:r>
              <w:rPr>
                <w:color w:val="555555"/>
                <w:sz w:val="20"/>
                <w:szCs w:val="20"/>
              </w:rPr>
              <w:t>Cohorte complète fusionnée</w:t>
            </w:r>
          </w:p>
        </w:tc>
      </w:tr>
      <w:tr w:rsidR="005E74BE" w14:paraId="0A9C94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F1" w14:textId="77777777" w:rsidR="005E74BE" w:rsidRDefault="00000000">
            <w:r>
              <w:rPr>
                <w:b/>
                <w:bCs/>
                <w:color w:val="555555"/>
                <w:sz w:val="20"/>
                <w:szCs w:val="20"/>
              </w:rPr>
              <w:lastRenderedPageBreak/>
              <w:t>Âge moyen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F2" w14:textId="77777777" w:rsidR="005E74BE" w:rsidRDefault="00000000">
            <w:r>
              <w:rPr>
                <w:color w:val="555555"/>
                <w:sz w:val="20"/>
                <w:szCs w:val="20"/>
              </w:rPr>
              <w:t>55,9 ans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F3" w14:textId="77777777" w:rsidR="005E74BE" w:rsidRDefault="00000000">
            <w:r>
              <w:rPr>
                <w:color w:val="555555"/>
                <w:sz w:val="20"/>
                <w:szCs w:val="20"/>
              </w:rPr>
              <w:t>Population adulte d'âge moyen</w:t>
            </w:r>
          </w:p>
        </w:tc>
      </w:tr>
      <w:tr w:rsidR="005E74BE" w14:paraId="0A9C94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F5" w14:textId="77777777" w:rsidR="005E74BE" w:rsidRDefault="00000000">
            <w:r>
              <w:rPr>
                <w:b/>
                <w:bCs/>
                <w:color w:val="555555"/>
                <w:sz w:val="20"/>
                <w:szCs w:val="20"/>
              </w:rPr>
              <w:t>Taux de mortalité global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F6" w14:textId="77777777" w:rsidR="005E74BE" w:rsidRDefault="00000000">
            <w:r>
              <w:rPr>
                <w:color w:val="555555"/>
                <w:sz w:val="20"/>
                <w:szCs w:val="20"/>
              </w:rPr>
              <w:t>28,26 %</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F7" w14:textId="77777777" w:rsidR="005E74BE" w:rsidRDefault="00000000">
            <w:r>
              <w:rPr>
                <w:color w:val="555555"/>
                <w:sz w:val="20"/>
                <w:szCs w:val="20"/>
              </w:rPr>
              <w:t>Décès confirmés dans la cohorte</w:t>
            </w:r>
          </w:p>
        </w:tc>
      </w:tr>
      <w:tr w:rsidR="005E74BE" w14:paraId="0A9C94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F9" w14:textId="77777777" w:rsidR="005E74BE" w:rsidRDefault="00000000">
            <w:r>
              <w:rPr>
                <w:b/>
                <w:bCs/>
                <w:color w:val="555555"/>
                <w:sz w:val="20"/>
                <w:szCs w:val="20"/>
              </w:rPr>
              <w:t>Survie moyenne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FA" w14:textId="77777777" w:rsidR="005E74BE" w:rsidRDefault="00000000">
            <w:r>
              <w:rPr>
                <w:color w:val="555555"/>
                <w:sz w:val="20"/>
                <w:szCs w:val="20"/>
              </w:rPr>
              <w:t>126,7 mois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FB" w14:textId="77777777" w:rsidR="005E74BE" w:rsidRDefault="00000000">
            <w:r>
              <w:rPr>
                <w:color w:val="555555"/>
                <w:sz w:val="20"/>
                <w:szCs w:val="20"/>
              </w:rPr>
              <w:t>Moyenne influencée par les valeurs extrêmes</w:t>
            </w:r>
          </w:p>
        </w:tc>
      </w:tr>
      <w:tr w:rsidR="005E74BE" w14:paraId="0A9C95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4FD" w14:textId="77777777" w:rsidR="005E74BE" w:rsidRDefault="00000000">
            <w:r>
              <w:rPr>
                <w:b/>
                <w:bCs/>
                <w:color w:val="555555"/>
                <w:sz w:val="20"/>
                <w:szCs w:val="20"/>
              </w:rPr>
              <w:t>Survie médiane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FE" w14:textId="77777777" w:rsidR="005E74BE" w:rsidRDefault="00000000">
            <w:r>
              <w:rPr>
                <w:color w:val="555555"/>
                <w:sz w:val="20"/>
                <w:szCs w:val="20"/>
              </w:rPr>
              <w:t>81,0 mois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4FF" w14:textId="77777777" w:rsidR="005E74BE" w:rsidRDefault="00000000">
            <w:r>
              <w:rPr>
                <w:color w:val="555555"/>
                <w:sz w:val="20"/>
                <w:szCs w:val="20"/>
              </w:rPr>
              <w:t>Indicateur robuste aux valeurs aberrantes</w:t>
            </w:r>
          </w:p>
        </w:tc>
      </w:tr>
      <w:tr w:rsidR="005E74BE" w:rsidRPr="00EE6C9A" w14:paraId="0A9C95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501" w14:textId="77777777" w:rsidR="005E74BE" w:rsidRDefault="00000000">
            <w:r>
              <w:rPr>
                <w:b/>
                <w:bCs/>
                <w:color w:val="555555"/>
                <w:sz w:val="20"/>
                <w:szCs w:val="20"/>
              </w:rPr>
              <w:t>Biomarqueurs distincts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02" w14:textId="77777777" w:rsidR="005E74BE" w:rsidRDefault="00000000">
            <w:r>
              <w:rPr>
                <w:color w:val="555555"/>
                <w:sz w:val="20"/>
                <w:szCs w:val="20"/>
              </w:rPr>
              <w:t>10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03" w14:textId="77777777" w:rsidR="005E74BE" w:rsidRPr="00EE6C9A" w:rsidRDefault="00000000">
            <w:pPr>
              <w:rPr>
                <w:lang w:val="en-US"/>
              </w:rPr>
            </w:pPr>
            <w:r w:rsidRPr="00EE6C9A">
              <w:rPr>
                <w:color w:val="555555"/>
                <w:sz w:val="20"/>
                <w:szCs w:val="20"/>
                <w:lang w:val="en-US"/>
              </w:rPr>
              <w:t>TP53, BRCA1, BRCA2, EGFR, KRAS…</w:t>
            </w:r>
          </w:p>
        </w:tc>
      </w:tr>
    </w:tbl>
    <w:p w14:paraId="0A9C9505" w14:textId="77777777" w:rsidR="005E74BE" w:rsidRDefault="00000000">
      <w:pPr>
        <w:pStyle w:val="Titre3"/>
      </w:pPr>
      <w:bookmarkStart w:id="27" w:name="_Toc226291227"/>
      <w:r>
        <w:t>3.2.2 KPI pronostiques par type de cancer</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5E74BE" w14:paraId="0A9C950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506" w14:textId="77777777" w:rsidR="005E74BE" w:rsidRDefault="00000000">
            <w:r>
              <w:rPr>
                <w:b/>
                <w:bCs/>
                <w:color w:val="FFFFFF"/>
                <w:sz w:val="20"/>
                <w:szCs w:val="20"/>
              </w:rPr>
              <w:t>KPI</w:t>
            </w:r>
          </w:p>
        </w:tc>
        <w:tc>
          <w:tcPr>
            <w:tcW w:w="2000" w:type="dxa"/>
            <w:tcBorders>
              <w:top w:val="single" w:sz="1" w:space="0" w:color="AAAAAA"/>
              <w:left w:val="single" w:sz="1" w:space="0" w:color="AAAAAA"/>
              <w:bottom w:val="single" w:sz="1" w:space="0" w:color="AAAAAA"/>
              <w:right w:val="single" w:sz="1" w:space="0" w:color="AAAAAA"/>
            </w:tcBorders>
            <w:shd w:val="clear" w:color="auto" w:fill="C0392B"/>
            <w:tcMar>
              <w:top w:w="100" w:type="dxa"/>
              <w:left w:w="150" w:type="dxa"/>
              <w:bottom w:w="100" w:type="dxa"/>
              <w:right w:w="150" w:type="dxa"/>
            </w:tcMar>
          </w:tcPr>
          <w:p w14:paraId="0A9C9507" w14:textId="77777777" w:rsidR="005E74BE" w:rsidRDefault="00000000">
            <w:r>
              <w:rPr>
                <w:b/>
                <w:bCs/>
                <w:color w:val="FFFFFF"/>
                <w:sz w:val="20"/>
                <w:szCs w:val="20"/>
              </w:rPr>
              <w:t>Breast</w:t>
            </w:r>
          </w:p>
        </w:tc>
        <w:tc>
          <w:tcPr>
            <w:tcW w:w="2000" w:type="dxa"/>
            <w:tcBorders>
              <w:top w:val="single" w:sz="1" w:space="0" w:color="AAAAAA"/>
              <w:left w:val="single" w:sz="1" w:space="0" w:color="AAAAAA"/>
              <w:bottom w:val="single" w:sz="1" w:space="0" w:color="AAAAAA"/>
              <w:right w:val="single" w:sz="1" w:space="0" w:color="AAAAAA"/>
            </w:tcBorders>
            <w:shd w:val="clear" w:color="auto" w:fill="2980B9"/>
            <w:tcMar>
              <w:top w:w="100" w:type="dxa"/>
              <w:left w:w="150" w:type="dxa"/>
              <w:bottom w:w="100" w:type="dxa"/>
              <w:right w:w="150" w:type="dxa"/>
            </w:tcMar>
          </w:tcPr>
          <w:p w14:paraId="0A9C9508" w14:textId="77777777" w:rsidR="005E74BE" w:rsidRDefault="00000000">
            <w:r>
              <w:rPr>
                <w:b/>
                <w:bCs/>
                <w:color w:val="FFFFFF"/>
                <w:sz w:val="20"/>
                <w:szCs w:val="20"/>
              </w:rPr>
              <w:t>Lung</w:t>
            </w:r>
          </w:p>
        </w:tc>
        <w:tc>
          <w:tcPr>
            <w:tcW w:w="2526" w:type="dxa"/>
            <w:tcBorders>
              <w:top w:val="single" w:sz="1" w:space="0" w:color="AAAAAA"/>
              <w:left w:val="single" w:sz="1" w:space="0" w:color="AAAAAA"/>
              <w:bottom w:val="single" w:sz="1" w:space="0" w:color="AAAAAA"/>
              <w:right w:val="single" w:sz="1" w:space="0" w:color="AAAAAA"/>
            </w:tcBorders>
            <w:shd w:val="clear" w:color="auto" w:fill="0A1628"/>
            <w:tcMar>
              <w:top w:w="100" w:type="dxa"/>
              <w:left w:w="150" w:type="dxa"/>
              <w:bottom w:w="100" w:type="dxa"/>
              <w:right w:w="150" w:type="dxa"/>
            </w:tcMar>
          </w:tcPr>
          <w:p w14:paraId="0A9C9509" w14:textId="77777777" w:rsidR="005E74BE" w:rsidRDefault="00000000">
            <w:r>
              <w:rPr>
                <w:b/>
                <w:bCs/>
                <w:color w:val="FFFFFF"/>
                <w:sz w:val="20"/>
                <w:szCs w:val="20"/>
              </w:rPr>
              <w:t>Différentiel</w:t>
            </w:r>
          </w:p>
        </w:tc>
      </w:tr>
      <w:tr w:rsidR="005E74BE" w14:paraId="0A9C95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50B" w14:textId="77777777" w:rsidR="005E74BE" w:rsidRDefault="00000000">
            <w:r>
              <w:rPr>
                <w:b/>
                <w:bCs/>
                <w:color w:val="555555"/>
                <w:sz w:val="20"/>
                <w:szCs w:val="20"/>
              </w:rPr>
              <w:t>Mortalité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0C" w14:textId="77777777" w:rsidR="005E74BE" w:rsidRDefault="00000000">
            <w:r>
              <w:rPr>
                <w:color w:val="555555"/>
                <w:sz w:val="20"/>
                <w:szCs w:val="20"/>
              </w:rPr>
              <w:t>15,3 %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0D" w14:textId="77777777" w:rsidR="005E74BE" w:rsidRDefault="00000000">
            <w:r>
              <w:rPr>
                <w:color w:val="555555"/>
                <w:sz w:val="20"/>
                <w:szCs w:val="20"/>
              </w:rPr>
              <w:t>70,7 %</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0E" w14:textId="77777777" w:rsidR="005E74BE" w:rsidRDefault="00000000">
            <w:r>
              <w:rPr>
                <w:color w:val="555555"/>
                <w:sz w:val="20"/>
                <w:szCs w:val="20"/>
              </w:rPr>
              <w:t>×4,6 en faveur de Breast</w:t>
            </w:r>
          </w:p>
        </w:tc>
      </w:tr>
      <w:tr w:rsidR="005E74BE" w14:paraId="0A9C95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510" w14:textId="77777777" w:rsidR="005E74BE" w:rsidRDefault="00000000">
            <w:r>
              <w:rPr>
                <w:b/>
                <w:bCs/>
                <w:color w:val="555555"/>
                <w:sz w:val="20"/>
                <w:szCs w:val="20"/>
              </w:rPr>
              <w:t>Survie médiane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11" w14:textId="77777777" w:rsidR="005E74BE" w:rsidRDefault="00000000">
            <w:r>
              <w:rPr>
                <w:color w:val="555555"/>
                <w:sz w:val="20"/>
                <w:szCs w:val="20"/>
              </w:rPr>
              <w:t>73 mois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12" w14:textId="77777777" w:rsidR="005E74BE" w:rsidRDefault="00000000">
            <w:r>
              <w:rPr>
                <w:color w:val="555555"/>
                <w:sz w:val="20"/>
                <w:szCs w:val="20"/>
              </w:rPr>
              <w:t>267,5 mois*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13" w14:textId="77777777" w:rsidR="005E74BE" w:rsidRDefault="00000000">
            <w:r>
              <w:rPr>
                <w:color w:val="555555"/>
                <w:sz w:val="20"/>
                <w:szCs w:val="20"/>
              </w:rPr>
              <w:t>*Données synthétiques SDV</w:t>
            </w:r>
          </w:p>
        </w:tc>
      </w:tr>
      <w:tr w:rsidR="005E74BE" w14:paraId="0A9C95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9C9515" w14:textId="77777777" w:rsidR="005E74BE" w:rsidRDefault="00000000">
            <w:r>
              <w:rPr>
                <w:b/>
                <w:bCs/>
                <w:color w:val="555555"/>
                <w:sz w:val="20"/>
                <w:szCs w:val="20"/>
              </w:rPr>
              <w:t>Âge moyen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16" w14:textId="77777777" w:rsidR="005E74BE" w:rsidRDefault="00000000">
            <w:r>
              <w:rPr>
                <w:color w:val="555555"/>
                <w:sz w:val="20"/>
                <w:szCs w:val="20"/>
              </w:rPr>
              <w:t>55,9 ans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17" w14:textId="77777777" w:rsidR="005E74BE" w:rsidRDefault="00000000">
            <w:r>
              <w:rPr>
                <w:color w:val="555555"/>
                <w:sz w:val="20"/>
                <w:szCs w:val="20"/>
              </w:rPr>
              <w:t>62 ans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C9518" w14:textId="77777777" w:rsidR="005E74BE" w:rsidRDefault="00000000">
            <w:r>
              <w:rPr>
                <w:color w:val="555555"/>
                <w:sz w:val="20"/>
                <w:szCs w:val="20"/>
              </w:rPr>
              <w:t>+6 ans pour Lung</w:t>
            </w:r>
          </w:p>
        </w:tc>
      </w:tr>
    </w:tbl>
    <w:p w14:paraId="0A9C951A" w14:textId="77777777" w:rsidR="005E74BE" w:rsidRDefault="00000000">
      <w:pPr>
        <w:pStyle w:val="Titre2"/>
      </w:pPr>
      <w:bookmarkStart w:id="28" w:name="_Toc226291228"/>
      <w:r>
        <w:t>3.3 Analyse de survie — Kaplan-Meier</w:t>
      </w:r>
      <w:bookmarkEnd w:id="28"/>
    </w:p>
    <w:p w14:paraId="0A9C951B" w14:textId="77777777" w:rsidR="005E74BE" w:rsidRDefault="00000000">
      <w:pPr>
        <w:spacing w:before="120" w:after="160" w:line="276" w:lineRule="auto"/>
        <w:jc w:val="both"/>
      </w:pPr>
      <w:r>
        <w:rPr>
          <w:color w:val="333333"/>
        </w:rPr>
        <w:t xml:space="preserve">Les courbes de Kaplan-Meier ont été calculées à partir du fichier patients_master.csv, en utilisant les variables </w:t>
      </w:r>
      <w:r>
        <w:rPr>
          <w:color w:val="555555"/>
        </w:rPr>
        <w:t>survival_months</w:t>
      </w:r>
      <w:r>
        <w:rPr>
          <w:color w:val="333333"/>
        </w:rPr>
        <w:t xml:space="preserve"> comme durée et </w:t>
      </w:r>
      <w:r>
        <w:rPr>
          <w:color w:val="555555"/>
        </w:rPr>
        <w:t>event</w:t>
      </w:r>
      <w:r>
        <w:rPr>
          <w:color w:val="333333"/>
        </w:rPr>
        <w:t xml:space="preserve"> comme indicateur de censure.</w:t>
      </w:r>
    </w:p>
    <w:p w14:paraId="0A9C951C" w14:textId="77777777" w:rsidR="005E74BE" w:rsidRDefault="00000000">
      <w:pPr>
        <w:pStyle w:val="Titre3"/>
      </w:pPr>
      <w:bookmarkStart w:id="29" w:name="_Toc226291229"/>
      <w:r>
        <w:t>3.3.1 Survie par type de cancer</w:t>
      </w:r>
      <w:bookmarkEnd w:id="29"/>
    </w:p>
    <w:p w14:paraId="0A9C951D" w14:textId="77777777" w:rsidR="005E74BE" w:rsidRDefault="00000000">
      <w:pPr>
        <w:spacing w:before="120" w:after="160" w:line="276" w:lineRule="auto"/>
        <w:jc w:val="both"/>
      </w:pPr>
      <w:r>
        <w:rPr>
          <w:color w:val="333333"/>
        </w:rPr>
        <w:t xml:space="preserve">La courbe Kaplan-Meier par type de cancer révèle une différence majeure de pronostic entre les deux sous-groupes. Les patientes atteintes de </w:t>
      </w:r>
      <w:r>
        <w:rPr>
          <w:b/>
          <w:bCs/>
          <w:color w:val="0A1628"/>
        </w:rPr>
        <w:t>cancer du sein</w:t>
      </w:r>
      <w:r>
        <w:rPr>
          <w:color w:val="333333"/>
        </w:rPr>
        <w:t xml:space="preserve"> présentent une courbe de survie décroissante de manière progressive et régulière, traduisant un pronostic globalement favorable. En revanche, les patients atteints de </w:t>
      </w:r>
      <w:r>
        <w:rPr>
          <w:b/>
          <w:bCs/>
          <w:color w:val="0A1628"/>
        </w:rPr>
        <w:t>cancer du poumon</w:t>
      </w:r>
      <w:r>
        <w:rPr>
          <w:color w:val="333333"/>
        </w:rPr>
        <w:t xml:space="preserve"> affichent une chute rapide de la probabilité de survie dès les premiers mois, confirmant la sévérité de ce type de cancer.</w:t>
      </w:r>
    </w:p>
    <w:p w14:paraId="0A9C951E" w14:textId="77777777" w:rsidR="005E74BE" w:rsidRDefault="00000000">
      <w:pPr>
        <w:pStyle w:val="Titre3"/>
      </w:pPr>
      <w:bookmarkStart w:id="30" w:name="_Toc226291230"/>
      <w:r>
        <w:t>3.3.2 Survie par groupe de risque</w:t>
      </w:r>
      <w:bookmarkEnd w:id="30"/>
    </w:p>
    <w:p w14:paraId="0A9C951F" w14:textId="77777777" w:rsidR="005E74BE" w:rsidRDefault="00000000">
      <w:pPr>
        <w:spacing w:before="120" w:after="160" w:line="276" w:lineRule="auto"/>
        <w:jc w:val="both"/>
      </w:pPr>
      <w:r>
        <w:rPr>
          <w:color w:val="333333"/>
        </w:rPr>
        <w:t xml:space="preserve">La stratification par risk_group produit des courbes nettement séparées, validant la pertinence du scoring développé. Les patients </w:t>
      </w:r>
      <w:r>
        <w:rPr>
          <w:b/>
          <w:bCs/>
          <w:color w:val="0A1628"/>
        </w:rPr>
        <w:t>High Risk</w:t>
      </w:r>
      <w:r>
        <w:rPr>
          <w:color w:val="333333"/>
        </w:rPr>
        <w:t xml:space="preserve"> présentent un effondrement de la probabilité de survie dès les premiers mois (S(t) &lt; 0,5 à 12 mois), tandis que les patients </w:t>
      </w:r>
      <w:r>
        <w:rPr>
          <w:b/>
          <w:bCs/>
          <w:color w:val="0A1628"/>
        </w:rPr>
        <w:t>Low Risk</w:t>
      </w:r>
      <w:r>
        <w:rPr>
          <w:color w:val="333333"/>
        </w:rPr>
        <w:t xml:space="preserve"> maintiennent un plateau élevé prolongé. Les patients </w:t>
      </w:r>
      <w:r>
        <w:rPr>
          <w:b/>
          <w:bCs/>
          <w:color w:val="0A1628"/>
        </w:rPr>
        <w:t>Medium Risk</w:t>
      </w:r>
      <w:r>
        <w:rPr>
          <w:color w:val="333333"/>
        </w:rPr>
        <w:t xml:space="preserve"> se situent dans une position intermédiaire, confirmant la validité des seuils retenus pour la discrétisation.</w:t>
      </w:r>
    </w:p>
    <w:tbl>
      <w:tblPr>
        <w:tblW w:w="9360" w:type="dxa"/>
        <w:tblBorders>
          <w:top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E74BE" w14:paraId="0A9C9523" w14:textId="77777777">
        <w:tblPrEx>
          <w:tblCellMar>
            <w:top w:w="0" w:type="dxa"/>
            <w:bottom w:w="0" w:type="dxa"/>
          </w:tblCellMar>
        </w:tblPrEx>
        <w:tc>
          <w:tcPr>
            <w:tcW w:w="120" w:type="dxa"/>
            <w:tcBorders>
              <w:left w:val="single" w:sz="12" w:space="0" w:color="1ABC9C"/>
            </w:tcBorders>
            <w:shd w:val="clear" w:color="auto" w:fill="E8F8F5"/>
          </w:tcPr>
          <w:p w14:paraId="0A9C9520" w14:textId="77777777" w:rsidR="005E74BE" w:rsidRDefault="005E74BE"/>
        </w:tc>
        <w:tc>
          <w:tcPr>
            <w:tcW w:w="9240" w:type="dxa"/>
            <w:shd w:val="clear" w:color="auto" w:fill="E8F8F5"/>
            <w:tcMar>
              <w:top w:w="120" w:type="dxa"/>
              <w:left w:w="200" w:type="dxa"/>
              <w:bottom w:w="120" w:type="dxa"/>
              <w:right w:w="200" w:type="dxa"/>
            </w:tcMar>
          </w:tcPr>
          <w:p w14:paraId="0A9C9521" w14:textId="77777777" w:rsidR="005E74BE" w:rsidRDefault="00000000">
            <w:pPr>
              <w:spacing w:after="60"/>
            </w:pPr>
            <w:r>
              <w:rPr>
                <w:b/>
                <w:bCs/>
                <w:color w:val="1ABC9C"/>
              </w:rPr>
              <w:t>Résultat clé — Kaplan-Meier</w:t>
            </w:r>
          </w:p>
          <w:p w14:paraId="0A9C9522" w14:textId="77777777" w:rsidR="005E74BE" w:rsidRDefault="00000000">
            <w:pPr>
              <w:spacing w:line="264" w:lineRule="auto"/>
              <w:jc w:val="both"/>
            </w:pPr>
            <w:r>
              <w:rPr>
                <w:color w:val="333333"/>
              </w:rPr>
              <w:t>Les courbes de survie Kaplan-Meier confirment que la variable risk_group est un discriminant pronostique pertinent. Les trois courbes sont visuellement distinctes et séparées, ce qui valide statistiquement le choix des seuils de discrétisation [0, 12, 36, 1200] mois.</w:t>
            </w:r>
          </w:p>
        </w:tc>
      </w:tr>
    </w:tbl>
    <w:p w14:paraId="0A9C9524" w14:textId="77777777" w:rsidR="005E74BE" w:rsidRDefault="00000000">
      <w:pPr>
        <w:pStyle w:val="Titre2"/>
      </w:pPr>
      <w:bookmarkStart w:id="31" w:name="_Toc226291231"/>
      <w:r>
        <w:lastRenderedPageBreak/>
        <w:t>3.4 Modélisation PostgreSQL — résultats</w:t>
      </w:r>
      <w:bookmarkEnd w:id="31"/>
    </w:p>
    <w:p w14:paraId="0A9C9525" w14:textId="77777777" w:rsidR="005E74BE" w:rsidRDefault="00000000">
      <w:pPr>
        <w:spacing w:before="120" w:after="160" w:line="276" w:lineRule="auto"/>
        <w:jc w:val="both"/>
      </w:pPr>
      <w:r>
        <w:rPr>
          <w:color w:val="333333"/>
        </w:rPr>
        <w:t>La base de données PostgreSQL a été créée et chargée avec succès. Les indicateurs de volumétrie sont les suivants :</w:t>
      </w:r>
    </w:p>
    <w:p w14:paraId="0A9C9526" w14:textId="77777777" w:rsidR="005E74BE" w:rsidRDefault="00000000">
      <w:pPr>
        <w:pStyle w:val="Paragraphedeliste"/>
        <w:numPr>
          <w:ilvl w:val="0"/>
          <w:numId w:val="2"/>
        </w:numPr>
        <w:spacing w:before="60" w:after="60" w:line="264" w:lineRule="auto"/>
      </w:pPr>
      <w:r>
        <w:rPr>
          <w:color w:val="333333"/>
        </w:rPr>
        <w:t>dim_patients : 5 252 enregistrements</w:t>
      </w:r>
    </w:p>
    <w:p w14:paraId="0A9C9527" w14:textId="77777777" w:rsidR="005E74BE" w:rsidRDefault="00000000">
      <w:pPr>
        <w:pStyle w:val="Paragraphedeliste"/>
        <w:numPr>
          <w:ilvl w:val="0"/>
          <w:numId w:val="2"/>
        </w:numPr>
        <w:spacing w:before="60" w:after="60" w:line="264" w:lineRule="auto"/>
      </w:pPr>
      <w:r>
        <w:rPr>
          <w:color w:val="333333"/>
        </w:rPr>
        <w:t>fact_clinical_outcomes : 5 252 enregistrements</w:t>
      </w:r>
    </w:p>
    <w:p w14:paraId="0A9C9528" w14:textId="77777777" w:rsidR="005E74BE" w:rsidRDefault="00000000">
      <w:pPr>
        <w:pStyle w:val="Paragraphedeliste"/>
        <w:numPr>
          <w:ilvl w:val="0"/>
          <w:numId w:val="2"/>
        </w:numPr>
        <w:spacing w:before="60" w:after="60" w:line="264" w:lineRule="auto"/>
      </w:pPr>
      <w:r>
        <w:rPr>
          <w:color w:val="333333"/>
        </w:rPr>
        <w:t>dim_biomarkers : 10 biomarqueurs</w:t>
      </w:r>
    </w:p>
    <w:p w14:paraId="0A9C9529" w14:textId="77777777" w:rsidR="005E74BE" w:rsidRDefault="00000000">
      <w:pPr>
        <w:pStyle w:val="Paragraphedeliste"/>
        <w:numPr>
          <w:ilvl w:val="0"/>
          <w:numId w:val="2"/>
        </w:numPr>
        <w:spacing w:before="60" w:after="60" w:line="264" w:lineRule="auto"/>
      </w:pPr>
      <w:r>
        <w:rPr>
          <w:color w:val="333333"/>
        </w:rPr>
        <w:t>fact_patient_biomarkers : 52 520 liaisons patient-biomarqueur (10 biomarqueurs × 5 252 patients)</w:t>
      </w:r>
    </w:p>
    <w:p w14:paraId="0A9C952A" w14:textId="77777777" w:rsidR="005E74BE" w:rsidRDefault="00000000">
      <w:pPr>
        <w:pStyle w:val="Paragraphedeliste"/>
        <w:numPr>
          <w:ilvl w:val="0"/>
          <w:numId w:val="2"/>
        </w:numPr>
        <w:spacing w:before="60" w:after="60" w:line="264" w:lineRule="auto"/>
      </w:pPr>
      <w:r>
        <w:rPr>
          <w:color w:val="333333"/>
        </w:rPr>
        <w:t>fact_kpis : 2 enregistrements (un par type de cancer)</w:t>
      </w:r>
    </w:p>
    <w:p w14:paraId="0A9C952B" w14:textId="77777777" w:rsidR="005E74BE" w:rsidRDefault="005E74BE"/>
    <w:p w14:paraId="0A9C952C" w14:textId="77777777" w:rsidR="005E74BE" w:rsidRDefault="00000000">
      <w:pPr>
        <w:spacing w:before="120" w:after="160" w:line="276" w:lineRule="auto"/>
        <w:jc w:val="both"/>
      </w:pPr>
      <w:r>
        <w:rPr>
          <w:color w:val="333333"/>
        </w:rPr>
        <w:t xml:space="preserve">L'intégrité référentielle entre les tables est assurée par les contraintes de clés étrangères définies dans le script </w:t>
      </w:r>
      <w:r>
        <w:rPr>
          <w:color w:val="555555"/>
        </w:rPr>
        <w:t>01_create_tables.sql</w:t>
      </w:r>
      <w:r>
        <w:rPr>
          <w:color w:val="333333"/>
        </w:rPr>
        <w:t>. Le schéma en étoile permet des jointures analytiques rapides et une connexion directe à Power BI via le connecteur PostgreSQL natif.</w:t>
      </w:r>
    </w:p>
    <w:p w14:paraId="0A9C952D" w14:textId="77777777" w:rsidR="005E74BE" w:rsidRDefault="00000000">
      <w:pPr>
        <w:pStyle w:val="Titre2"/>
      </w:pPr>
      <w:bookmarkStart w:id="32" w:name="_Toc226291232"/>
      <w:r>
        <w:t>3.5 Dashboard Power BI</w:t>
      </w:r>
      <w:bookmarkEnd w:id="32"/>
    </w:p>
    <w:p w14:paraId="0A9C952E" w14:textId="77777777" w:rsidR="005E74BE" w:rsidRDefault="00000000">
      <w:pPr>
        <w:spacing w:before="120" w:after="160" w:line="276" w:lineRule="auto"/>
        <w:jc w:val="both"/>
      </w:pPr>
      <w:r>
        <w:rPr>
          <w:color w:val="333333"/>
        </w:rPr>
        <w:t>Le dashboard Power BI est structuré en trois pages analytiques complémentaires :</w:t>
      </w:r>
    </w:p>
    <w:p w14:paraId="0A9C952F" w14:textId="77777777" w:rsidR="005E74BE" w:rsidRDefault="00000000">
      <w:pPr>
        <w:pStyle w:val="Titre3"/>
      </w:pPr>
      <w:bookmarkStart w:id="33" w:name="_Toc226291233"/>
      <w:r>
        <w:t>3.5.1 Page 1 — Patient Population Overview</w:t>
      </w:r>
      <w:bookmarkEnd w:id="33"/>
    </w:p>
    <w:p w14:paraId="0A9C9530" w14:textId="77777777" w:rsidR="005E74BE" w:rsidRDefault="00000000">
      <w:pPr>
        <w:spacing w:before="120" w:after="160" w:line="276" w:lineRule="auto"/>
        <w:jc w:val="both"/>
      </w:pPr>
      <w:r>
        <w:rPr>
          <w:color w:val="333333"/>
        </w:rPr>
        <w:t>Cette page présente une vue synthétique de la cohorte. Les six KPI principaux sont affichés en en-tête (total patients, âge moyen, taux de mortalité, survie moyenne, survie médiane, biomarqueurs). Un graphique circulaire illustre la répartition par type de cancer (76,6 % sein / 23,4 % poumon). Un graphique en barres horizontales montre la distribution par groupe de risque, avec une prédominance du groupe Low Risk. Un histogramme représente la distribution par âge, et un graphique de survie moyenne compare les deux types de cancer.</w:t>
      </w:r>
    </w:p>
    <w:p w14:paraId="0A9C9531" w14:textId="77777777" w:rsidR="005E74BE" w:rsidRDefault="00000000">
      <w:pPr>
        <w:pStyle w:val="Titre3"/>
      </w:pPr>
      <w:bookmarkStart w:id="34" w:name="_Toc226291234"/>
      <w:r>
        <w:t>3.5.2 Page 2 — Clinical Risk Analysis &amp; Survival Outcomes</w:t>
      </w:r>
      <w:bookmarkEnd w:id="34"/>
    </w:p>
    <w:p w14:paraId="0A9C9532" w14:textId="77777777" w:rsidR="005E74BE" w:rsidRDefault="00000000">
      <w:pPr>
        <w:spacing w:before="120" w:after="160" w:line="276" w:lineRule="auto"/>
        <w:jc w:val="both"/>
      </w:pPr>
      <w:r>
        <w:rPr>
          <w:color w:val="333333"/>
        </w:rPr>
        <w:t>La deuxième page analyse les facteurs cliniques influençant la survie. On observe que la survie moyenne décroît progressivement du stade IIA au stade IIIC. Le stade IIIC présente le taux de mortalité le plus élevé (proche de 40 %). La survie varie également selon le sexe et le score ECOG. Un nuage de points Age vs Survival et un tableau des données individuelles complètent cette page. Les filtres interactifs permettent de croiser ces dimensions.</w:t>
      </w:r>
    </w:p>
    <w:p w14:paraId="0A9C9533" w14:textId="77777777" w:rsidR="005E74BE" w:rsidRDefault="00000000">
      <w:pPr>
        <w:pStyle w:val="Titre3"/>
      </w:pPr>
      <w:bookmarkStart w:id="35" w:name="_Toc226291235"/>
      <w:r>
        <w:t>3.5.3 Page 3 — Biomarker-Based Decision Support</w:t>
      </w:r>
      <w:bookmarkEnd w:id="35"/>
    </w:p>
    <w:p w14:paraId="0A9C9534" w14:textId="77777777" w:rsidR="005E74BE" w:rsidRDefault="00000000">
      <w:pPr>
        <w:spacing w:before="120" w:after="160" w:line="276" w:lineRule="auto"/>
        <w:jc w:val="both"/>
      </w:pPr>
      <w:r>
        <w:rPr>
          <w:color w:val="333333"/>
        </w:rPr>
        <w:t>La troisième page est dédiée à l'aide à la décision basée sur les biomarqueurs. Elle affiche la liste des 10 biomarqueurs intégrés (TP53, BRCA1, BRCA2, EGFR, KRAS, BRAF, PIK3CA, PTEN, ERBB2, ALK), la distribution par groupe de risque, et un tableau détaillé des profils patients à risque (Patient Risk Profiles). Ce tableau croise cancer_type et risk_group pour présenter le taux de mortalité, le nombre de patients et la survie moyenne par segment.</w:t>
      </w:r>
    </w:p>
    <w:p w14:paraId="0A9C9535" w14:textId="77777777" w:rsidR="005E74BE" w:rsidRDefault="00000000">
      <w:r>
        <w:br w:type="page"/>
      </w:r>
    </w:p>
    <w:p w14:paraId="0A9C9536" w14:textId="77777777" w:rsidR="005E74BE" w:rsidRDefault="00000000">
      <w:pPr>
        <w:pStyle w:val="Titre1"/>
      </w:pPr>
      <w:bookmarkStart w:id="36" w:name="_Toc226291236"/>
      <w:r>
        <w:lastRenderedPageBreak/>
        <w:t>4. Discussion</w:t>
      </w:r>
      <w:bookmarkEnd w:id="36"/>
    </w:p>
    <w:p w14:paraId="0A9C9537" w14:textId="77777777" w:rsidR="005E74BE" w:rsidRDefault="00000000">
      <w:pPr>
        <w:pStyle w:val="Titre2"/>
      </w:pPr>
      <w:bookmarkStart w:id="37" w:name="_Toc226291237"/>
      <w:r>
        <w:t>4.1 Interprétation des résultats</w:t>
      </w:r>
      <w:bookmarkEnd w:id="37"/>
    </w:p>
    <w:p w14:paraId="0A9C9538" w14:textId="77777777" w:rsidR="005E74BE" w:rsidRDefault="00000000">
      <w:pPr>
        <w:pStyle w:val="Titre3"/>
      </w:pPr>
      <w:bookmarkStart w:id="38" w:name="_Toc226291238"/>
      <w:r>
        <w:t>4.1.1 Pertinence du scoring risk_group</w:t>
      </w:r>
      <w:bookmarkEnd w:id="38"/>
    </w:p>
    <w:p w14:paraId="0A9C9539" w14:textId="77777777" w:rsidR="005E74BE" w:rsidRDefault="00000000">
      <w:pPr>
        <w:spacing w:before="120" w:after="160" w:line="276" w:lineRule="auto"/>
        <w:jc w:val="both"/>
      </w:pPr>
      <w:r>
        <w:rPr>
          <w:color w:val="333333"/>
        </w:rPr>
        <w:t xml:space="preserve">Le principal apport analytique de ce projet est la création de la variable </w:t>
      </w:r>
      <w:r>
        <w:rPr>
          <w:b/>
          <w:bCs/>
          <w:color w:val="0A1628"/>
        </w:rPr>
        <w:t>risk_group</w:t>
      </w:r>
      <w:r>
        <w:rPr>
          <w:color w:val="333333"/>
        </w:rPr>
        <w:t>, qui permet de segmenter la cohorte en trois groupes pronostiques distincts. Les courbes Kaplan-Meier valident cette segmentation : les trois courbes sont nettement séparées et présentent une progression logique (High Risk &lt; Medium Risk &lt; Low Risk). Le différentiel de mortalité entre High Risk (71,6 %) et Low Risk (24,5 %) est statistiquement et cliniquement significatif.</w:t>
      </w:r>
    </w:p>
    <w:p w14:paraId="0A9C953A" w14:textId="77777777" w:rsidR="005E74BE" w:rsidRDefault="00000000">
      <w:pPr>
        <w:spacing w:before="120" w:after="160" w:line="276" w:lineRule="auto"/>
        <w:jc w:val="both"/>
      </w:pPr>
      <w:r>
        <w:rPr>
          <w:color w:val="333333"/>
        </w:rPr>
        <w:t>Cependant, il convient de noter que la variable risk_group repose uniquement sur la durée de survie observée, sans intégrer d'autres facteurs pronostiques connus (stade, ECOG, biomarqueurs). Dans une version plus avancée du projet, un scoring multifactoriel combinant ces variables permettrait d'affiner la segmentation.</w:t>
      </w:r>
    </w:p>
    <w:p w14:paraId="0A9C953B" w14:textId="77777777" w:rsidR="005E74BE" w:rsidRDefault="00000000">
      <w:pPr>
        <w:pStyle w:val="Titre3"/>
      </w:pPr>
      <w:bookmarkStart w:id="39" w:name="_Toc226291239"/>
      <w:r>
        <w:t>4.1.2 Différences entre cancer du sein et cancer du poumon</w:t>
      </w:r>
      <w:bookmarkEnd w:id="39"/>
    </w:p>
    <w:p w14:paraId="0A9C953C" w14:textId="77777777" w:rsidR="005E74BE" w:rsidRDefault="00000000">
      <w:pPr>
        <w:spacing w:before="120" w:after="160" w:line="276" w:lineRule="auto"/>
        <w:jc w:val="both"/>
      </w:pPr>
      <w:r>
        <w:rPr>
          <w:color w:val="333333"/>
        </w:rPr>
        <w:t>La disparité observée entre les deux types de cancer — 15,3 % de mortalité pour le sein contre 70,7 % pour le poumon — est cohérente avec les données épidémiologiques publiées dans la littérature. Le cancer du poumon présente en effet un pronostic nettement plus défavorable, notamment parce qu'il est fréquemment diagnostiqué à un stade avancé. Cette observation confirme la pertinence des données utilisées et la fiabilité du pipeline de traitement.</w:t>
      </w:r>
    </w:p>
    <w:p w14:paraId="0A9C953D" w14:textId="77777777" w:rsidR="005E74BE" w:rsidRDefault="00000000">
      <w:pPr>
        <w:pStyle w:val="Titre3"/>
      </w:pPr>
      <w:bookmarkStart w:id="40" w:name="_Toc226291240"/>
      <w:r>
        <w:t>4.1.3 Valeur décisionnelle du dashboard</w:t>
      </w:r>
      <w:bookmarkEnd w:id="40"/>
    </w:p>
    <w:p w14:paraId="0A9C953E" w14:textId="77777777" w:rsidR="005E74BE" w:rsidRDefault="00000000">
      <w:pPr>
        <w:spacing w:before="120" w:after="160" w:line="276" w:lineRule="auto"/>
        <w:jc w:val="both"/>
      </w:pPr>
      <w:r>
        <w:rPr>
          <w:color w:val="333333"/>
        </w:rPr>
        <w:t>Le dashboard Power BI constitue l'interface décisionnelle centrale du projet. Son architecture en trois pages — vue globale, analyse clinique, support biomarqueurs — correspond aux différents niveaux de lecture d'un professionnel de santé : vue d'ensemble de la population, analyse des facteurs de risque, et exploration des biomarqueurs. La table Mesures_DAX centralise toutes les mesures calculées, ce qui est une bonne pratique Power BI garantissant la cohérence des calculs.</w:t>
      </w:r>
    </w:p>
    <w:p w14:paraId="0A9C953F" w14:textId="77777777" w:rsidR="005E74BE" w:rsidRDefault="00000000">
      <w:pPr>
        <w:pStyle w:val="Titre2"/>
      </w:pPr>
      <w:bookmarkStart w:id="41" w:name="_Toc226291241"/>
      <w:r>
        <w:t>4.2 Limites du projet</w:t>
      </w:r>
      <w:bookmarkEnd w:id="41"/>
    </w:p>
    <w:tbl>
      <w:tblPr>
        <w:tblW w:w="9360" w:type="dxa"/>
        <w:tblBorders>
          <w:top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E74BE" w14:paraId="0A9C9543" w14:textId="77777777">
        <w:tblPrEx>
          <w:tblCellMar>
            <w:top w:w="0" w:type="dxa"/>
            <w:bottom w:w="0" w:type="dxa"/>
          </w:tblCellMar>
        </w:tblPrEx>
        <w:tc>
          <w:tcPr>
            <w:tcW w:w="120" w:type="dxa"/>
            <w:tcBorders>
              <w:left w:val="single" w:sz="12" w:space="0" w:color="C0392B"/>
            </w:tcBorders>
            <w:shd w:val="clear" w:color="auto" w:fill="FDEDEC"/>
          </w:tcPr>
          <w:p w14:paraId="0A9C9540" w14:textId="77777777" w:rsidR="005E74BE" w:rsidRDefault="005E74BE"/>
        </w:tc>
        <w:tc>
          <w:tcPr>
            <w:tcW w:w="9240" w:type="dxa"/>
            <w:shd w:val="clear" w:color="auto" w:fill="FDEDEC"/>
            <w:tcMar>
              <w:top w:w="120" w:type="dxa"/>
              <w:left w:w="200" w:type="dxa"/>
              <w:bottom w:w="120" w:type="dxa"/>
              <w:right w:w="200" w:type="dxa"/>
            </w:tcMar>
          </w:tcPr>
          <w:p w14:paraId="0A9C9541" w14:textId="77777777" w:rsidR="005E74BE" w:rsidRDefault="00000000">
            <w:pPr>
              <w:spacing w:after="60"/>
            </w:pPr>
            <w:r>
              <w:rPr>
                <w:b/>
                <w:bCs/>
                <w:color w:val="C0392B"/>
              </w:rPr>
              <w:t>Limites identifiées</w:t>
            </w:r>
          </w:p>
          <w:p w14:paraId="0A9C9542" w14:textId="77777777" w:rsidR="005E74BE" w:rsidRDefault="00000000">
            <w:pPr>
              <w:spacing w:line="264" w:lineRule="auto"/>
              <w:jc w:val="both"/>
            </w:pPr>
            <w:r>
              <w:rPr>
                <w:color w:val="333333"/>
              </w:rPr>
              <w:t>Les résultats présentés dans ce rapport doivent être interprétés avec prudence, compte tenu des limites inhérentes aux données et à la méthodologie employée.</w:t>
            </w:r>
          </w:p>
        </w:tc>
      </w:tr>
    </w:tbl>
    <w:p w14:paraId="0A9C9544" w14:textId="77777777" w:rsidR="005E74BE" w:rsidRDefault="005E74BE"/>
    <w:p w14:paraId="0A9C9545" w14:textId="77777777" w:rsidR="005E74BE" w:rsidRDefault="00000000">
      <w:pPr>
        <w:pStyle w:val="Titre3"/>
      </w:pPr>
      <w:bookmarkStart w:id="42" w:name="_Toc226291242"/>
      <w:r>
        <w:t>4.2.1 Limites liées aux données</w:t>
      </w:r>
      <w:bookmarkEnd w:id="42"/>
    </w:p>
    <w:p w14:paraId="0A9C9546" w14:textId="77777777" w:rsidR="005E74BE" w:rsidRDefault="00000000">
      <w:pPr>
        <w:pStyle w:val="Paragraphedeliste"/>
        <w:numPr>
          <w:ilvl w:val="0"/>
          <w:numId w:val="2"/>
        </w:numPr>
        <w:spacing w:before="60" w:after="60" w:line="264" w:lineRule="auto"/>
      </w:pPr>
      <w:r>
        <w:rPr>
          <w:color w:val="333333"/>
        </w:rPr>
        <w:t>Les données utilisées sont des jeux de données publics et ne proviennent pas d'un Electronic Health Record (EHR) réel. Les résultats ne peuvent donc pas être directement généralisés à une population clinique réelle.</w:t>
      </w:r>
    </w:p>
    <w:p w14:paraId="0A9C9547" w14:textId="77777777" w:rsidR="005E74BE" w:rsidRDefault="00000000">
      <w:pPr>
        <w:pStyle w:val="Paragraphedeliste"/>
        <w:numPr>
          <w:ilvl w:val="0"/>
          <w:numId w:val="2"/>
        </w:numPr>
        <w:spacing w:before="60" w:after="60" w:line="264" w:lineRule="auto"/>
      </w:pPr>
      <w:r>
        <w:rPr>
          <w:color w:val="333333"/>
        </w:rPr>
        <w:t>Le dataset cancer du poumon est un dataset synthétique de 1 228 patients générés via SDV (Synthetic Data Vault), à partir de la cohorte NCCTG originelle de 228 patients. Bien que les distributions statistiques soient préservées, les données individuelles sont artificielles.</w:t>
      </w:r>
    </w:p>
    <w:p w14:paraId="0A9C9548" w14:textId="77777777" w:rsidR="005E74BE" w:rsidRDefault="00000000">
      <w:pPr>
        <w:pStyle w:val="Paragraphedeliste"/>
        <w:numPr>
          <w:ilvl w:val="0"/>
          <w:numId w:val="2"/>
        </w:numPr>
        <w:spacing w:before="60" w:after="60" w:line="264" w:lineRule="auto"/>
      </w:pPr>
      <w:r>
        <w:rPr>
          <w:color w:val="333333"/>
        </w:rPr>
        <w:lastRenderedPageBreak/>
        <w:t>Le dataset cancer du sein est exclusivement féminin, ce qui limite la comparaison intergroupes par sexe pour ce type de cancer.</w:t>
      </w:r>
    </w:p>
    <w:p w14:paraId="0A9C9549" w14:textId="77777777" w:rsidR="005E74BE" w:rsidRDefault="00000000">
      <w:pPr>
        <w:pStyle w:val="Paragraphedeliste"/>
        <w:numPr>
          <w:ilvl w:val="0"/>
          <w:numId w:val="2"/>
        </w:numPr>
        <w:spacing w:before="60" w:after="60" w:line="264" w:lineRule="auto"/>
      </w:pPr>
      <w:r>
        <w:rPr>
          <w:color w:val="333333"/>
        </w:rPr>
        <w:t>Les stades tumoraux (IIA–IIIC) ne sont disponibles que pour le cancer du sein, ce qui limite l'analyse comparative entre les deux cancers sur ce facteur.</w:t>
      </w:r>
    </w:p>
    <w:p w14:paraId="0A9C954A" w14:textId="77777777" w:rsidR="005E74BE" w:rsidRDefault="00000000">
      <w:pPr>
        <w:pStyle w:val="Titre3"/>
      </w:pPr>
      <w:bookmarkStart w:id="43" w:name="_Toc226291243"/>
      <w:r>
        <w:t>4.2.2 Limites méthodologiques</w:t>
      </w:r>
      <w:bookmarkEnd w:id="43"/>
    </w:p>
    <w:p w14:paraId="0A9C954B" w14:textId="77777777" w:rsidR="005E74BE" w:rsidRDefault="00000000">
      <w:pPr>
        <w:pStyle w:val="Paragraphedeliste"/>
        <w:numPr>
          <w:ilvl w:val="0"/>
          <w:numId w:val="2"/>
        </w:numPr>
        <w:spacing w:before="60" w:after="60" w:line="264" w:lineRule="auto"/>
      </w:pPr>
      <w:r>
        <w:rPr>
          <w:color w:val="333333"/>
        </w:rPr>
        <w:t>Le bridge patient-biomarqueur (fact_patient_biomarkers) est de type project_reference : chaque patient est associé à l'ensemble des 10 biomarqueurs, sans données d'expression génique réelle. Cette simplification permet la modélisation SQL mais ne reflète pas une réalité biologique.</w:t>
      </w:r>
    </w:p>
    <w:p w14:paraId="0A9C954C" w14:textId="77777777" w:rsidR="005E74BE" w:rsidRDefault="00000000">
      <w:pPr>
        <w:pStyle w:val="Paragraphedeliste"/>
        <w:numPr>
          <w:ilvl w:val="0"/>
          <w:numId w:val="2"/>
        </w:numPr>
        <w:spacing w:before="60" w:after="60" w:line="264" w:lineRule="auto"/>
      </w:pPr>
      <w:r>
        <w:rPr>
          <w:color w:val="333333"/>
        </w:rPr>
        <w:t>L'analyse de survie Kaplan-Meier est réalisée sans test statistique formel (Log-rank test) ni correction pour comparaisons multiples. L'ajout de ces tests renforcerait la rigueur statistique des conclusions.</w:t>
      </w:r>
    </w:p>
    <w:p w14:paraId="0A9C954D" w14:textId="77777777" w:rsidR="005E74BE" w:rsidRDefault="00000000">
      <w:pPr>
        <w:pStyle w:val="Paragraphedeliste"/>
        <w:numPr>
          <w:ilvl w:val="0"/>
          <w:numId w:val="2"/>
        </w:numPr>
        <w:spacing w:before="60" w:after="60" w:line="264" w:lineRule="auto"/>
      </w:pPr>
      <w:r>
        <w:rPr>
          <w:color w:val="333333"/>
        </w:rPr>
        <w:t>Le modèle de Cox (hazard proportionnel) n'a pas été implémenté dans ce projet, ce qui limite l'analyse de l'impact simultané de plusieurs facteurs pronostiques.</w:t>
      </w:r>
    </w:p>
    <w:p w14:paraId="0A9C954E" w14:textId="77777777" w:rsidR="005E74BE" w:rsidRDefault="00000000">
      <w:pPr>
        <w:pStyle w:val="Paragraphedeliste"/>
        <w:numPr>
          <w:ilvl w:val="0"/>
          <w:numId w:val="2"/>
        </w:numPr>
        <w:spacing w:before="60" w:after="60" w:line="264" w:lineRule="auto"/>
      </w:pPr>
      <w:r>
        <w:rPr>
          <w:color w:val="333333"/>
        </w:rPr>
        <w:t>La variable risk_group est définie par des seuils arbitraires (0, 12, 36, 1200 mois) sans validation clinique externe.</w:t>
      </w:r>
    </w:p>
    <w:p w14:paraId="0A9C954F" w14:textId="77777777" w:rsidR="005E74BE" w:rsidRDefault="00000000">
      <w:pPr>
        <w:pStyle w:val="Titre2"/>
      </w:pPr>
      <w:bookmarkStart w:id="44" w:name="_Toc226291244"/>
      <w:r>
        <w:t>4.3 Perspectives d'amélioration</w:t>
      </w:r>
      <w:bookmarkEnd w:id="44"/>
    </w:p>
    <w:p w14:paraId="0A9C9550" w14:textId="77777777" w:rsidR="005E74BE" w:rsidRDefault="00000000">
      <w:pPr>
        <w:spacing w:before="120" w:after="160" w:line="276" w:lineRule="auto"/>
        <w:jc w:val="both"/>
      </w:pPr>
      <w:r>
        <w:rPr>
          <w:color w:val="333333"/>
        </w:rPr>
        <w:t>Plusieurs axes d'amélioration peuvent être envisagés pour faire évoluer ce projet vers une solution plus robuste et exploitable en contexte clinique réel :</w:t>
      </w:r>
    </w:p>
    <w:p w14:paraId="0A9C9551" w14:textId="77777777" w:rsidR="005E74BE" w:rsidRDefault="00000000">
      <w:pPr>
        <w:pStyle w:val="Titre3"/>
      </w:pPr>
      <w:bookmarkStart w:id="45" w:name="_Toc226291245"/>
      <w:r>
        <w:t>4.3.1 Renforcement statistique</w:t>
      </w:r>
      <w:bookmarkEnd w:id="45"/>
    </w:p>
    <w:p w14:paraId="0A9C9552" w14:textId="77777777" w:rsidR="005E74BE" w:rsidRDefault="00000000">
      <w:pPr>
        <w:pStyle w:val="Paragraphedeliste"/>
        <w:numPr>
          <w:ilvl w:val="0"/>
          <w:numId w:val="2"/>
        </w:numPr>
        <w:spacing w:before="60" w:after="60" w:line="264" w:lineRule="auto"/>
      </w:pPr>
      <w:r>
        <w:rPr>
          <w:color w:val="333333"/>
        </w:rPr>
        <w:t>Implémenter le test Log-rank pour comparer formellement les courbes Kaplan-Meier entre groupes.</w:t>
      </w:r>
    </w:p>
    <w:p w14:paraId="0A9C9553" w14:textId="77777777" w:rsidR="005E74BE" w:rsidRDefault="00000000">
      <w:pPr>
        <w:pStyle w:val="Paragraphedeliste"/>
        <w:numPr>
          <w:ilvl w:val="0"/>
          <w:numId w:val="2"/>
        </w:numPr>
        <w:spacing w:before="60" w:after="60" w:line="264" w:lineRule="auto"/>
      </w:pPr>
      <w:r>
        <w:rPr>
          <w:color w:val="333333"/>
        </w:rPr>
        <w:t>Développer un modèle de régression de Cox (CoxPHFitter via lifelines) pour quantifier l'effet simultané de l'âge, du stade, du sexe et du score ECOG sur le risque de décès.</w:t>
      </w:r>
    </w:p>
    <w:p w14:paraId="0A9C9554" w14:textId="77777777" w:rsidR="005E74BE" w:rsidRDefault="00000000">
      <w:pPr>
        <w:pStyle w:val="Paragraphedeliste"/>
        <w:numPr>
          <w:ilvl w:val="0"/>
          <w:numId w:val="2"/>
        </w:numPr>
        <w:spacing w:before="60" w:after="60" w:line="264" w:lineRule="auto"/>
      </w:pPr>
      <w:r>
        <w:rPr>
          <w:color w:val="333333"/>
        </w:rPr>
        <w:t>Valider les seuils du risk_group via une méthode de partitionnement optimale (ex. : maximisation du log-rank).</w:t>
      </w:r>
    </w:p>
    <w:p w14:paraId="0A9C9555" w14:textId="77777777" w:rsidR="005E74BE" w:rsidRDefault="00000000">
      <w:pPr>
        <w:pStyle w:val="Titre3"/>
      </w:pPr>
      <w:bookmarkStart w:id="46" w:name="_Toc226291246"/>
      <w:r>
        <w:t>4.3.2 Enrichissement des données</w:t>
      </w:r>
      <w:bookmarkEnd w:id="46"/>
    </w:p>
    <w:p w14:paraId="0A9C9556" w14:textId="77777777" w:rsidR="005E74BE" w:rsidRDefault="00000000">
      <w:pPr>
        <w:pStyle w:val="Paragraphedeliste"/>
        <w:numPr>
          <w:ilvl w:val="0"/>
          <w:numId w:val="2"/>
        </w:numPr>
        <w:spacing w:before="60" w:after="60" w:line="264" w:lineRule="auto"/>
      </w:pPr>
      <w:r>
        <w:rPr>
          <w:color w:val="333333"/>
        </w:rPr>
        <w:t>Intégrer des données d'expression génique réelles pour construire un bridge patient-biomarqueur cliniquement pertinent.</w:t>
      </w:r>
    </w:p>
    <w:p w14:paraId="0A9C9557" w14:textId="77777777" w:rsidR="005E74BE" w:rsidRDefault="00000000">
      <w:pPr>
        <w:pStyle w:val="Paragraphedeliste"/>
        <w:numPr>
          <w:ilvl w:val="0"/>
          <w:numId w:val="2"/>
        </w:numPr>
        <w:spacing w:before="60" w:after="60" w:line="264" w:lineRule="auto"/>
      </w:pPr>
      <w:r>
        <w:rPr>
          <w:color w:val="333333"/>
        </w:rPr>
        <w:t>Incorporer des données multi-omics (protéomique, transcriptomique) pour enrichir les profils biologiques des patients.</w:t>
      </w:r>
    </w:p>
    <w:p w14:paraId="0A9C9558" w14:textId="77777777" w:rsidR="005E74BE" w:rsidRDefault="00000000">
      <w:pPr>
        <w:pStyle w:val="Paragraphedeliste"/>
        <w:numPr>
          <w:ilvl w:val="0"/>
          <w:numId w:val="2"/>
        </w:numPr>
        <w:spacing w:before="60" w:after="60" w:line="264" w:lineRule="auto"/>
      </w:pPr>
      <w:r>
        <w:rPr>
          <w:color w:val="333333"/>
        </w:rPr>
        <w:t>Utiliser des données d'EHR réels, en respectant les réglementations RGPD et HIPAA, pour généraliser les résultats.</w:t>
      </w:r>
    </w:p>
    <w:p w14:paraId="0A9C9559" w14:textId="77777777" w:rsidR="005E74BE" w:rsidRDefault="00000000">
      <w:pPr>
        <w:pStyle w:val="Titre3"/>
      </w:pPr>
      <w:bookmarkStart w:id="47" w:name="_Toc226291247"/>
      <w:r>
        <w:t>4.3.3 Industrialisation du pipeline</w:t>
      </w:r>
      <w:bookmarkEnd w:id="47"/>
    </w:p>
    <w:p w14:paraId="0A9C955A" w14:textId="77777777" w:rsidR="005E74BE" w:rsidRDefault="00000000">
      <w:pPr>
        <w:pStyle w:val="Paragraphedeliste"/>
        <w:numPr>
          <w:ilvl w:val="0"/>
          <w:numId w:val="2"/>
        </w:numPr>
        <w:spacing w:before="60" w:after="60" w:line="264" w:lineRule="auto"/>
      </w:pPr>
      <w:r>
        <w:rPr>
          <w:color w:val="333333"/>
        </w:rPr>
        <w:t>Automatiser le pipeline ETL avec des outils comme Apache Airflow ou dbt pour garantir l'exécution planifiée et reproductible.</w:t>
      </w:r>
    </w:p>
    <w:p w14:paraId="0A9C955B" w14:textId="77777777" w:rsidR="005E74BE" w:rsidRDefault="00000000">
      <w:pPr>
        <w:pStyle w:val="Paragraphedeliste"/>
        <w:numPr>
          <w:ilvl w:val="0"/>
          <w:numId w:val="2"/>
        </w:numPr>
        <w:spacing w:before="60" w:after="60" w:line="264" w:lineRule="auto"/>
      </w:pPr>
      <w:r>
        <w:rPr>
          <w:color w:val="333333"/>
        </w:rPr>
        <w:t>Mettre en place un pipeline de données en temps réel (streaming via Apache Kafka) pour permettre une mise à jour continue des indicateurs.</w:t>
      </w:r>
    </w:p>
    <w:p w14:paraId="0A9C955C" w14:textId="77777777" w:rsidR="005E74BE" w:rsidRDefault="00000000">
      <w:pPr>
        <w:pStyle w:val="Paragraphedeliste"/>
        <w:numPr>
          <w:ilvl w:val="0"/>
          <w:numId w:val="2"/>
        </w:numPr>
        <w:spacing w:before="60" w:after="60" w:line="264" w:lineRule="auto"/>
      </w:pPr>
      <w:r>
        <w:rPr>
          <w:color w:val="333333"/>
        </w:rPr>
        <w:t>Développer un modèle de machine learning prédictif (Random Forest, Gradient Boosting) pour anticiper le groupe de risque d'un nouveau patient.</w:t>
      </w:r>
    </w:p>
    <w:p w14:paraId="0A9C955D" w14:textId="77777777" w:rsidR="005E74BE" w:rsidRDefault="00000000">
      <w:pPr>
        <w:pStyle w:val="Paragraphedeliste"/>
        <w:numPr>
          <w:ilvl w:val="0"/>
          <w:numId w:val="2"/>
        </w:numPr>
        <w:spacing w:before="60" w:after="60" w:line="264" w:lineRule="auto"/>
      </w:pPr>
      <w:r>
        <w:rPr>
          <w:color w:val="333333"/>
        </w:rPr>
        <w:lastRenderedPageBreak/>
        <w:t>Déployer le dashboard dans Power BI Service pour un accès sécurisé et partagé entre les équipes médicales.</w:t>
      </w:r>
    </w:p>
    <w:p w14:paraId="0A9C955E" w14:textId="77777777" w:rsidR="005E74BE" w:rsidRDefault="00000000">
      <w:r>
        <w:br w:type="page"/>
      </w:r>
    </w:p>
    <w:p w14:paraId="0A9C955F" w14:textId="77777777" w:rsidR="005E74BE" w:rsidRDefault="00000000">
      <w:pPr>
        <w:pStyle w:val="Titre1"/>
      </w:pPr>
      <w:bookmarkStart w:id="48" w:name="_Toc226291248"/>
      <w:r>
        <w:lastRenderedPageBreak/>
        <w:t>5. Conclusion</w:t>
      </w:r>
      <w:bookmarkEnd w:id="48"/>
    </w:p>
    <w:p w14:paraId="0A9C9560" w14:textId="77777777" w:rsidR="005E74BE" w:rsidRDefault="00000000">
      <w:pPr>
        <w:spacing w:before="120" w:after="160" w:line="276" w:lineRule="auto"/>
        <w:jc w:val="both"/>
      </w:pPr>
      <w:r>
        <w:rPr>
          <w:color w:val="333333"/>
        </w:rPr>
        <w:t xml:space="preserve">Le projet </w:t>
      </w:r>
      <w:r>
        <w:rPr>
          <w:b/>
          <w:bCs/>
          <w:color w:val="0A1628"/>
        </w:rPr>
        <w:t>OncoBio Decision Analytics</w:t>
      </w:r>
      <w:r>
        <w:rPr>
          <w:color w:val="333333"/>
        </w:rPr>
        <w:t xml:space="preserve"> a démontré la faisabilité et la valeur ajoutée d'une approche data-driven pour l'analyse clinique et biologique des cancers. En partant de données hétérogènes et dispersées — datasets CSV publics et biomarqueurs extraits via API — le projet a abouti à la production d'un pipeline de données complet, d'une base de données relationnelle structurée et d'un tableau de bord décisionnel interactif.</w:t>
      </w:r>
    </w:p>
    <w:p w14:paraId="0A9C9561" w14:textId="77777777" w:rsidR="005E74BE" w:rsidRDefault="00000000">
      <w:pPr>
        <w:spacing w:before="120" w:after="160" w:line="276" w:lineRule="auto"/>
        <w:jc w:val="both"/>
      </w:pPr>
      <w:r>
        <w:rPr>
          <w:color w:val="333333"/>
        </w:rPr>
        <w:t>Sur le plan technique, ce projet illustre la maîtrise d'un spectre large de compétences Data Analytics : ingestion et nettoyage de données (Python/Pandas), feature engineering avec création d'une variable pronostique (risk_group), modélisation relationnelle en schéma en étoile (PostgreSQL), analyse statistique descriptive et de survie (Kaplan-Meier via lifelines), et visualisation décisionnelle (Power BI). La totalité du workflow est documentée dans cinq notebooks Jupyter et deux scripts SQL, garantissant la reproductibilité et la traçabilité du travail réalisé.</w:t>
      </w:r>
    </w:p>
    <w:p w14:paraId="0A9C9562" w14:textId="77777777" w:rsidR="005E74BE" w:rsidRDefault="00000000">
      <w:pPr>
        <w:spacing w:before="120" w:after="160" w:line="276" w:lineRule="auto"/>
        <w:jc w:val="both"/>
      </w:pPr>
      <w:r>
        <w:rPr>
          <w:color w:val="333333"/>
        </w:rPr>
        <w:t>Sur le plan analytique, les résultats obtenus sont cohérents avec la littérature médicale. La différence de mortalité entre cancer du sein (15,3 %) et cancer du poumon (70,7 %) reflète des pronostics biologiquement distincts. La segmentation en groupes de risque (High / Medium / Low Risk) est validée par les courbes Kaplan-Meier, qui montrent des probabilités de survie nettement différenciées entre les groupes. Ces résultats constituent une base solide pour une aide à la décision médicale.</w:t>
      </w:r>
    </w:p>
    <w:p w14:paraId="0A9C9563" w14:textId="77777777" w:rsidR="005E74BE" w:rsidRDefault="00000000">
      <w:pPr>
        <w:spacing w:before="120" w:after="160" w:line="276" w:lineRule="auto"/>
        <w:jc w:val="both"/>
      </w:pPr>
      <w:r>
        <w:rPr>
          <w:color w:val="333333"/>
        </w:rPr>
        <w:t>Sur le plan de la valeur métier, le dashboard Power BI offre aux professionnels de santé un outil concret permettant d'identifier les patients à haut risque, d'analyser les facteurs influençant la survie et d'explorer les profils biomarqueurs associés à chaque segment de la population. Cette approche illustre comment la donnée peut devenir un outil d'aide à la décision clinique, à condition d'être traitée, structurée et visualisée de manière rigoureuse.</w:t>
      </w:r>
    </w:p>
    <w:p w14:paraId="0A9C9564" w14:textId="77777777" w:rsidR="005E74BE" w:rsidRDefault="00000000">
      <w:pPr>
        <w:spacing w:before="120" w:after="160" w:line="276" w:lineRule="auto"/>
        <w:jc w:val="both"/>
      </w:pPr>
      <w:r>
        <w:rPr>
          <w:color w:val="333333"/>
        </w:rPr>
        <w:t>Les limites identifiées — nature publique et synthétique des données, bridge patient-biomarqueur simplifié, absence de tests statistiques formels — ouvrent des pistes d'amélioration claires pour une version industrielle du projet. L'intégration de modèles de machine learning prédictifs, l'automatisation du pipeline ETL et l'enrichissement des données biologiques constituent les priorités pour faire évoluer ce projet vers une solution cliniquement deployable.</w:t>
      </w:r>
    </w:p>
    <w:p w14:paraId="0A9C9565" w14:textId="77777777" w:rsidR="005E74BE" w:rsidRDefault="005E74BE"/>
    <w:tbl>
      <w:tblPr>
        <w:tblW w:w="9360" w:type="dxa"/>
        <w:tblBorders>
          <w:top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E74BE" w14:paraId="0A9C9569" w14:textId="77777777">
        <w:tblPrEx>
          <w:tblCellMar>
            <w:top w:w="0" w:type="dxa"/>
            <w:bottom w:w="0" w:type="dxa"/>
          </w:tblCellMar>
        </w:tblPrEx>
        <w:tc>
          <w:tcPr>
            <w:tcW w:w="120" w:type="dxa"/>
            <w:tcBorders>
              <w:left w:val="single" w:sz="12" w:space="0" w:color="2980B9"/>
            </w:tcBorders>
            <w:shd w:val="clear" w:color="auto" w:fill="EBF5FB"/>
          </w:tcPr>
          <w:p w14:paraId="0A9C9566" w14:textId="77777777" w:rsidR="005E74BE" w:rsidRDefault="005E74BE"/>
        </w:tc>
        <w:tc>
          <w:tcPr>
            <w:tcW w:w="9240" w:type="dxa"/>
            <w:shd w:val="clear" w:color="auto" w:fill="EBF5FB"/>
            <w:tcMar>
              <w:top w:w="120" w:type="dxa"/>
              <w:left w:w="200" w:type="dxa"/>
              <w:bottom w:w="120" w:type="dxa"/>
              <w:right w:w="200" w:type="dxa"/>
            </w:tcMar>
          </w:tcPr>
          <w:p w14:paraId="0A9C9567" w14:textId="77777777" w:rsidR="005E74BE" w:rsidRDefault="00000000">
            <w:pPr>
              <w:spacing w:after="60"/>
            </w:pPr>
            <w:r>
              <w:rPr>
                <w:b/>
                <w:bCs/>
                <w:color w:val="2980B9"/>
              </w:rPr>
              <w:t>Message final</w:t>
            </w:r>
          </w:p>
          <w:p w14:paraId="0A9C9568" w14:textId="77777777" w:rsidR="005E74BE" w:rsidRDefault="00000000">
            <w:pPr>
              <w:spacing w:line="264" w:lineRule="auto"/>
              <w:jc w:val="both"/>
            </w:pPr>
            <w:r>
              <w:rPr>
                <w:color w:val="333333"/>
              </w:rPr>
              <w:t>Ce projet illustre une compétence clé du Data Analyst moderne : transformer des données brutes, hétérogènes et complexes en informations exploitables, compréhensibles et actionnables — au service de la médecine et, in fine, des patients. La data au service de la médecine. 🧬</w:t>
            </w:r>
          </w:p>
        </w:tc>
      </w:tr>
    </w:tbl>
    <w:p w14:paraId="0A9C956A" w14:textId="77777777" w:rsidR="005E74BE" w:rsidRDefault="00000000">
      <w:r>
        <w:br w:type="page"/>
      </w:r>
    </w:p>
    <w:p w14:paraId="0A9C956B" w14:textId="77777777" w:rsidR="005E74BE" w:rsidRDefault="00000000">
      <w:pPr>
        <w:pStyle w:val="Titre1"/>
      </w:pPr>
      <w:bookmarkStart w:id="49" w:name="_Toc226291249"/>
      <w:r>
        <w:lastRenderedPageBreak/>
        <w:t>Références</w:t>
      </w:r>
      <w:bookmarkEnd w:id="49"/>
    </w:p>
    <w:p w14:paraId="0A9C956C" w14:textId="77777777" w:rsidR="005E74BE" w:rsidRDefault="00000000">
      <w:pPr>
        <w:spacing w:before="120" w:after="160" w:line="276" w:lineRule="auto"/>
      </w:pPr>
      <w:r w:rsidRPr="00EE6C9A">
        <w:rPr>
          <w:b/>
          <w:bCs/>
          <w:color w:val="C0392B"/>
          <w:lang w:val="en-US"/>
        </w:rPr>
        <w:t xml:space="preserve">[1]  </w:t>
      </w:r>
      <w:r w:rsidRPr="00EE6C9A">
        <w:rPr>
          <w:color w:val="333333"/>
          <w:lang w:val="en-US"/>
        </w:rPr>
        <w:t xml:space="preserve">SEER Breast Cancer Dataset. Zenodo Public Repository. </w:t>
      </w:r>
      <w:r>
        <w:rPr>
          <w:color w:val="333333"/>
        </w:rPr>
        <w:t>Accessible sur : https://zenodo.org</w:t>
      </w:r>
    </w:p>
    <w:p w14:paraId="0A9C956D" w14:textId="77777777" w:rsidR="005E74BE" w:rsidRPr="00EE6C9A" w:rsidRDefault="00000000">
      <w:pPr>
        <w:spacing w:before="120" w:after="160" w:line="276" w:lineRule="auto"/>
        <w:rPr>
          <w:lang w:val="en-US"/>
        </w:rPr>
      </w:pPr>
      <w:r>
        <w:rPr>
          <w:b/>
          <w:bCs/>
          <w:color w:val="C0392B"/>
        </w:rPr>
        <w:t xml:space="preserve">[2]  </w:t>
      </w:r>
      <w:r>
        <w:rPr>
          <w:color w:val="333333"/>
        </w:rPr>
        <w:t xml:space="preserve">Loprinzi CL et al. </w:t>
      </w:r>
      <w:r w:rsidRPr="00EE6C9A">
        <w:rPr>
          <w:color w:val="333333"/>
          <w:lang w:val="en-US"/>
        </w:rPr>
        <w:t>Prospective evaluation of prognostic variables from patient-completed questionnaires. North Central Cancer Treatment Group. Journal of Clinical Oncology, 1994.</w:t>
      </w:r>
    </w:p>
    <w:p w14:paraId="0A9C956E" w14:textId="77777777" w:rsidR="005E74BE" w:rsidRDefault="00000000">
      <w:pPr>
        <w:spacing w:before="120" w:after="160" w:line="276" w:lineRule="auto"/>
      </w:pPr>
      <w:r w:rsidRPr="00EE6C9A">
        <w:rPr>
          <w:b/>
          <w:bCs/>
          <w:color w:val="C0392B"/>
          <w:lang w:val="en-US"/>
        </w:rPr>
        <w:t xml:space="preserve">[3]  </w:t>
      </w:r>
      <w:r w:rsidRPr="00EE6C9A">
        <w:rPr>
          <w:color w:val="333333"/>
          <w:lang w:val="en-US"/>
        </w:rPr>
        <w:t xml:space="preserve">NCBI Entrez API. National Center for Biotechnology Information. </w:t>
      </w:r>
      <w:r>
        <w:rPr>
          <w:color w:val="333333"/>
        </w:rPr>
        <w:t>Accessible sur : https://www.ncbi.nlm.nih.gov/home/develop/api/</w:t>
      </w:r>
    </w:p>
    <w:p w14:paraId="0A9C956F" w14:textId="77777777" w:rsidR="005E74BE" w:rsidRDefault="00000000">
      <w:pPr>
        <w:spacing w:before="120" w:after="160" w:line="276" w:lineRule="auto"/>
      </w:pPr>
      <w:r w:rsidRPr="00EE6C9A">
        <w:rPr>
          <w:b/>
          <w:bCs/>
          <w:color w:val="C0392B"/>
          <w:lang w:val="en-US"/>
        </w:rPr>
        <w:t xml:space="preserve">[4]  </w:t>
      </w:r>
      <w:r w:rsidRPr="00EE6C9A">
        <w:rPr>
          <w:color w:val="333333"/>
          <w:lang w:val="en-US"/>
        </w:rPr>
        <w:t xml:space="preserve">Davidson-Pilon C. lifelines : Survival Analysis in Python. Journal of Open Source Software, 2019. </w:t>
      </w:r>
      <w:r>
        <w:rPr>
          <w:color w:val="333333"/>
        </w:rPr>
        <w:t>Accessible sur : https://lifelines.readthedocs.io</w:t>
      </w:r>
    </w:p>
    <w:p w14:paraId="0A9C9570" w14:textId="77777777" w:rsidR="005E74BE" w:rsidRDefault="00000000">
      <w:pPr>
        <w:spacing w:before="120" w:after="160" w:line="276" w:lineRule="auto"/>
      </w:pPr>
      <w:r>
        <w:rPr>
          <w:b/>
          <w:bCs/>
          <w:color w:val="C0392B"/>
        </w:rPr>
        <w:t xml:space="preserve">[5]  </w:t>
      </w:r>
      <w:r>
        <w:rPr>
          <w:color w:val="333333"/>
        </w:rPr>
        <w:t>Microsoft Corporation. Power BI Desktop Documentation. Accessible sur : https://docs.microsoft.com/power-bi/</w:t>
      </w:r>
    </w:p>
    <w:p w14:paraId="0A9C9571" w14:textId="77777777" w:rsidR="005E74BE" w:rsidRPr="00EE6C9A" w:rsidRDefault="00000000">
      <w:pPr>
        <w:spacing w:before="120" w:after="160" w:line="276" w:lineRule="auto"/>
        <w:rPr>
          <w:lang w:val="en-US"/>
        </w:rPr>
      </w:pPr>
      <w:r w:rsidRPr="00EE6C9A">
        <w:rPr>
          <w:b/>
          <w:bCs/>
          <w:color w:val="C0392B"/>
          <w:lang w:val="en-US"/>
        </w:rPr>
        <w:t xml:space="preserve">[6]  </w:t>
      </w:r>
      <w:r w:rsidRPr="00EE6C9A">
        <w:rPr>
          <w:color w:val="333333"/>
          <w:lang w:val="en-US"/>
        </w:rPr>
        <w:t>Kaplan EL, Meier P. Nonparametric estimation from incomplete observations. Journal of the American Statistical Association, 1958 ; 53(282) : 457–481.</w:t>
      </w:r>
    </w:p>
    <w:p w14:paraId="0A9C9572" w14:textId="77777777" w:rsidR="005E74BE" w:rsidRPr="00EE6C9A" w:rsidRDefault="00000000">
      <w:pPr>
        <w:spacing w:before="120" w:after="160" w:line="276" w:lineRule="auto"/>
        <w:rPr>
          <w:lang w:val="en-US"/>
        </w:rPr>
      </w:pPr>
      <w:r w:rsidRPr="00EE6C9A">
        <w:rPr>
          <w:b/>
          <w:bCs/>
          <w:color w:val="C0392B"/>
          <w:lang w:val="en-US"/>
        </w:rPr>
        <w:t xml:space="preserve">[7]  </w:t>
      </w:r>
      <w:r w:rsidRPr="00EE6C9A">
        <w:rPr>
          <w:color w:val="333333"/>
          <w:lang w:val="en-US"/>
        </w:rPr>
        <w:t>Cox DR. Regression models and life-tables. Journal of the Royal Statistical Society Series B, 1972 ; 34(2) : 187–220.</w:t>
      </w:r>
    </w:p>
    <w:p w14:paraId="0A9C9573" w14:textId="77777777" w:rsidR="005E74BE" w:rsidRDefault="00000000">
      <w:pPr>
        <w:spacing w:before="120" w:after="160" w:line="276" w:lineRule="auto"/>
      </w:pPr>
      <w:r w:rsidRPr="00EE6C9A">
        <w:rPr>
          <w:b/>
          <w:bCs/>
          <w:color w:val="C0392B"/>
          <w:lang w:val="en-US"/>
        </w:rPr>
        <w:t xml:space="preserve">[8]  </w:t>
      </w:r>
      <w:r w:rsidRPr="00EE6C9A">
        <w:rPr>
          <w:color w:val="333333"/>
          <w:lang w:val="en-US"/>
        </w:rPr>
        <w:t xml:space="preserve">McKinney W. Data Structures for Statistical Computing in Python. </w:t>
      </w:r>
      <w:r>
        <w:rPr>
          <w:color w:val="333333"/>
        </w:rPr>
        <w:t>Proceedings of the 9th Python in Science Conference, 2010.</w:t>
      </w:r>
    </w:p>
    <w:sectPr w:rsidR="005E74BE">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A44DD" w14:textId="77777777" w:rsidR="005E4DA2" w:rsidRDefault="005E4DA2">
      <w:r>
        <w:separator/>
      </w:r>
    </w:p>
  </w:endnote>
  <w:endnote w:type="continuationSeparator" w:id="0">
    <w:p w14:paraId="79A7CE93" w14:textId="77777777" w:rsidR="005E4DA2" w:rsidRDefault="005E4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9575" w14:textId="52B1AB10" w:rsidR="005E74BE" w:rsidRDefault="00000000">
    <w:pPr>
      <w:pBdr>
        <w:top w:val="single" w:sz="4" w:space="4" w:color="CCCCCC"/>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 xml:space="preserve"> PAGE </w:instrText>
    </w:r>
    <w:r w:rsidR="00EE6C9A">
      <w:rPr>
        <w:color w:val="888888"/>
        <w:sz w:val="18"/>
        <w:szCs w:val="18"/>
      </w:rPr>
      <w:fldChar w:fldCharType="separate"/>
    </w:r>
    <w:r w:rsidR="00EE6C9A">
      <w:rPr>
        <w:noProof/>
        <w:color w:val="888888"/>
        <w:sz w:val="18"/>
        <w:szCs w:val="18"/>
      </w:rPr>
      <w:t>1</w:t>
    </w:r>
    <w:r>
      <w:rPr>
        <w:color w:val="888888"/>
        <w:sz w:val="18"/>
        <w:szCs w:val="18"/>
      </w:rPr>
      <w:fldChar w:fldCharType="end"/>
    </w:r>
    <w:r>
      <w:rPr>
        <w:color w:val="888888"/>
        <w:sz w:val="18"/>
        <w:szCs w:val="18"/>
      </w:rPr>
      <w:t xml:space="preserve">  —  Yassine Ammami  |  Encadrante : Leila Mourid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EE215" w14:textId="77777777" w:rsidR="005E4DA2" w:rsidRDefault="005E4DA2">
      <w:r>
        <w:separator/>
      </w:r>
    </w:p>
  </w:footnote>
  <w:footnote w:type="continuationSeparator" w:id="0">
    <w:p w14:paraId="35322EE2" w14:textId="77777777" w:rsidR="005E4DA2" w:rsidRDefault="005E4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9574" w14:textId="32AFC658" w:rsidR="005E74BE" w:rsidRDefault="00000000" w:rsidP="00EE6C9A">
    <w:pPr>
      <w:pBdr>
        <w:bottom w:val="single" w:sz="4" w:space="4" w:color="CCCCCC"/>
      </w:pBdr>
      <w:spacing w:after="120"/>
      <w:jc w:val="center"/>
    </w:pPr>
    <w:r>
      <w:rPr>
        <w:b/>
        <w:bCs/>
        <w:color w:val="0A1628"/>
        <w:sz w:val="18"/>
        <w:szCs w:val="18"/>
      </w:rPr>
      <w:t>OncoBio Decision Analytics</w:t>
    </w:r>
    <w:r>
      <w:rPr>
        <w:color w:val="888888"/>
        <w:sz w:val="18"/>
        <w:szCs w:val="18"/>
      </w:rPr>
      <w:t xml:space="preserve">  |  Rapport de Projet Fil Rouge — Simplon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978A4"/>
    <w:multiLevelType w:val="hybridMultilevel"/>
    <w:tmpl w:val="F8C06F80"/>
    <w:lvl w:ilvl="0" w:tplc="1436AEC6">
      <w:start w:val="1"/>
      <w:numFmt w:val="bullet"/>
      <w:lvlText w:val="–"/>
      <w:lvlJc w:val="left"/>
      <w:pPr>
        <w:ind w:left="1080" w:hanging="360"/>
      </w:pPr>
      <w:rPr>
        <w:rFonts w:ascii="Arial" w:eastAsia="Arial" w:hAnsi="Arial" w:cs="Arial"/>
        <w:color w:val="2980B9"/>
      </w:rPr>
    </w:lvl>
    <w:lvl w:ilvl="1" w:tplc="6592EFCC">
      <w:numFmt w:val="decimal"/>
      <w:lvlText w:val=""/>
      <w:lvlJc w:val="left"/>
    </w:lvl>
    <w:lvl w:ilvl="2" w:tplc="E568565E">
      <w:numFmt w:val="decimal"/>
      <w:lvlText w:val=""/>
      <w:lvlJc w:val="left"/>
    </w:lvl>
    <w:lvl w:ilvl="3" w:tplc="EFB48B14">
      <w:numFmt w:val="decimal"/>
      <w:lvlText w:val=""/>
      <w:lvlJc w:val="left"/>
    </w:lvl>
    <w:lvl w:ilvl="4" w:tplc="156A04BA">
      <w:numFmt w:val="decimal"/>
      <w:lvlText w:val=""/>
      <w:lvlJc w:val="left"/>
    </w:lvl>
    <w:lvl w:ilvl="5" w:tplc="B868DCC4">
      <w:numFmt w:val="decimal"/>
      <w:lvlText w:val=""/>
      <w:lvlJc w:val="left"/>
    </w:lvl>
    <w:lvl w:ilvl="6" w:tplc="DBC47674">
      <w:numFmt w:val="decimal"/>
      <w:lvlText w:val=""/>
      <w:lvlJc w:val="left"/>
    </w:lvl>
    <w:lvl w:ilvl="7" w:tplc="A38EEE74">
      <w:numFmt w:val="decimal"/>
      <w:lvlText w:val=""/>
      <w:lvlJc w:val="left"/>
    </w:lvl>
    <w:lvl w:ilvl="8" w:tplc="5E10097A">
      <w:numFmt w:val="decimal"/>
      <w:lvlText w:val=""/>
      <w:lvlJc w:val="left"/>
    </w:lvl>
  </w:abstractNum>
  <w:abstractNum w:abstractNumId="1" w15:restartNumberingAfterBreak="0">
    <w:nsid w:val="2AA11FEE"/>
    <w:multiLevelType w:val="hybridMultilevel"/>
    <w:tmpl w:val="451A5518"/>
    <w:lvl w:ilvl="0" w:tplc="DD268B3A">
      <w:start w:val="1"/>
      <w:numFmt w:val="bullet"/>
      <w:lvlText w:val="•"/>
      <w:lvlJc w:val="left"/>
      <w:pPr>
        <w:ind w:left="720" w:hanging="360"/>
      </w:pPr>
      <w:rPr>
        <w:rFonts w:ascii="Arial" w:eastAsia="Arial" w:hAnsi="Arial" w:cs="Arial"/>
        <w:color w:val="C0392B"/>
      </w:rPr>
    </w:lvl>
    <w:lvl w:ilvl="1" w:tplc="D7CC35B2">
      <w:numFmt w:val="decimal"/>
      <w:lvlText w:val=""/>
      <w:lvlJc w:val="left"/>
    </w:lvl>
    <w:lvl w:ilvl="2" w:tplc="5434C566">
      <w:numFmt w:val="decimal"/>
      <w:lvlText w:val=""/>
      <w:lvlJc w:val="left"/>
    </w:lvl>
    <w:lvl w:ilvl="3" w:tplc="82B0210C">
      <w:numFmt w:val="decimal"/>
      <w:lvlText w:val=""/>
      <w:lvlJc w:val="left"/>
    </w:lvl>
    <w:lvl w:ilvl="4" w:tplc="48462896">
      <w:numFmt w:val="decimal"/>
      <w:lvlText w:val=""/>
      <w:lvlJc w:val="left"/>
    </w:lvl>
    <w:lvl w:ilvl="5" w:tplc="66DC7220">
      <w:numFmt w:val="decimal"/>
      <w:lvlText w:val=""/>
      <w:lvlJc w:val="left"/>
    </w:lvl>
    <w:lvl w:ilvl="6" w:tplc="A936061E">
      <w:numFmt w:val="decimal"/>
      <w:lvlText w:val=""/>
      <w:lvlJc w:val="left"/>
    </w:lvl>
    <w:lvl w:ilvl="7" w:tplc="15246AF6">
      <w:numFmt w:val="decimal"/>
      <w:lvlText w:val=""/>
      <w:lvlJc w:val="left"/>
    </w:lvl>
    <w:lvl w:ilvl="8" w:tplc="FEC0D764">
      <w:numFmt w:val="decimal"/>
      <w:lvlText w:val=""/>
      <w:lvlJc w:val="left"/>
    </w:lvl>
  </w:abstractNum>
  <w:abstractNum w:abstractNumId="2" w15:restartNumberingAfterBreak="0">
    <w:nsid w:val="33DE08F8"/>
    <w:multiLevelType w:val="hybridMultilevel"/>
    <w:tmpl w:val="C5C840CA"/>
    <w:lvl w:ilvl="0" w:tplc="ECDE80A6">
      <w:start w:val="1"/>
      <w:numFmt w:val="bullet"/>
      <w:lvlText w:val="●"/>
      <w:lvlJc w:val="left"/>
      <w:pPr>
        <w:ind w:left="720" w:hanging="360"/>
      </w:pPr>
    </w:lvl>
    <w:lvl w:ilvl="1" w:tplc="C14AC6B6">
      <w:start w:val="1"/>
      <w:numFmt w:val="bullet"/>
      <w:lvlText w:val="○"/>
      <w:lvlJc w:val="left"/>
      <w:pPr>
        <w:ind w:left="1440" w:hanging="360"/>
      </w:pPr>
    </w:lvl>
    <w:lvl w:ilvl="2" w:tplc="A6B62D12">
      <w:start w:val="1"/>
      <w:numFmt w:val="bullet"/>
      <w:lvlText w:val="■"/>
      <w:lvlJc w:val="left"/>
      <w:pPr>
        <w:ind w:left="2160" w:hanging="360"/>
      </w:pPr>
    </w:lvl>
    <w:lvl w:ilvl="3" w:tplc="8EEA4EB4">
      <w:start w:val="1"/>
      <w:numFmt w:val="bullet"/>
      <w:lvlText w:val="●"/>
      <w:lvlJc w:val="left"/>
      <w:pPr>
        <w:ind w:left="2880" w:hanging="360"/>
      </w:pPr>
    </w:lvl>
    <w:lvl w:ilvl="4" w:tplc="D144B866">
      <w:start w:val="1"/>
      <w:numFmt w:val="bullet"/>
      <w:lvlText w:val="○"/>
      <w:lvlJc w:val="left"/>
      <w:pPr>
        <w:ind w:left="3600" w:hanging="360"/>
      </w:pPr>
    </w:lvl>
    <w:lvl w:ilvl="5" w:tplc="C4300498">
      <w:start w:val="1"/>
      <w:numFmt w:val="bullet"/>
      <w:lvlText w:val="■"/>
      <w:lvlJc w:val="left"/>
      <w:pPr>
        <w:ind w:left="4320" w:hanging="360"/>
      </w:pPr>
    </w:lvl>
    <w:lvl w:ilvl="6" w:tplc="985C8FCA">
      <w:start w:val="1"/>
      <w:numFmt w:val="bullet"/>
      <w:lvlText w:val="●"/>
      <w:lvlJc w:val="left"/>
      <w:pPr>
        <w:ind w:left="5040" w:hanging="360"/>
      </w:pPr>
    </w:lvl>
    <w:lvl w:ilvl="7" w:tplc="AE0CB368">
      <w:start w:val="1"/>
      <w:numFmt w:val="bullet"/>
      <w:lvlText w:val="●"/>
      <w:lvlJc w:val="left"/>
      <w:pPr>
        <w:ind w:left="5760" w:hanging="360"/>
      </w:pPr>
    </w:lvl>
    <w:lvl w:ilvl="8" w:tplc="47D05292">
      <w:start w:val="1"/>
      <w:numFmt w:val="bullet"/>
      <w:lvlText w:val="●"/>
      <w:lvlJc w:val="left"/>
      <w:pPr>
        <w:ind w:left="6480" w:hanging="360"/>
      </w:pPr>
    </w:lvl>
  </w:abstractNum>
  <w:num w:numId="1" w16cid:durableId="1977907201">
    <w:abstractNumId w:val="2"/>
    <w:lvlOverride w:ilvl="0">
      <w:startOverride w:val="1"/>
    </w:lvlOverride>
  </w:num>
  <w:num w:numId="2" w16cid:durableId="1645620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4BE"/>
    <w:rsid w:val="0058442F"/>
    <w:rsid w:val="005E4DA2"/>
    <w:rsid w:val="005E74BE"/>
    <w:rsid w:val="009F4E62"/>
    <w:rsid w:val="00EE146C"/>
    <w:rsid w:val="00EE6C9A"/>
    <w:rsid w:val="00F674CB"/>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C93CD"/>
  <w15:docId w15:val="{FA4DF5B4-41A6-408E-B4BE-B51329C4E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C0392B"/>
      </w:pBdr>
      <w:spacing w:before="480" w:after="200"/>
      <w:outlineLvl w:val="0"/>
    </w:pPr>
    <w:rPr>
      <w:b/>
      <w:bCs/>
      <w:color w:val="0A1628"/>
      <w:sz w:val="36"/>
      <w:szCs w:val="36"/>
    </w:rPr>
  </w:style>
  <w:style w:type="paragraph" w:styleId="Titre2">
    <w:name w:val="heading 2"/>
    <w:uiPriority w:val="9"/>
    <w:unhideWhenUsed/>
    <w:qFormat/>
    <w:pPr>
      <w:spacing w:before="360" w:after="160"/>
      <w:outlineLvl w:val="1"/>
    </w:pPr>
    <w:rPr>
      <w:b/>
      <w:bCs/>
      <w:color w:val="C0392B"/>
      <w:sz w:val="28"/>
      <w:szCs w:val="28"/>
    </w:rPr>
  </w:style>
  <w:style w:type="paragraph" w:styleId="Titre3">
    <w:name w:val="heading 3"/>
    <w:uiPriority w:val="9"/>
    <w:unhideWhenUsed/>
    <w:qFormat/>
    <w:pPr>
      <w:spacing w:before="240" w:after="120"/>
      <w:outlineLvl w:val="2"/>
    </w:pPr>
    <w:rPr>
      <w:b/>
      <w:bCs/>
      <w:color w:val="2980B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E6C9A"/>
    <w:pPr>
      <w:spacing w:after="100"/>
    </w:pPr>
  </w:style>
  <w:style w:type="paragraph" w:styleId="TM2">
    <w:name w:val="toc 2"/>
    <w:basedOn w:val="Normal"/>
    <w:next w:val="Normal"/>
    <w:autoRedefine/>
    <w:uiPriority w:val="39"/>
    <w:unhideWhenUsed/>
    <w:rsid w:val="00EE6C9A"/>
    <w:pPr>
      <w:spacing w:after="100"/>
      <w:ind w:left="220"/>
    </w:pPr>
  </w:style>
  <w:style w:type="paragraph" w:styleId="TM3">
    <w:name w:val="toc 3"/>
    <w:basedOn w:val="Normal"/>
    <w:next w:val="Normal"/>
    <w:autoRedefine/>
    <w:uiPriority w:val="39"/>
    <w:unhideWhenUsed/>
    <w:rsid w:val="00EE6C9A"/>
    <w:pPr>
      <w:spacing w:after="100"/>
      <w:ind w:left="440"/>
    </w:pPr>
  </w:style>
  <w:style w:type="paragraph" w:styleId="En-tte">
    <w:name w:val="header"/>
    <w:basedOn w:val="Normal"/>
    <w:link w:val="En-tteCar"/>
    <w:uiPriority w:val="99"/>
    <w:unhideWhenUsed/>
    <w:rsid w:val="00EE6C9A"/>
    <w:pPr>
      <w:tabs>
        <w:tab w:val="center" w:pos="4536"/>
        <w:tab w:val="right" w:pos="9072"/>
      </w:tabs>
    </w:pPr>
  </w:style>
  <w:style w:type="character" w:customStyle="1" w:styleId="En-tteCar">
    <w:name w:val="En-tête Car"/>
    <w:basedOn w:val="Policepardfaut"/>
    <w:link w:val="En-tte"/>
    <w:uiPriority w:val="99"/>
    <w:rsid w:val="00EE6C9A"/>
  </w:style>
  <w:style w:type="paragraph" w:styleId="Pieddepage">
    <w:name w:val="footer"/>
    <w:basedOn w:val="Normal"/>
    <w:link w:val="PieddepageCar"/>
    <w:uiPriority w:val="99"/>
    <w:unhideWhenUsed/>
    <w:rsid w:val="00EE6C9A"/>
    <w:pPr>
      <w:tabs>
        <w:tab w:val="center" w:pos="4536"/>
        <w:tab w:val="right" w:pos="9072"/>
      </w:tabs>
    </w:pPr>
  </w:style>
  <w:style w:type="character" w:customStyle="1" w:styleId="PieddepageCar">
    <w:name w:val="Pied de page Car"/>
    <w:basedOn w:val="Policepardfaut"/>
    <w:link w:val="Pieddepage"/>
    <w:uiPriority w:val="99"/>
    <w:rsid w:val="00EE6C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5170</Words>
  <Characters>28437</Characters>
  <Application>Microsoft Office Word</Application>
  <DocSecurity>0</DocSecurity>
  <Lines>236</Lines>
  <Paragraphs>67</Paragraphs>
  <ScaleCrop>false</ScaleCrop>
  <Company/>
  <LinksUpToDate>false</LinksUpToDate>
  <CharactersWithSpaces>33540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MOURID Leila</cp:lastModifiedBy>
  <cp:revision>5</cp:revision>
  <dcterms:created xsi:type="dcterms:W3CDTF">2026-04-05T13:08:00Z</dcterms:created>
  <dcterms:modified xsi:type="dcterms:W3CDTF">2026-04-05T13:23:00Z</dcterms:modified>
</cp:coreProperties>
</file>