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Oil price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https://www.eia.gov/dnav/pet/pet_pri_spt_s1_d.htm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Unemployment rate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https://fred.stlouisfed.org/series/UNRATE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Exchange rate (value of the US dollar) </w:t>
      </w:r>
      <w:hyperlink r:id="rId8">
        <w:r w:rsidDel="00000000" w:rsidR="00000000" w:rsidRPr="00000000">
          <w:rPr>
            <w:color w:val="999999"/>
            <w:u w:val="single"/>
            <w:rtl w:val="0"/>
          </w:rPr>
          <w:t xml:space="preserve">https://fiscaldata.treasury.gov/datasets/treasury-reporting-rates-exchange/treasury-reporting-rates-of-exchange</w:t>
        </w:r>
      </w:hyperlink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U.S. Dollar Index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https://fred.stlouisfed.org/series/DTWEXBGS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National housing prices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https://fred.stlouisfed.org/series/MSPUS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Maybe? USA Tariffs: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https://www.avalara.com/us/en/learn/guides/us-tariffs-by-country.html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Inflation Dataset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https://fred.stlouisfed.org/series/T10YIEM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Research Papers:</w:t>
      </w:r>
    </w:p>
    <w:p w:rsidR="00000000" w:rsidDel="00000000" w:rsidP="00000000" w:rsidRDefault="00000000" w:rsidRPr="00000000" w14:paraId="0000000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https://www-sciencedirect-com.ezproxy2.library.drexel.edu/science/article/pii/S1057521924001704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color w:val="1f1f1f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determinants of inflation (5 primary domain):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Primary domains (money supply and </w:t>
      </w:r>
      <w:hyperlink r:id="rId14">
        <w:r w:rsidDel="00000000" w:rsidR="00000000" w:rsidRPr="00000000">
          <w:rPr>
            <w:rFonts w:ascii="Georgia" w:cs="Georgia" w:eastAsia="Georgia" w:hAnsi="Georgia"/>
            <w:color w:val="1f1f1f"/>
            <w:sz w:val="24"/>
            <w:szCs w:val="24"/>
            <w:u w:val="single"/>
            <w:rtl w:val="0"/>
          </w:rPr>
          <w:t xml:space="preserve">monetary policy</w:t>
        </w:r>
      </w:hyperlink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The stance and effectiveness of </w:t>
      </w:r>
      <w:hyperlink r:id="rId15">
        <w:r w:rsidDel="00000000" w:rsidR="00000000" w:rsidRPr="00000000">
          <w:rPr>
            <w:rFonts w:ascii="Georgia" w:cs="Georgia" w:eastAsia="Georgia" w:hAnsi="Georgia"/>
            <w:color w:val="1f1f1f"/>
            <w:sz w:val="24"/>
            <w:szCs w:val="24"/>
            <w:u w:val="single"/>
            <w:rtl w:val="0"/>
          </w:rPr>
          <w:t xml:space="preserve">monetary policy</w:t>
        </w:r>
      </w:hyperlink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 in managing </w:t>
      </w:r>
      <w:hyperlink r:id="rId16">
        <w:r w:rsidDel="00000000" w:rsidR="00000000" w:rsidRPr="00000000">
          <w:rPr>
            <w:rFonts w:ascii="Georgia" w:cs="Georgia" w:eastAsia="Georgia" w:hAnsi="Georgia"/>
            <w:color w:val="1f1f1f"/>
            <w:sz w:val="24"/>
            <w:szCs w:val="24"/>
            <w:u w:val="single"/>
            <w:rtl w:val="0"/>
          </w:rPr>
          <w:t xml:space="preserve">inflation expectations</w:t>
        </w:r>
      </w:hyperlink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 and aggregate demand also play a crucial role (</w:t>
      </w:r>
      <w:hyperlink r:id="rId17">
        <w:r w:rsidDel="00000000" w:rsidR="00000000" w:rsidRPr="00000000">
          <w:rPr>
            <w:rFonts w:ascii="Georgia" w:cs="Georgia" w:eastAsia="Georgia" w:hAnsi="Georgia"/>
            <w:color w:val="0272b1"/>
            <w:sz w:val="24"/>
            <w:szCs w:val="24"/>
            <w:rtl w:val="0"/>
          </w:rPr>
          <w:t xml:space="preserve">Taylor, 2000</w:t>
        </w:r>
      </w:hyperlink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encompassing monetary factors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demand-pull factors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occurs when aggregate demand for goods and services outpaces aggregate supply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often described as "too much money chasing too few goods". It typically happens in a growing economy near full employment, leading to higher prices, reduced purchasing power, and potential, though often temporary, lower unemployment.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cost-push factors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Cost-push factors encompass the upward pressure on prices resulting from increased production costs. These factors include changes in wages, energy prices, and raw material costs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exchange rate dynamics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Depreciation of the domestic currency can elevate the cost of imported goods and services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the significance of exchange rate reserves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rtl w:val="0"/>
        </w:rPr>
        <w:t xml:space="preserve">comprising foreign currency assets held by central banks, play a critical role in managing exchange rate stability and controlling inflation.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paper says fancier and more complex modes like gradient boost do better at predicting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https://drexel.primo.exlibrisgroup.com/discovery/fulldisplay?docid=alma991022012855004721&amp;context=L&amp;vid=01DRXU_INST:01DRXU&amp;lang=en&amp;search_scope=EverythingWResearch&amp;adaptor=Local%20Search%20Engine&amp;tab=Everything&amp;query=any,contains,inflation%20forcast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valara.com/us/en/learn/guides/us-tariffs-by-country.html" TargetMode="External"/><Relationship Id="rId10" Type="http://schemas.openxmlformats.org/officeDocument/2006/relationships/hyperlink" Target="https://fred.stlouisfed.org/series/MSPUS" TargetMode="External"/><Relationship Id="rId13" Type="http://schemas.openxmlformats.org/officeDocument/2006/relationships/hyperlink" Target="https://www-sciencedirect-com.ezproxy2.library.drexel.edu/science/article/pii/S1057521924001704" TargetMode="External"/><Relationship Id="rId12" Type="http://schemas.openxmlformats.org/officeDocument/2006/relationships/hyperlink" Target="https://fred.stlouisfed.org/series/T10YI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ed.stlouisfed.org/series/DTWEXBGS" TargetMode="External"/><Relationship Id="rId15" Type="http://schemas.openxmlformats.org/officeDocument/2006/relationships/hyperlink" Target="https://www-sciencedirect-com.ezproxy2.library.drexel.edu/topics/earth-and-planetary-sciences/monetary-policy" TargetMode="External"/><Relationship Id="rId14" Type="http://schemas.openxmlformats.org/officeDocument/2006/relationships/hyperlink" Target="https://www-sciencedirect-com.ezproxy2.library.drexel.edu/topics/social-sciences/monetary-policy" TargetMode="External"/><Relationship Id="rId17" Type="http://schemas.openxmlformats.org/officeDocument/2006/relationships/hyperlink" Target="https://www-sciencedirect-com.ezproxy2.library.drexel.edu/science/article/pii/S1057521924001704#bb0460" TargetMode="External"/><Relationship Id="rId16" Type="http://schemas.openxmlformats.org/officeDocument/2006/relationships/hyperlink" Target="https://www-sciencedirect-com.ezproxy2.library.drexel.edu/topics/economics-econometrics-and-finance/inflation-expecta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ia.gov/dnav/pet/pet_pri_spt_s1_d.htm" TargetMode="External"/><Relationship Id="rId18" Type="http://schemas.openxmlformats.org/officeDocument/2006/relationships/hyperlink" Target="https://drexel.primo.exlibrisgroup.com/discovery/fulldisplay?docid=alma991022012855004721&amp;context=L&amp;vid=01DRXU_INST:01DRXU&amp;lang=en&amp;search_scope=EverythingWResearch&amp;adaptor=Local%20Search%20Engine&amp;tab=Everything&amp;query=any,contains,inflation%20forcast" TargetMode="External"/><Relationship Id="rId7" Type="http://schemas.openxmlformats.org/officeDocument/2006/relationships/hyperlink" Target="https://fred.stlouisfed.org/series/UNRATE" TargetMode="External"/><Relationship Id="rId8" Type="http://schemas.openxmlformats.org/officeDocument/2006/relationships/hyperlink" Target="https://fiscaldata.treasury.gov/datasets/treasury-reporting-rates-exchange/treasury-reporting-rates-of-exchan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